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pacing w:line="560" w:lineRule="exact"/>
        <w:jc w:val="center"/>
        <w:rPr>
          <w:rFonts w:ascii="方正小标宋_GBK" w:eastAsia="方正小标宋_GBK" w:cs="方正小标宋_GBK"/>
          <w:sz w:val="44"/>
          <w:szCs w:val="44"/>
        </w:rPr>
      </w:pPr>
      <w:bookmarkStart w:id="0" w:name="_Hlk25540369"/>
      <w:bookmarkStart w:id="1" w:name="cogw__正文__file"/>
      <w:bookmarkStart w:id="2" w:name="_GoBack"/>
      <w:bookmarkEnd w:id="2"/>
      <w:r>
        <w:rPr>
          <w:rFonts w:ascii="方正小标宋_GBK" w:eastAsia="方正小标宋_GBK" w:cs="方正小标宋_GBK" w:hint="eastAsia"/>
          <w:sz w:val="44"/>
          <w:szCs w:val="44"/>
        </w:rPr>
        <w:t>郑州海关（本级机关）2020年政府信息公开</w:t>
      </w:r>
    </w:p>
    <w:p>
      <w:pPr>
        <w:spacing w:line="560" w:lineRule="exact"/>
        <w:jc w:val="center"/>
        <w:rPr>
          <w:rFonts w:ascii="方正小标宋_GBK" w:eastAsia="方正小标宋_GBK" w:cs="方正小标宋_GBK"/>
          <w:sz w:val="44"/>
          <w:szCs w:val="44"/>
        </w:rPr>
      </w:pPr>
      <w:r>
        <w:rPr>
          <w:rFonts w:ascii="方正小标宋_GBK" w:eastAsia="方正小标宋_GBK" w:cs="方正小标宋_GBK" w:hint="eastAsia"/>
          <w:sz w:val="44"/>
          <w:szCs w:val="44"/>
        </w:rPr>
        <w:t>工作年度报告</w:t>
      </w:r>
      <w:bookmarkEnd w:id="0"/>
    </w:p>
    <w:p>
      <w:pPr>
        <w:widowControl/>
        <w:shd w:val="clear" w:color="auto" w:fill="FFFFFF"/>
        <w:adjustRightInd w:val="0"/>
        <w:snapToGrid w:val="0"/>
        <w:spacing w:line="560" w:lineRule="exact"/>
        <w:rPr>
          <w:rFonts w:ascii="楷体_GB2312" w:eastAsia="楷体_GB2312" w:cs="楷体_GB2312"/>
          <w:bCs/>
          <w:sz w:val="32"/>
          <w:szCs w:val="32"/>
          <w:shd w:val="clear" w:color="auto" w:fill="FFFFFF"/>
        </w:rPr>
      </w:pPr>
    </w:p>
    <w:p>
      <w:pPr>
        <w:pStyle w:val="19"/>
        <w:adjustRightInd w:val="0"/>
        <w:snapToGrid w:val="0"/>
        <w:spacing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hint="eastAsia"/>
          <w:sz w:val="32"/>
          <w:szCs w:val="32"/>
        </w:rPr>
        <w:t>本报告</w:t>
      </w:r>
      <w:r>
        <w:rPr>
          <w:rFonts w:ascii="Times New Roman" w:eastAsia="方正仿宋_GBK" w:hAnsi="Times New Roman"/>
          <w:sz w:val="32"/>
          <w:szCs w:val="32"/>
        </w:rPr>
        <w:t>根据《中华人民共和国政府信息公开条例》《</w:t>
      </w:r>
      <w:r>
        <w:rPr>
          <w:rFonts w:ascii="Times New Roman" w:eastAsia="方正仿宋_GBK" w:hAnsi="Times New Roman" w:hint="eastAsia"/>
          <w:sz w:val="32"/>
          <w:szCs w:val="32"/>
        </w:rPr>
        <w:t>国务院办公厅政府信息与政务公开办公室关于政府信息公开工作年度报告有关事项的通知</w:t>
      </w:r>
      <w:r>
        <w:rPr>
          <w:rFonts w:ascii="Times New Roman" w:eastAsia="方正仿宋_GBK" w:hAnsi="Times New Roman"/>
          <w:sz w:val="32"/>
          <w:szCs w:val="32"/>
        </w:rPr>
        <w:t>》，</w:t>
      </w:r>
      <w:r>
        <w:rPr>
          <w:rFonts w:ascii="Times New Roman" w:eastAsia="方正仿宋_GBK" w:hAnsi="Times New Roman" w:hint="eastAsia"/>
          <w:sz w:val="32"/>
          <w:szCs w:val="32"/>
        </w:rPr>
        <w:t>梳理2020年度郑州海关本级机关政府信息公开工作情况编制而成。</w:t>
      </w:r>
      <w:r>
        <w:rPr>
          <w:rFonts w:ascii="Times New Roman" w:eastAsia="方正仿宋_GBK" w:hAnsi="Times New Roman"/>
          <w:sz w:val="32"/>
          <w:szCs w:val="32"/>
        </w:rPr>
        <w:t>报</w:t>
      </w:r>
      <w:r>
        <w:rPr>
          <w:rFonts w:ascii="Times New Roman" w:eastAsia="方正仿宋_GBK" w:hAnsi="Times New Roman" w:hint="eastAsia"/>
          <w:sz w:val="32"/>
          <w:szCs w:val="32"/>
        </w:rPr>
        <w:t>告</w:t>
      </w:r>
      <w:r>
        <w:rPr>
          <w:rFonts w:ascii="Times New Roman" w:eastAsia="方正仿宋_GBK" w:hAnsi="Times New Roman"/>
          <w:sz w:val="32"/>
          <w:szCs w:val="32"/>
        </w:rPr>
        <w:t>中所列数据的统计期限</w:t>
      </w:r>
      <w:r>
        <w:rPr>
          <w:rFonts w:ascii="Times New Roman" w:eastAsia="方正仿宋_GBK" w:hAnsi="Times New Roman" w:hint="eastAsia"/>
          <w:sz w:val="32"/>
          <w:szCs w:val="32"/>
        </w:rPr>
        <w:t>，</w:t>
      </w:r>
      <w:r>
        <w:rPr>
          <w:rFonts w:ascii="Times New Roman" w:eastAsia="方正仿宋_GBK" w:hAnsi="Times New Roman"/>
          <w:sz w:val="32"/>
          <w:szCs w:val="32"/>
        </w:rPr>
        <w:t>自20</w:t>
      </w:r>
      <w:r>
        <w:rPr>
          <w:rFonts w:ascii="Times New Roman" w:eastAsia="方正仿宋_GBK" w:hAnsi="Times New Roman" w:hint="eastAsia"/>
          <w:sz w:val="32"/>
          <w:szCs w:val="32"/>
        </w:rPr>
        <w:t>20</w:t>
      </w:r>
      <w:r>
        <w:rPr>
          <w:rFonts w:ascii="Times New Roman" w:eastAsia="方正仿宋_GBK" w:hAnsi="Times New Roman"/>
          <w:sz w:val="32"/>
          <w:szCs w:val="32"/>
        </w:rPr>
        <w:t>年1月1日起至20</w:t>
      </w:r>
      <w:r>
        <w:rPr>
          <w:rFonts w:ascii="Times New Roman" w:eastAsia="方正仿宋_GBK" w:hAnsi="Times New Roman" w:hint="eastAsia"/>
          <w:sz w:val="32"/>
          <w:szCs w:val="32"/>
        </w:rPr>
        <w:t>20</w:t>
      </w:r>
      <w:r>
        <w:rPr>
          <w:rFonts w:ascii="Times New Roman" w:eastAsia="方正仿宋_GBK" w:hAnsi="Times New Roman"/>
          <w:sz w:val="32"/>
          <w:szCs w:val="32"/>
        </w:rPr>
        <w:t>年12月31日止。如对报</w:t>
      </w:r>
      <w:r>
        <w:rPr>
          <w:rFonts w:ascii="Times New Roman" w:eastAsia="方正仿宋_GBK" w:hAnsi="Times New Roman" w:hint="eastAsia"/>
          <w:sz w:val="32"/>
          <w:szCs w:val="32"/>
        </w:rPr>
        <w:t>告</w:t>
      </w:r>
      <w:r>
        <w:rPr>
          <w:rFonts w:ascii="Times New Roman" w:eastAsia="方正仿宋_GBK" w:hAnsi="Times New Roman"/>
          <w:sz w:val="32"/>
          <w:szCs w:val="32"/>
        </w:rPr>
        <w:t>有疑问</w:t>
      </w:r>
      <w:r>
        <w:rPr>
          <w:rFonts w:ascii="Times New Roman" w:eastAsia="方正仿宋_GBK" w:hAnsi="Times New Roman" w:hint="eastAsia"/>
          <w:sz w:val="32"/>
          <w:szCs w:val="32"/>
        </w:rPr>
        <w:t>或有任何意见建议</w:t>
      </w:r>
      <w:r>
        <w:rPr>
          <w:rFonts w:ascii="Times New Roman" w:eastAsia="方正仿宋_GBK" w:hAnsi="Times New Roman"/>
          <w:sz w:val="32"/>
          <w:szCs w:val="32"/>
        </w:rPr>
        <w:t>，请联系</w:t>
      </w:r>
      <w:r>
        <w:rPr>
          <w:rFonts w:ascii="Times New Roman" w:eastAsia="方正仿宋_GBK" w:hAnsi="Times New Roman" w:hint="eastAsia"/>
          <w:sz w:val="32"/>
          <w:szCs w:val="32"/>
        </w:rPr>
        <w:t>郑州</w:t>
      </w:r>
      <w:r>
        <w:rPr>
          <w:rFonts w:ascii="Times New Roman" w:eastAsia="方正仿宋_GBK" w:hAnsi="Times New Roman"/>
          <w:sz w:val="32"/>
          <w:szCs w:val="32"/>
        </w:rPr>
        <w:t>海关办公室</w:t>
      </w:r>
      <w:r>
        <w:rPr>
          <w:rFonts w:ascii="Times New Roman" w:eastAsia="方正仿宋_GBK" w:hAnsi="Times New Roman" w:hint="eastAsia"/>
          <w:sz w:val="32"/>
          <w:szCs w:val="32"/>
        </w:rPr>
        <w:t>，</w:t>
      </w:r>
      <w:r>
        <w:rPr>
          <w:rFonts w:ascii="Times New Roman" w:eastAsia="方正仿宋_GBK" w:hAnsi="Times New Roman"/>
          <w:sz w:val="32"/>
          <w:szCs w:val="32"/>
        </w:rPr>
        <w:t>地址：河南省</w:t>
      </w:r>
      <w:r>
        <w:rPr>
          <w:rFonts w:ascii="Times New Roman" w:eastAsia="方正仿宋_GBK" w:hAnsi="Times New Roman" w:hint="eastAsia"/>
          <w:sz w:val="32"/>
          <w:szCs w:val="32"/>
        </w:rPr>
        <w:t>郑州市金水区农业路东30号，</w:t>
      </w:r>
      <w:r>
        <w:rPr>
          <w:rFonts w:ascii="Times New Roman" w:eastAsia="方正仿宋_GBK" w:hAnsi="Times New Roman"/>
          <w:sz w:val="32"/>
          <w:szCs w:val="32"/>
        </w:rPr>
        <w:t>邮编：4</w:t>
      </w:r>
      <w:r>
        <w:rPr>
          <w:rFonts w:ascii="Times New Roman" w:eastAsia="方正仿宋_GBK" w:hAnsi="Times New Roman" w:hint="eastAsia"/>
          <w:sz w:val="32"/>
          <w:szCs w:val="32"/>
        </w:rPr>
        <w:t>50008，</w:t>
      </w:r>
      <w:r>
        <w:rPr>
          <w:rFonts w:ascii="Times New Roman" w:eastAsia="方正仿宋_GBK" w:hAnsi="Times New Roman"/>
          <w:sz w:val="32"/>
          <w:szCs w:val="32"/>
        </w:rPr>
        <w:t>电话：03</w:t>
      </w:r>
      <w:r>
        <w:rPr>
          <w:rFonts w:ascii="Times New Roman" w:eastAsia="方正仿宋_GBK" w:hAnsi="Times New Roman" w:hint="eastAsia"/>
          <w:sz w:val="32"/>
          <w:szCs w:val="32"/>
        </w:rPr>
        <w:t>71</w:t>
      </w:r>
      <w:r>
        <w:rPr>
          <w:rFonts w:ascii="Times New Roman" w:eastAsia="方正仿宋_GBK" w:hAnsi="Times New Roman"/>
          <w:sz w:val="32"/>
          <w:szCs w:val="32"/>
        </w:rPr>
        <w:t>-</w:t>
      </w:r>
      <w:r>
        <w:rPr>
          <w:rFonts w:ascii="Times New Roman" w:eastAsia="方正仿宋_GBK" w:hAnsi="Times New Roman" w:hint="eastAsia"/>
          <w:sz w:val="32"/>
          <w:szCs w:val="32"/>
        </w:rPr>
        <w:t>65599126</w:t>
      </w:r>
      <w:r>
        <w:rPr>
          <w:rFonts w:ascii="Times New Roman" w:eastAsia="方正仿宋_GBK" w:hAnsi="Times New Roman"/>
          <w:sz w:val="32"/>
          <w:szCs w:val="32"/>
        </w:rPr>
        <w:t>。</w:t>
      </w:r>
    </w:p>
    <w:p>
      <w:pPr>
        <w:spacing w:line="560" w:lineRule="exact"/>
        <w:ind w:firstLineChars="200" w:firstLine="640"/>
        <w:rPr>
          <w:rFonts w:ascii="方正黑体_GBK" w:eastAsia="方正黑体_GBK"/>
          <w:sz w:val="32"/>
          <w:szCs w:val="32"/>
        </w:rPr>
      </w:pPr>
      <w:r>
        <w:rPr>
          <w:rFonts w:ascii="方正黑体_GBK" w:eastAsia="方正黑体_GBK" w:hint="eastAsia"/>
          <w:sz w:val="32"/>
          <w:szCs w:val="32"/>
        </w:rPr>
        <w:t>一、总体情况</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2020年，郑州海关以习近平新时代中国特色社会主义思想为指导，深入学习贯彻党的十九大和十九届二中、三中、四中、五中全会精神，全面落实党中央、国务院关于全面推进政务公开工作的系列</w:t>
      </w:r>
      <w:r>
        <w:rPr>
          <w:rFonts w:ascii="Times New Roman" w:eastAsia="方正仿宋_GBK" w:hAnsi="Times New Roman" w:hint="eastAsia"/>
          <w:color w:val="000000"/>
          <w:sz w:val="32"/>
          <w:szCs w:val="32"/>
        </w:rPr>
        <w:t>决策部署，</w:t>
      </w:r>
      <w:r>
        <w:rPr>
          <w:rFonts w:ascii="Times New Roman" w:eastAsia="方正仿宋_GBK" w:hAnsi="Times New Roman" w:hint="eastAsia"/>
          <w:sz w:val="32"/>
          <w:szCs w:val="32"/>
        </w:rPr>
        <w:t>准确执行新修订的《中华人民共和国政府信息公开条例》（以下简称《条例》），认真落实《2020年政务公开工作要点》《</w:t>
      </w:r>
      <w:r>
        <w:rPr>
          <w:rFonts w:ascii="Times New Roman" w:eastAsia="方正仿宋_GBK" w:hAnsi="Times New Roman"/>
          <w:sz w:val="32"/>
          <w:szCs w:val="32"/>
        </w:rPr>
        <w:t>2020</w:t>
      </w:r>
      <w:r>
        <w:rPr>
          <w:rFonts w:ascii="Times New Roman" w:eastAsia="方正仿宋_GBK" w:hAnsi="Times New Roman" w:hint="eastAsia"/>
          <w:sz w:val="32"/>
          <w:szCs w:val="32"/>
        </w:rPr>
        <w:t>年海关政务公开工作要点》（以下简称《要点》）要求，推动关区政务公开工作不断提质增效，以公开促落实、促服务、促规范。</w:t>
      </w:r>
    </w:p>
    <w:p>
      <w:pPr>
        <w:spacing w:line="560" w:lineRule="exact"/>
        <w:ind w:firstLineChars="200" w:firstLine="640"/>
        <w:rPr>
          <w:rFonts w:ascii="Times New Roman" w:eastAsia="方正仿宋_GBK" w:hAnsi="Times New Roman"/>
          <w:sz w:val="32"/>
          <w:szCs w:val="32"/>
        </w:rPr>
      </w:pPr>
      <w:r>
        <w:rPr>
          <w:rFonts w:ascii="方正楷体_GBK" w:eastAsia="方正楷体_GBK" w:hint="eastAsia"/>
          <w:b/>
          <w:sz w:val="32"/>
          <w:szCs w:val="32"/>
        </w:rPr>
        <w:t>（一）聚焦服务疫情防控和“六稳”“六保”工作大局。</w:t>
      </w:r>
      <w:r>
        <w:rPr>
          <w:rFonts w:ascii="Times New Roman" w:eastAsia="方正仿宋_GBK" w:hAnsi="Times New Roman" w:hint="eastAsia"/>
          <w:sz w:val="32"/>
          <w:szCs w:val="32"/>
        </w:rPr>
        <w:t>突出主动公开，增设“统筹推进口岸疫情防控和促进外贸稳增长”专栏，及时向社会发布政策文件、政策解读、工作动态等信息110条。突出解疑释惑，针对医疗物资通关、口岸防控措施及疫情期间针对海关征用口罩等不实消息等社会热点问题，及时发布公告消息和政策解读，凝聚社会共识和群防群控力量。</w:t>
      </w:r>
    </w:p>
    <w:p>
      <w:pPr>
        <w:spacing w:line="560" w:lineRule="exact"/>
        <w:ind w:firstLineChars="200" w:firstLine="640"/>
        <w:rPr>
          <w:rFonts w:ascii="方正楷体_GBK" w:eastAsia="方正楷体_GBK"/>
          <w:b/>
          <w:sz w:val="32"/>
          <w:szCs w:val="32"/>
        </w:rPr>
      </w:pPr>
      <w:r>
        <w:rPr>
          <w:rFonts w:ascii="方正楷体_GBK" w:eastAsia="方正楷体_GBK" w:hint="eastAsia"/>
          <w:b/>
          <w:sz w:val="32"/>
          <w:szCs w:val="32"/>
        </w:rPr>
        <w:t>（二）贯彻落实《条例》《要点》坚决有力。</w:t>
      </w:r>
      <w:r>
        <w:rPr>
          <w:rFonts w:ascii="Times New Roman" w:eastAsia="方正仿宋_GBK" w:hAnsi="Times New Roman" w:hint="eastAsia"/>
          <w:sz w:val="32"/>
          <w:szCs w:val="32"/>
        </w:rPr>
        <w:t>举办关区综合政务培训班、关区隶属海关政务公开培训、政务公开工作指引专题培训等，多层级组织开展《条例》《要点》学习，细化2020年政务公开重点工作任务29项，明确责任部门，务实推进关区政务公开工作开展。</w:t>
      </w:r>
    </w:p>
    <w:p>
      <w:pPr>
        <w:spacing w:line="560" w:lineRule="exact"/>
        <w:ind w:firstLineChars="200" w:firstLine="640"/>
        <w:rPr>
          <w:rFonts w:ascii="Times New Roman" w:eastAsia="方正仿宋_GBK" w:hAnsi="Times New Roman"/>
          <w:sz w:val="32"/>
          <w:szCs w:val="32"/>
        </w:rPr>
      </w:pPr>
      <w:r>
        <w:rPr>
          <w:rFonts w:ascii="方正楷体_GBK" w:eastAsia="方正楷体_GBK" w:hint="eastAsia"/>
          <w:b/>
          <w:sz w:val="32"/>
          <w:szCs w:val="32"/>
        </w:rPr>
        <w:t>（三）重点领域信息主动公开进一步深化。</w:t>
      </w:r>
      <w:r>
        <w:rPr>
          <w:rFonts w:ascii="方正仿宋_GBK" w:eastAsia="方正仿宋_GBK" w:hint="eastAsia"/>
          <w:sz w:val="32"/>
          <w:szCs w:val="32"/>
        </w:rPr>
        <w:t>对照《条例》主动公开范围，优化我关互联网门户网站主动公开的栏目设置，</w:t>
      </w:r>
      <w:r>
        <w:rPr>
          <w:rFonts w:ascii="Times New Roman" w:eastAsia="方正仿宋_GBK" w:hAnsi="Times New Roman" w:hint="eastAsia"/>
          <w:sz w:val="32"/>
          <w:szCs w:val="32"/>
        </w:rPr>
        <w:t>新设行政处罚事前公开、突发公共事件应急预案等专栏，</w:t>
      </w:r>
      <w:r>
        <w:rPr>
          <w:rFonts w:ascii="方正仿宋_GBK" w:eastAsia="方正仿宋_GBK" w:hint="eastAsia"/>
          <w:sz w:val="32"/>
          <w:szCs w:val="32"/>
        </w:rPr>
        <w:t>扩大</w:t>
      </w:r>
      <w:r>
        <w:rPr>
          <w:rFonts w:ascii="Times New Roman" w:eastAsia="方正仿宋_GBK" w:hAnsi="Times New Roman" w:hint="eastAsia"/>
          <w:sz w:val="32"/>
          <w:szCs w:val="32"/>
        </w:rPr>
        <w:t>主动公开的范围和深度，全年累计主动公开各类信息1696条。</w:t>
      </w:r>
    </w:p>
    <w:p>
      <w:pPr>
        <w:spacing w:line="560" w:lineRule="exact"/>
        <w:ind w:firstLineChars="200" w:firstLine="640"/>
        <w:rPr>
          <w:rFonts w:ascii="Times New Roman" w:eastAsia="方正仿宋_GBK" w:hAnsi="Times New Roman"/>
          <w:sz w:val="32"/>
          <w:szCs w:val="32"/>
        </w:rPr>
      </w:pPr>
      <w:r>
        <w:rPr>
          <w:rFonts w:ascii="方正楷体_GBK" w:eastAsia="方正楷体_GBK" w:hint="eastAsia"/>
          <w:b/>
          <w:sz w:val="32"/>
          <w:szCs w:val="32"/>
        </w:rPr>
        <w:t>（四）依申请公开更加便民。</w:t>
      </w:r>
      <w:r>
        <w:rPr>
          <w:rFonts w:ascii="Times New Roman" w:eastAsia="方正仿宋_GBK" w:hAnsi="Times New Roman" w:hint="eastAsia"/>
          <w:sz w:val="32"/>
          <w:szCs w:val="32"/>
        </w:rPr>
        <w:t>发布关区两级海关受理依申请公开渠道信息，切实保障公众依法获取政府信息权利。集中更新发布关区两级海关办公地址、办公时间、联系方式等信息，公众沟通渠道进一步畅通，全年郑州海关（本级）办理依申请公开2件，</w:t>
      </w:r>
      <w:r>
        <w:rPr>
          <w:rFonts w:ascii="Times New Roman" w:eastAsia="方正仿宋_GBK" w:hAnsi="Times New Roman"/>
          <w:sz w:val="32"/>
          <w:szCs w:val="32"/>
        </w:rPr>
        <w:t>未因</w:t>
      </w:r>
      <w:r>
        <w:rPr>
          <w:rFonts w:ascii="Times New Roman" w:eastAsia="方正仿宋_GBK" w:hAnsi="Times New Roman" w:hint="eastAsia"/>
          <w:sz w:val="32"/>
          <w:szCs w:val="32"/>
        </w:rPr>
        <w:t>申请信息公开</w:t>
      </w:r>
      <w:r>
        <w:rPr>
          <w:rFonts w:ascii="Times New Roman" w:eastAsia="方正仿宋_GBK" w:hAnsi="Times New Roman"/>
          <w:sz w:val="32"/>
          <w:szCs w:val="32"/>
        </w:rPr>
        <w:t>发生</w:t>
      </w:r>
      <w:r>
        <w:rPr>
          <w:rFonts w:ascii="Times New Roman" w:eastAsia="方正仿宋_GBK" w:hAnsi="Times New Roman" w:hint="eastAsia"/>
          <w:sz w:val="32"/>
          <w:szCs w:val="32"/>
        </w:rPr>
        <w:t>行政复议、行政诉讼。</w:t>
      </w:r>
    </w:p>
    <w:p>
      <w:pPr>
        <w:spacing w:line="560" w:lineRule="exact"/>
        <w:ind w:firstLineChars="200" w:firstLine="640"/>
        <w:rPr>
          <w:rFonts w:ascii="Times New Roman" w:eastAsia="方正仿宋_GBK" w:hAnsi="Times New Roman"/>
          <w:sz w:val="32"/>
          <w:szCs w:val="32"/>
        </w:rPr>
      </w:pPr>
      <w:r>
        <w:rPr>
          <w:rFonts w:ascii="方正楷体_GBK" w:eastAsia="方正楷体_GBK" w:hint="eastAsia"/>
          <w:b/>
          <w:sz w:val="32"/>
          <w:szCs w:val="32"/>
        </w:rPr>
        <w:t>（五）政务公开制度更加规范。</w:t>
      </w:r>
      <w:r>
        <w:rPr>
          <w:rFonts w:ascii="Times New Roman" w:eastAsia="方正仿宋_GBK" w:hAnsi="Times New Roman" w:hint="eastAsia"/>
          <w:sz w:val="32"/>
          <w:szCs w:val="32"/>
        </w:rPr>
        <w:t>修订印发《郑州海关政府信息公开管理规定》，制定发布《郑州海关政府信息公开工作指引》，规范依申请公开工作规程、信息公开审查规程，细化文书模版，进一步规范关区两级海关政务公开工作，从制度层面加快推进关区两级海关政务公开规范化建设。</w:t>
      </w:r>
    </w:p>
    <w:p>
      <w:pPr>
        <w:spacing w:line="560" w:lineRule="exact"/>
        <w:ind w:firstLineChars="200" w:firstLine="640"/>
        <w:rPr>
          <w:rFonts w:ascii="Times New Roman" w:eastAsia="方正仿宋_GBK" w:hAnsi="Times New Roman"/>
          <w:sz w:val="32"/>
          <w:szCs w:val="32"/>
        </w:rPr>
      </w:pPr>
      <w:r>
        <w:rPr>
          <w:rFonts w:ascii="方正楷体_GBK" w:eastAsia="方正楷体_GBK" w:hint="eastAsia"/>
          <w:b/>
          <w:sz w:val="32"/>
          <w:szCs w:val="32"/>
        </w:rPr>
        <w:t>（六）政务公开平台更加完善。</w:t>
      </w:r>
      <w:r>
        <w:rPr>
          <w:rFonts w:ascii="Times New Roman" w:eastAsia="方正仿宋_GBK" w:hAnsi="Times New Roman" w:hint="eastAsia"/>
          <w:sz w:val="32"/>
          <w:szCs w:val="32"/>
        </w:rPr>
        <w:t>坚持把互联网门户网站作为政务公开的第一平台，以原“政务公开”等栏目为依托，年内2次对我关互联网门户网站“政府信息公开”专栏进行改版，对10个模块29个子项进行优化调整，同步修订《郑州海关政府信息公开指南》，在网站建设检查中多次取得满分成绩。</w:t>
      </w:r>
    </w:p>
    <w:p>
      <w:pPr>
        <w:spacing w:line="560" w:lineRule="exact"/>
        <w:ind w:firstLineChars="200" w:firstLine="640"/>
        <w:rPr>
          <w:rFonts w:ascii="Times New Roman" w:eastAsia="方正仿宋_GBK" w:hAnsi="Times New Roman"/>
          <w:sz w:val="32"/>
          <w:szCs w:val="32"/>
        </w:rPr>
      </w:pPr>
      <w:r>
        <w:rPr>
          <w:rFonts w:ascii="方正楷体_GBK" w:eastAsia="方正楷体_GBK" w:hint="eastAsia"/>
          <w:b/>
          <w:sz w:val="32"/>
          <w:szCs w:val="32"/>
        </w:rPr>
        <w:t>（七）政民互动更加畅通。</w:t>
      </w:r>
      <w:r>
        <w:rPr>
          <w:rFonts w:ascii="Times New Roman" w:eastAsia="方正仿宋_GBK" w:hAnsi="Times New Roman" w:hint="eastAsia"/>
          <w:sz w:val="32"/>
          <w:szCs w:val="32"/>
        </w:rPr>
        <w:t>开门问策，先后组织开展《政府信息公开条例》实施一周年问卷调查、12360热线开通十周年问卷调查，坚持问题导向，持续改进政务公开薄弱环节。及时回应公众诉求，对“业务咨询”“关长信箱”“信访留言”等交流互动平台进行优化改版，全年累计受理并答复社会各界咨询问题196条。</w:t>
      </w:r>
    </w:p>
    <w:p>
      <w:pPr>
        <w:spacing w:line="560" w:lineRule="exact"/>
        <w:ind w:firstLineChars="200" w:firstLine="640"/>
        <w:rPr>
          <w:rFonts w:ascii="方正楷体_GBK" w:eastAsia="方正楷体_GBK"/>
          <w:b/>
          <w:sz w:val="32"/>
          <w:szCs w:val="32"/>
        </w:rPr>
      </w:pPr>
      <w:r>
        <w:rPr>
          <w:rFonts w:ascii="方正楷体_GBK" w:eastAsia="方正楷体_GBK" w:hint="eastAsia"/>
          <w:b/>
          <w:sz w:val="32"/>
          <w:szCs w:val="32"/>
        </w:rPr>
        <w:t>（八）监督保障更加有力。</w:t>
      </w:r>
      <w:r>
        <w:rPr>
          <w:rFonts w:ascii="Times New Roman" w:eastAsia="方正仿宋_GBK" w:hAnsi="Times New Roman" w:hint="eastAsia"/>
          <w:sz w:val="32"/>
          <w:szCs w:val="32"/>
        </w:rPr>
        <w:t>将政务公开纳入2020年郑州海关综合性检查，举一反三，狠抓问题整改落实。统筹政务公开、党务公开、依法行政公示等，统一关区各隶属海关政务公开栏规范化建设。加强互联网门户网站政务公开平台管理，建立日常巡网机制，对主动公开信息加强日常检查，确保对外发布信息及时准确。</w:t>
      </w:r>
    </w:p>
    <w:p>
      <w:pPr>
        <w:adjustRightInd w:val="0"/>
        <w:snapToGrid w:val="0"/>
        <w:spacing w:after="100" w:afterAutospacing="1"/>
        <w:ind w:firstLineChars="200" w:firstLine="640"/>
        <w:rPr>
          <w:rFonts w:ascii="方正黑体_GBK" w:eastAsia="方正黑体_GBK" w:cs="楷体_GB2312"/>
          <w:bCs/>
          <w:sz w:val="32"/>
          <w:szCs w:val="32"/>
          <w:shd w:val="clear" w:color="auto" w:fill="FFFFFF"/>
        </w:rPr>
      </w:pPr>
      <w:r>
        <w:rPr>
          <w:rFonts w:ascii="方正黑体_GBK" w:eastAsia="方正黑体_GBK" w:cs="楷体_GB2312" w:hint="eastAsia"/>
          <w:bCs/>
          <w:sz w:val="32"/>
          <w:szCs w:val="32"/>
          <w:shd w:val="clear" w:color="auto" w:fill="FFFFFF"/>
        </w:rPr>
        <w:t>二、主动公开政府信息情况</w:t>
      </w:r>
    </w:p>
    <w:tbl>
      <w:tblPr>
        <w:jc w:val="center"/>
        <w:tblW w:w="8995"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2720"/>
        <w:gridCol w:w="2183"/>
        <w:gridCol w:w="1936"/>
        <w:gridCol w:w="2156"/>
      </w:tblGrid>
      <w:tr>
        <w:trPr>
          <w:trHeight w:val="495"/>
        </w:trPr>
        <w:tc>
          <w:tcPr>
            <w:tcW w:w="8995" w:type="dxa"/>
            <w:gridSpan w:val="4"/>
            <w:tcBorders>
              <w:top w:val="single" w:sz="8" w:space="0" w:color="auto"/>
              <w:left w:val="single" w:sz="8" w:space="0" w:color="auto"/>
              <w:bottom w:val="single" w:sz="8" w:space="0" w:color="auto"/>
              <w:right w:val="single" w:sz="8" w:space="0" w:color="auto"/>
            </w:tcBorders>
            <w:shd w:val="clear" w:color="auto" w:fill="C6D9F1"/>
            <w:tcMar>
              <w:left w:w="108" w:type="dxa"/>
              <w:right w:w="108" w:type="dxa"/>
            </w:tcMar>
            <w:vAlign w:val="center"/>
          </w:tcPr>
          <w:p>
            <w:pPr>
              <w:widowControl/>
              <w:jc w:val="center"/>
              <w:rPr>
                <w:sz w:val="24"/>
                <w:szCs w:val="24"/>
              </w:rPr>
            </w:pPr>
            <w:r>
              <w:rPr>
                <w:rFonts w:ascii="宋体" w:cs="宋体" w:hint="eastAsia"/>
                <w:kern w:val="0"/>
                <w:sz w:val="24"/>
                <w:szCs w:val="24"/>
              </w:rPr>
              <w:t>第二十条第（一）项</w:t>
            </w:r>
          </w:p>
        </w:tc>
      </w:tr>
      <w:tr>
        <w:trPr>
          <w:trHeight w:val="68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widowControl/>
              <w:jc w:val="center"/>
              <w:rPr>
                <w:sz w:val="24"/>
                <w:szCs w:val="24"/>
              </w:rPr>
            </w:pPr>
            <w:r>
              <w:rPr>
                <w:rFonts w:ascii="宋体" w:cs="宋体" w:hint="eastAsia"/>
                <w:kern w:val="0"/>
                <w:sz w:val="24"/>
                <w:szCs w:val="24"/>
              </w:rPr>
              <w:t>信息内容</w:t>
            </w:r>
          </w:p>
        </w:tc>
        <w:tc>
          <w:tcPr>
            <w:tcW w:w="2183"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widowControl/>
              <w:jc w:val="center"/>
              <w:rPr>
                <w:sz w:val="24"/>
                <w:szCs w:val="24"/>
              </w:rPr>
            </w:pPr>
            <w:r>
              <w:rPr>
                <w:rFonts w:ascii="宋体" w:cs="宋体" w:hint="eastAsia"/>
                <w:kern w:val="0"/>
                <w:sz w:val="24"/>
                <w:szCs w:val="24"/>
              </w:rPr>
              <w:t>本年新</w:t>
            </w:r>
            <w:r>
              <w:rPr>
                <w:kern w:val="0"/>
                <w:sz w:val="24"/>
                <w:szCs w:val="24"/>
              </w:rPr>
              <w:t>制作数量</w:t>
            </w:r>
          </w:p>
        </w:tc>
        <w:tc>
          <w:tcPr>
            <w:tcW w:w="1936"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widowControl/>
              <w:jc w:val="center"/>
              <w:rPr>
                <w:sz w:val="24"/>
                <w:szCs w:val="24"/>
              </w:rPr>
            </w:pPr>
            <w:r>
              <w:rPr>
                <w:rFonts w:ascii="宋体" w:cs="宋体" w:hint="eastAsia"/>
                <w:kern w:val="0"/>
                <w:sz w:val="24"/>
                <w:szCs w:val="24"/>
              </w:rPr>
              <w:t>本年新</w:t>
            </w:r>
            <w:r>
              <w:rPr>
                <w:kern w:val="0"/>
                <w:sz w:val="24"/>
                <w:szCs w:val="24"/>
              </w:rPr>
              <w:t>公开数量</w:t>
            </w:r>
          </w:p>
        </w:tc>
        <w:tc>
          <w:tcPr>
            <w:tcW w:w="2156" w:type="dxa"/>
            <w:tcBorders>
              <w:top w:val="nil"/>
              <w:left w:val="nil"/>
              <w:bottom w:val="single" w:sz="8" w:space="0" w:color="auto"/>
              <w:right w:val="single" w:sz="8" w:space="0" w:color="auto"/>
            </w:tcBorders>
            <w:shd w:val="clear" w:color="auto" w:fill="auto"/>
            <w:vAlign w:val="center"/>
          </w:tcPr>
          <w:p>
            <w:pPr>
              <w:widowControl/>
              <w:jc w:val="center"/>
              <w:rPr>
                <w:sz w:val="24"/>
                <w:szCs w:val="24"/>
              </w:rPr>
            </w:pPr>
            <w:r>
              <w:rPr>
                <w:rFonts w:ascii="宋体" w:cs="宋体" w:hint="eastAsia"/>
                <w:kern w:val="0"/>
                <w:sz w:val="24"/>
                <w:szCs w:val="24"/>
              </w:rPr>
              <w:t>对外公开总数量</w:t>
            </w:r>
          </w:p>
        </w:tc>
      </w:tr>
      <w:tr>
        <w:trPr>
          <w:trHeight w:val="51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widowControl/>
              <w:adjustRightInd w:val="0"/>
              <w:snapToGrid w:val="0"/>
              <w:spacing w:line="260" w:lineRule="exact"/>
              <w:jc w:val="left"/>
              <w:rPr>
                <w:sz w:val="24"/>
                <w:szCs w:val="24"/>
              </w:rPr>
            </w:pPr>
            <w:r>
              <w:rPr>
                <w:rFonts w:ascii="宋体" w:cs="宋体" w:hint="eastAsia"/>
                <w:kern w:val="0"/>
                <w:sz w:val="24"/>
                <w:szCs w:val="24"/>
              </w:rPr>
              <w:t>规章</w:t>
            </w:r>
          </w:p>
        </w:tc>
        <w:tc>
          <w:tcPr>
            <w:tcW w:w="2183"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1936"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2156" w:type="dxa"/>
            <w:tcBorders>
              <w:top w:val="nil"/>
              <w:left w:val="nil"/>
              <w:bottom w:val="single" w:sz="8" w:space="0" w:color="auto"/>
              <w:right w:val="single" w:sz="8" w:space="0" w:color="auto"/>
            </w:tcBorders>
            <w:shd w:val="clear" w:color="auto" w:fill="auto"/>
            <w:vAlign w:val="center"/>
          </w:tcPr>
          <w:p>
            <w:pPr>
              <w:jc w:val="center"/>
              <w:rPr>
                <w:rFonts w:eastAsia="方正仿宋_GBK"/>
                <w:sz w:val="24"/>
                <w:szCs w:val="24"/>
              </w:rPr>
            </w:pPr>
            <w:r>
              <w:rPr>
                <w:rFonts w:eastAsia="方正仿宋_GBK" w:hint="eastAsia"/>
                <w:sz w:val="24"/>
                <w:szCs w:val="24"/>
              </w:rPr>
              <w:t>0</w:t>
            </w:r>
          </w:p>
        </w:tc>
      </w:tr>
      <w:tr>
        <w:trPr>
          <w:trHeight w:val="51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widowControl/>
              <w:adjustRightInd w:val="0"/>
              <w:snapToGrid w:val="0"/>
              <w:spacing w:line="260" w:lineRule="exact"/>
              <w:jc w:val="left"/>
              <w:rPr>
                <w:sz w:val="24"/>
                <w:szCs w:val="24"/>
              </w:rPr>
            </w:pPr>
            <w:r>
              <w:rPr>
                <w:rFonts w:ascii="宋体" w:cs="宋体" w:hint="eastAsia"/>
                <w:kern w:val="0"/>
                <w:sz w:val="24"/>
                <w:szCs w:val="24"/>
              </w:rPr>
              <w:t>规范性文件</w:t>
            </w:r>
          </w:p>
        </w:tc>
        <w:tc>
          <w:tcPr>
            <w:tcW w:w="2183"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2</w:t>
            </w:r>
          </w:p>
        </w:tc>
        <w:tc>
          <w:tcPr>
            <w:tcW w:w="1936"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2</w:t>
            </w:r>
          </w:p>
        </w:tc>
        <w:tc>
          <w:tcPr>
            <w:tcW w:w="2156" w:type="dxa"/>
            <w:tcBorders>
              <w:top w:val="nil"/>
              <w:left w:val="nil"/>
              <w:bottom w:val="single" w:sz="8" w:space="0" w:color="auto"/>
              <w:right w:val="single" w:sz="8" w:space="0" w:color="auto"/>
            </w:tcBorders>
            <w:shd w:val="clear" w:color="auto" w:fill="auto"/>
            <w:vAlign w:val="center"/>
          </w:tcPr>
          <w:p>
            <w:pPr>
              <w:jc w:val="center"/>
              <w:rPr>
                <w:rFonts w:eastAsia="方正仿宋_GBK"/>
                <w:sz w:val="24"/>
                <w:szCs w:val="24"/>
              </w:rPr>
            </w:pPr>
            <w:r>
              <w:rPr>
                <w:rFonts w:eastAsia="方正仿宋_GBK"/>
                <w:sz w:val="24"/>
                <w:szCs w:val="24"/>
              </w:rPr>
              <w:t>11</w:t>
            </w:r>
          </w:p>
        </w:tc>
      </w:tr>
      <w:tr>
        <w:trPr>
          <w:trHeight w:val="435"/>
        </w:trPr>
        <w:tc>
          <w:tcPr>
            <w:tcW w:w="8995" w:type="dxa"/>
            <w:gridSpan w:val="4"/>
            <w:tcBorders>
              <w:top w:val="nil"/>
              <w:left w:val="single" w:sz="8" w:space="0" w:color="auto"/>
              <w:bottom w:val="single" w:sz="8" w:space="0" w:color="auto"/>
              <w:right w:val="single" w:sz="8" w:space="0" w:color="auto"/>
            </w:tcBorders>
            <w:shd w:val="clear" w:color="auto" w:fill="C6D9F1"/>
            <w:tcMar>
              <w:left w:w="108" w:type="dxa"/>
              <w:right w:w="108" w:type="dxa"/>
            </w:tcMar>
            <w:vAlign w:val="center"/>
          </w:tcPr>
          <w:p>
            <w:pPr>
              <w:widowControl/>
              <w:jc w:val="center"/>
              <w:rPr>
                <w:sz w:val="24"/>
                <w:szCs w:val="24"/>
              </w:rPr>
            </w:pPr>
            <w:r>
              <w:rPr>
                <w:rFonts w:ascii="宋体" w:cs="宋体" w:hint="eastAsia"/>
                <w:kern w:val="0"/>
                <w:sz w:val="24"/>
                <w:szCs w:val="24"/>
              </w:rPr>
              <w:t>第二十条第（五）项</w:t>
            </w:r>
          </w:p>
        </w:tc>
      </w:tr>
      <w:tr>
        <w:trPr>
          <w:trHeight w:val="68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widowControl/>
              <w:adjustRightInd w:val="0"/>
              <w:snapToGrid w:val="0"/>
              <w:spacing w:line="260" w:lineRule="exact"/>
              <w:jc w:val="center"/>
              <w:rPr>
                <w:sz w:val="24"/>
                <w:szCs w:val="24"/>
              </w:rPr>
            </w:pPr>
            <w:r>
              <w:rPr>
                <w:rFonts w:ascii="宋体" w:cs="宋体" w:hint="eastAsia"/>
                <w:kern w:val="0"/>
                <w:sz w:val="24"/>
                <w:szCs w:val="24"/>
              </w:rPr>
              <w:t>信息内容</w:t>
            </w:r>
          </w:p>
        </w:tc>
        <w:tc>
          <w:tcPr>
            <w:tcW w:w="2183"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widowControl/>
              <w:adjustRightInd w:val="0"/>
              <w:snapToGrid w:val="0"/>
              <w:spacing w:line="260" w:lineRule="exact"/>
              <w:jc w:val="center"/>
              <w:rPr>
                <w:sz w:val="24"/>
                <w:szCs w:val="24"/>
              </w:rPr>
            </w:pPr>
            <w:r>
              <w:rPr>
                <w:rFonts w:ascii="宋体" w:cs="宋体" w:hint="eastAsia"/>
                <w:kern w:val="0"/>
                <w:sz w:val="24"/>
                <w:szCs w:val="24"/>
              </w:rPr>
              <w:t>本年项目数量</w:t>
            </w:r>
          </w:p>
        </w:tc>
        <w:tc>
          <w:tcPr>
            <w:tcW w:w="1936"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widowControl/>
              <w:adjustRightInd w:val="0"/>
              <w:snapToGrid w:val="0"/>
              <w:spacing w:line="260" w:lineRule="exact"/>
              <w:jc w:val="center"/>
              <w:rPr>
                <w:sz w:val="24"/>
                <w:szCs w:val="24"/>
              </w:rPr>
            </w:pPr>
            <w:r>
              <w:rPr>
                <w:rFonts w:ascii="宋体" w:cs="宋体" w:hint="eastAsia"/>
                <w:kern w:val="0"/>
                <w:sz w:val="24"/>
                <w:szCs w:val="24"/>
              </w:rPr>
              <w:t>相比上年增/减</w:t>
            </w:r>
          </w:p>
        </w:tc>
        <w:tc>
          <w:tcPr>
            <w:tcW w:w="2156" w:type="dxa"/>
            <w:tcBorders>
              <w:top w:val="nil"/>
              <w:left w:val="nil"/>
              <w:bottom w:val="single" w:sz="8" w:space="0" w:color="auto"/>
              <w:right w:val="single" w:sz="8" w:space="0" w:color="auto"/>
            </w:tcBorders>
            <w:shd w:val="clear" w:color="auto" w:fill="auto"/>
            <w:vAlign w:val="center"/>
          </w:tcPr>
          <w:p>
            <w:pPr>
              <w:widowControl/>
              <w:adjustRightInd w:val="0"/>
              <w:snapToGrid w:val="0"/>
              <w:spacing w:line="260" w:lineRule="exact"/>
              <w:jc w:val="center"/>
              <w:rPr>
                <w:sz w:val="24"/>
                <w:szCs w:val="24"/>
              </w:rPr>
            </w:pPr>
            <w:r>
              <w:rPr>
                <w:rFonts w:ascii="宋体" w:cs="宋体" w:hint="eastAsia"/>
                <w:kern w:val="0"/>
                <w:sz w:val="24"/>
                <w:szCs w:val="24"/>
              </w:rPr>
              <w:t>处理决定数量</w:t>
            </w:r>
          </w:p>
        </w:tc>
      </w:tr>
      <w:tr>
        <w:trPr>
          <w:trHeight w:val="51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widowControl/>
              <w:adjustRightInd w:val="0"/>
              <w:snapToGrid w:val="0"/>
              <w:spacing w:line="260" w:lineRule="exact"/>
              <w:jc w:val="left"/>
              <w:rPr>
                <w:sz w:val="24"/>
                <w:szCs w:val="24"/>
              </w:rPr>
            </w:pPr>
            <w:r>
              <w:rPr>
                <w:rFonts w:ascii="宋体" w:cs="宋体" w:hint="eastAsia"/>
                <w:kern w:val="0"/>
                <w:sz w:val="24"/>
                <w:szCs w:val="24"/>
              </w:rPr>
              <w:t>行政许可</w:t>
            </w:r>
          </w:p>
        </w:tc>
        <w:tc>
          <w:tcPr>
            <w:tcW w:w="2183"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cs="宋体"/>
                <w:sz w:val="24"/>
                <w:szCs w:val="24"/>
              </w:rPr>
            </w:pPr>
            <w:r>
              <w:rPr>
                <w:rFonts w:eastAsia="方正仿宋_GBK" w:cs="宋体" w:hint="eastAsia"/>
                <w:sz w:val="24"/>
                <w:szCs w:val="24"/>
              </w:rPr>
              <w:t>7</w:t>
            </w:r>
          </w:p>
        </w:tc>
        <w:tc>
          <w:tcPr>
            <w:tcW w:w="1936"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cs="宋体"/>
                <w:sz w:val="24"/>
                <w:szCs w:val="24"/>
              </w:rPr>
            </w:pPr>
            <w:r>
              <w:rPr>
                <w:rFonts w:eastAsia="方正仿宋_GBK" w:cs="宋体" w:hint="eastAsia"/>
                <w:sz w:val="24"/>
                <w:szCs w:val="24"/>
              </w:rPr>
              <w:t>0</w:t>
            </w:r>
          </w:p>
        </w:tc>
        <w:tc>
          <w:tcPr>
            <w:tcW w:w="2156" w:type="dxa"/>
            <w:tcBorders>
              <w:top w:val="nil"/>
              <w:left w:val="nil"/>
              <w:bottom w:val="single" w:sz="8" w:space="0" w:color="auto"/>
              <w:right w:val="single" w:sz="8" w:space="0" w:color="auto"/>
            </w:tcBorders>
            <w:shd w:val="clear" w:color="auto" w:fill="auto"/>
            <w:vAlign w:val="center"/>
          </w:tcPr>
          <w:p>
            <w:pPr>
              <w:jc w:val="center"/>
              <w:rPr>
                <w:rFonts w:eastAsia="方正仿宋_GBK" w:cs="宋体"/>
                <w:sz w:val="24"/>
                <w:szCs w:val="24"/>
              </w:rPr>
            </w:pPr>
            <w:r>
              <w:rPr>
                <w:rFonts w:eastAsia="方正仿宋_GBK" w:cs="宋体" w:hint="eastAsia"/>
                <w:sz w:val="24"/>
                <w:szCs w:val="24"/>
              </w:rPr>
              <w:t>928</w:t>
            </w:r>
          </w:p>
        </w:tc>
      </w:tr>
      <w:tr>
        <w:trPr>
          <w:trHeight w:val="406"/>
        </w:trPr>
        <w:tc>
          <w:tcPr>
            <w:tcW w:w="8995" w:type="dxa"/>
            <w:gridSpan w:val="4"/>
            <w:tcBorders>
              <w:top w:val="nil"/>
              <w:left w:val="single" w:sz="8" w:space="0" w:color="auto"/>
              <w:bottom w:val="single" w:sz="8" w:space="0" w:color="auto"/>
              <w:right w:val="single" w:sz="8" w:space="0" w:color="auto"/>
            </w:tcBorders>
            <w:shd w:val="clear" w:color="auto" w:fill="C6D9F1"/>
            <w:tcMar>
              <w:left w:w="108" w:type="dxa"/>
              <w:right w:w="108" w:type="dxa"/>
            </w:tcMar>
            <w:vAlign w:val="center"/>
          </w:tcPr>
          <w:p>
            <w:pPr>
              <w:widowControl/>
              <w:jc w:val="center"/>
              <w:rPr>
                <w:sz w:val="24"/>
                <w:szCs w:val="24"/>
              </w:rPr>
            </w:pPr>
            <w:r>
              <w:rPr>
                <w:rFonts w:ascii="宋体" w:cs="宋体" w:hint="eastAsia"/>
                <w:kern w:val="0"/>
                <w:sz w:val="24"/>
                <w:szCs w:val="24"/>
              </w:rPr>
              <w:t>第二十条第（六）项</w:t>
            </w:r>
          </w:p>
        </w:tc>
      </w:tr>
      <w:tr>
        <w:trPr>
          <w:trHeight w:val="68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widowControl/>
              <w:adjustRightInd w:val="0"/>
              <w:snapToGrid w:val="0"/>
              <w:spacing w:line="260" w:lineRule="exact"/>
              <w:jc w:val="center"/>
              <w:rPr>
                <w:sz w:val="24"/>
                <w:szCs w:val="24"/>
              </w:rPr>
            </w:pPr>
            <w:r>
              <w:rPr>
                <w:rFonts w:ascii="宋体" w:cs="宋体" w:hint="eastAsia"/>
                <w:kern w:val="0"/>
                <w:sz w:val="24"/>
                <w:szCs w:val="24"/>
              </w:rPr>
              <w:t>信息内容</w:t>
            </w:r>
          </w:p>
        </w:tc>
        <w:tc>
          <w:tcPr>
            <w:tcW w:w="2183"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widowControl/>
              <w:adjustRightInd w:val="0"/>
              <w:snapToGrid w:val="0"/>
              <w:spacing w:line="260" w:lineRule="exact"/>
              <w:jc w:val="center"/>
              <w:rPr>
                <w:sz w:val="24"/>
                <w:szCs w:val="24"/>
              </w:rPr>
            </w:pPr>
            <w:r>
              <w:rPr>
                <w:rFonts w:ascii="宋体" w:cs="宋体" w:hint="eastAsia"/>
                <w:kern w:val="0"/>
                <w:sz w:val="24"/>
                <w:szCs w:val="24"/>
              </w:rPr>
              <w:t>本年项目数量</w:t>
            </w:r>
          </w:p>
        </w:tc>
        <w:tc>
          <w:tcPr>
            <w:tcW w:w="1936"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widowControl/>
              <w:adjustRightInd w:val="0"/>
              <w:snapToGrid w:val="0"/>
              <w:spacing w:line="260" w:lineRule="exact"/>
              <w:jc w:val="center"/>
              <w:rPr>
                <w:sz w:val="24"/>
                <w:szCs w:val="24"/>
              </w:rPr>
            </w:pPr>
            <w:r>
              <w:rPr>
                <w:rFonts w:ascii="宋体" w:cs="宋体" w:hint="eastAsia"/>
                <w:kern w:val="0"/>
                <w:sz w:val="24"/>
                <w:szCs w:val="24"/>
              </w:rPr>
              <w:t>相比上年增/减</w:t>
            </w:r>
          </w:p>
        </w:tc>
        <w:tc>
          <w:tcPr>
            <w:tcW w:w="2156" w:type="dxa"/>
            <w:tcBorders>
              <w:top w:val="nil"/>
              <w:left w:val="nil"/>
              <w:bottom w:val="single" w:sz="8" w:space="0" w:color="auto"/>
              <w:right w:val="single" w:sz="8" w:space="0" w:color="auto"/>
            </w:tcBorders>
            <w:shd w:val="clear" w:color="auto" w:fill="auto"/>
            <w:vAlign w:val="center"/>
          </w:tcPr>
          <w:p>
            <w:pPr>
              <w:widowControl/>
              <w:adjustRightInd w:val="0"/>
              <w:snapToGrid w:val="0"/>
              <w:spacing w:line="260" w:lineRule="exact"/>
              <w:jc w:val="center"/>
              <w:rPr>
                <w:sz w:val="24"/>
                <w:szCs w:val="24"/>
              </w:rPr>
            </w:pPr>
            <w:r>
              <w:rPr>
                <w:rFonts w:ascii="宋体" w:cs="宋体" w:hint="eastAsia"/>
                <w:kern w:val="0"/>
                <w:sz w:val="24"/>
                <w:szCs w:val="24"/>
              </w:rPr>
              <w:t>处理决定数量</w:t>
            </w:r>
          </w:p>
        </w:tc>
      </w:tr>
      <w:tr>
        <w:trPr>
          <w:trHeight w:val="51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widowControl/>
              <w:adjustRightInd w:val="0"/>
              <w:snapToGrid w:val="0"/>
              <w:spacing w:line="260" w:lineRule="exact"/>
              <w:jc w:val="left"/>
              <w:rPr>
                <w:sz w:val="24"/>
                <w:szCs w:val="24"/>
              </w:rPr>
            </w:pPr>
            <w:r>
              <w:rPr>
                <w:rFonts w:ascii="宋体" w:cs="宋体" w:hint="eastAsia"/>
                <w:kern w:val="0"/>
                <w:sz w:val="24"/>
                <w:szCs w:val="24"/>
              </w:rPr>
              <w:t>行政处罚</w:t>
            </w:r>
          </w:p>
        </w:tc>
        <w:tc>
          <w:tcPr>
            <w:tcW w:w="2183"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cs="宋体"/>
                <w:sz w:val="24"/>
                <w:szCs w:val="24"/>
              </w:rPr>
            </w:pPr>
            <w:r>
              <w:rPr>
                <w:rFonts w:eastAsia="方正仿宋_GBK" w:cs="宋体" w:hint="eastAsia"/>
                <w:sz w:val="24"/>
                <w:szCs w:val="24"/>
              </w:rPr>
              <w:t>7</w:t>
            </w:r>
          </w:p>
        </w:tc>
        <w:tc>
          <w:tcPr>
            <w:tcW w:w="1936"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cs="宋体"/>
                <w:sz w:val="24"/>
                <w:szCs w:val="24"/>
              </w:rPr>
            </w:pPr>
            <w:r>
              <w:rPr>
                <w:rFonts w:eastAsia="方正仿宋_GBK" w:cs="宋体" w:hint="eastAsia"/>
                <w:sz w:val="24"/>
                <w:szCs w:val="24"/>
              </w:rPr>
              <w:t>0</w:t>
            </w:r>
          </w:p>
        </w:tc>
        <w:tc>
          <w:tcPr>
            <w:tcW w:w="2156" w:type="dxa"/>
            <w:tcBorders>
              <w:top w:val="nil"/>
              <w:left w:val="nil"/>
              <w:bottom w:val="single" w:sz="8" w:space="0" w:color="auto"/>
              <w:right w:val="single" w:sz="8" w:space="0" w:color="auto"/>
            </w:tcBorders>
            <w:shd w:val="clear" w:color="auto" w:fill="auto"/>
            <w:vAlign w:val="center"/>
          </w:tcPr>
          <w:p>
            <w:pPr>
              <w:jc w:val="center"/>
              <w:rPr>
                <w:rFonts w:eastAsia="方正仿宋_GBK" w:cs="宋体"/>
                <w:sz w:val="24"/>
                <w:szCs w:val="24"/>
              </w:rPr>
            </w:pPr>
            <w:r>
              <w:rPr>
                <w:rFonts w:eastAsia="方正仿宋_GBK" w:cs="宋体" w:hint="eastAsia"/>
                <w:sz w:val="24"/>
                <w:szCs w:val="24"/>
              </w:rPr>
              <w:t>33</w:t>
            </w:r>
          </w:p>
        </w:tc>
      </w:tr>
      <w:tr>
        <w:trPr>
          <w:trHeight w:val="51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widowControl/>
              <w:adjustRightInd w:val="0"/>
              <w:snapToGrid w:val="0"/>
              <w:spacing w:line="260" w:lineRule="exact"/>
              <w:jc w:val="left"/>
              <w:rPr>
                <w:sz w:val="24"/>
                <w:szCs w:val="24"/>
              </w:rPr>
            </w:pPr>
            <w:r>
              <w:rPr>
                <w:rFonts w:ascii="宋体" w:cs="宋体" w:hint="eastAsia"/>
                <w:kern w:val="0"/>
                <w:sz w:val="24"/>
                <w:szCs w:val="24"/>
              </w:rPr>
              <w:t>行政强制</w:t>
            </w:r>
          </w:p>
        </w:tc>
        <w:tc>
          <w:tcPr>
            <w:tcW w:w="2183"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cs="宋体"/>
                <w:sz w:val="24"/>
                <w:szCs w:val="24"/>
              </w:rPr>
            </w:pPr>
            <w:r>
              <w:rPr>
                <w:rFonts w:eastAsia="方正仿宋_GBK" w:cs="宋体" w:hint="eastAsia"/>
                <w:sz w:val="24"/>
                <w:szCs w:val="24"/>
              </w:rPr>
              <w:t>16</w:t>
            </w:r>
          </w:p>
        </w:tc>
        <w:tc>
          <w:tcPr>
            <w:tcW w:w="1936"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cs="宋体"/>
                <w:sz w:val="24"/>
                <w:szCs w:val="24"/>
              </w:rPr>
            </w:pPr>
            <w:r>
              <w:rPr>
                <w:rFonts w:eastAsia="方正仿宋_GBK" w:cs="宋体" w:hint="eastAsia"/>
                <w:sz w:val="24"/>
                <w:szCs w:val="24"/>
              </w:rPr>
              <w:t>0</w:t>
            </w:r>
          </w:p>
        </w:tc>
        <w:tc>
          <w:tcPr>
            <w:tcW w:w="2156" w:type="dxa"/>
            <w:tcBorders>
              <w:top w:val="nil"/>
              <w:left w:val="nil"/>
              <w:bottom w:val="single" w:sz="8" w:space="0" w:color="auto"/>
              <w:right w:val="single" w:sz="8" w:space="0" w:color="auto"/>
            </w:tcBorders>
            <w:shd w:val="clear" w:color="auto" w:fill="auto"/>
            <w:vAlign w:val="center"/>
          </w:tcPr>
          <w:p>
            <w:pPr>
              <w:jc w:val="center"/>
              <w:rPr>
                <w:rFonts w:eastAsia="方正仿宋_GBK" w:cs="宋体"/>
                <w:sz w:val="24"/>
                <w:szCs w:val="24"/>
              </w:rPr>
            </w:pPr>
            <w:r>
              <w:rPr>
                <w:rFonts w:eastAsia="方正仿宋_GBK" w:cs="宋体" w:hint="eastAsia"/>
                <w:sz w:val="24"/>
                <w:szCs w:val="24"/>
              </w:rPr>
              <w:t>16</w:t>
            </w:r>
          </w:p>
        </w:tc>
      </w:tr>
      <w:tr>
        <w:trPr>
          <w:trHeight w:val="474"/>
        </w:trPr>
        <w:tc>
          <w:tcPr>
            <w:tcW w:w="8995" w:type="dxa"/>
            <w:gridSpan w:val="4"/>
            <w:tcBorders>
              <w:top w:val="nil"/>
              <w:left w:val="single" w:sz="8" w:space="0" w:color="auto"/>
              <w:bottom w:val="single" w:sz="8" w:space="0" w:color="auto"/>
              <w:right w:val="single" w:sz="8" w:space="0" w:color="auto"/>
            </w:tcBorders>
            <w:shd w:val="clear" w:color="auto" w:fill="C6D9F1"/>
            <w:tcMar>
              <w:left w:w="108" w:type="dxa"/>
              <w:right w:w="108" w:type="dxa"/>
            </w:tcMar>
            <w:vAlign w:val="center"/>
          </w:tcPr>
          <w:p>
            <w:pPr>
              <w:widowControl/>
              <w:jc w:val="center"/>
              <w:rPr>
                <w:sz w:val="24"/>
                <w:szCs w:val="24"/>
              </w:rPr>
            </w:pPr>
            <w:r>
              <w:rPr>
                <w:rFonts w:ascii="宋体" w:cs="宋体" w:hint="eastAsia"/>
                <w:kern w:val="0"/>
                <w:sz w:val="24"/>
                <w:szCs w:val="24"/>
              </w:rPr>
              <w:t>第二十条第（八）项</w:t>
            </w:r>
          </w:p>
        </w:tc>
      </w:tr>
      <w:tr>
        <w:trPr>
          <w:trHeight w:val="68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widowControl/>
              <w:adjustRightInd w:val="0"/>
              <w:snapToGrid w:val="0"/>
              <w:spacing w:line="260" w:lineRule="exact"/>
              <w:jc w:val="center"/>
              <w:rPr>
                <w:sz w:val="24"/>
                <w:szCs w:val="24"/>
              </w:rPr>
            </w:pPr>
            <w:r>
              <w:rPr>
                <w:rFonts w:ascii="宋体" w:cs="宋体" w:hint="eastAsia"/>
                <w:kern w:val="0"/>
                <w:sz w:val="24"/>
                <w:szCs w:val="24"/>
              </w:rPr>
              <w:t>信息内容</w:t>
            </w:r>
          </w:p>
        </w:tc>
        <w:tc>
          <w:tcPr>
            <w:tcW w:w="2183" w:type="dxa"/>
            <w:tcBorders>
              <w:top w:val="nil"/>
              <w:left w:val="nil"/>
              <w:bottom w:val="single" w:sz="8" w:space="0" w:color="auto"/>
              <w:right w:val="single" w:sz="8" w:space="0" w:color="auto"/>
            </w:tcBorders>
            <w:shd w:val="clear" w:color="auto" w:fill="auto"/>
            <w:tcMar>
              <w:left w:w="108" w:type="dxa"/>
              <w:right w:w="108" w:type="dxa"/>
            </w:tcMar>
            <w:vAlign w:val="center"/>
          </w:tcPr>
          <w:p>
            <w:pPr>
              <w:widowControl/>
              <w:adjustRightInd w:val="0"/>
              <w:snapToGrid w:val="0"/>
              <w:spacing w:line="260" w:lineRule="exact"/>
              <w:jc w:val="center"/>
              <w:rPr>
                <w:sz w:val="24"/>
                <w:szCs w:val="24"/>
              </w:rPr>
            </w:pPr>
            <w:r>
              <w:rPr>
                <w:rFonts w:ascii="宋体" w:cs="宋体" w:hint="eastAsia"/>
                <w:kern w:val="0"/>
                <w:sz w:val="24"/>
                <w:szCs w:val="24"/>
              </w:rPr>
              <w:t>本年项目数量</w:t>
            </w:r>
          </w:p>
        </w:tc>
        <w:tc>
          <w:tcPr>
            <w:tcW w:w="4092" w:type="dxa"/>
            <w:gridSpan w:val="2"/>
            <w:tcBorders>
              <w:top w:val="single" w:sz="8" w:space="0" w:color="auto"/>
              <w:left w:val="nil"/>
              <w:bottom w:val="single" w:sz="8" w:space="0" w:color="auto"/>
              <w:right w:val="single" w:sz="8" w:space="0" w:color="000000"/>
            </w:tcBorders>
            <w:shd w:val="clear" w:color="auto" w:fill="auto"/>
            <w:tcMar>
              <w:left w:w="108" w:type="dxa"/>
              <w:right w:w="108" w:type="dxa"/>
            </w:tcMar>
            <w:vAlign w:val="center"/>
          </w:tcPr>
          <w:p>
            <w:pPr>
              <w:widowControl/>
              <w:adjustRightInd w:val="0"/>
              <w:snapToGrid w:val="0"/>
              <w:spacing w:line="260" w:lineRule="exact"/>
              <w:jc w:val="center"/>
              <w:rPr>
                <w:sz w:val="24"/>
                <w:szCs w:val="24"/>
              </w:rPr>
            </w:pPr>
            <w:r>
              <w:rPr>
                <w:rFonts w:ascii="宋体" w:cs="宋体" w:hint="eastAsia"/>
                <w:kern w:val="0"/>
                <w:sz w:val="24"/>
                <w:szCs w:val="24"/>
              </w:rPr>
              <w:t>相比上年增/减</w:t>
            </w:r>
          </w:p>
        </w:tc>
      </w:tr>
      <w:tr>
        <w:trPr>
          <w:trHeight w:val="51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widowControl/>
              <w:adjustRightInd w:val="0"/>
              <w:snapToGrid w:val="0"/>
              <w:spacing w:line="260" w:lineRule="exact"/>
              <w:jc w:val="left"/>
            </w:pPr>
            <w:r>
              <w:rPr>
                <w:rFonts w:ascii="宋体" w:cs="宋体" w:hint="eastAsia"/>
                <w:kern w:val="0"/>
                <w:sz w:val="24"/>
                <w:szCs w:val="24"/>
              </w:rPr>
              <w:t>行政事业性收费</w:t>
            </w:r>
          </w:p>
        </w:tc>
        <w:tc>
          <w:tcPr>
            <w:tcW w:w="2183"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cs="宋体"/>
                <w:sz w:val="24"/>
                <w:szCs w:val="24"/>
              </w:rPr>
            </w:pPr>
            <w:r>
              <w:rPr>
                <w:rFonts w:eastAsia="方正仿宋_GBK" w:cs="宋体" w:hint="eastAsia"/>
                <w:sz w:val="24"/>
                <w:szCs w:val="24"/>
              </w:rPr>
              <w:t>0</w:t>
            </w:r>
          </w:p>
        </w:tc>
        <w:tc>
          <w:tcPr>
            <w:tcW w:w="4092" w:type="dxa"/>
            <w:gridSpan w:val="2"/>
            <w:tcBorders>
              <w:top w:val="nil"/>
              <w:left w:val="nil"/>
              <w:bottom w:val="single" w:sz="8" w:space="0" w:color="auto"/>
              <w:right w:val="single" w:sz="8" w:space="0" w:color="000000"/>
            </w:tcBorders>
            <w:shd w:val="clear" w:color="auto" w:fill="auto"/>
            <w:tcMar>
              <w:left w:w="108" w:type="dxa"/>
              <w:right w:w="108" w:type="dxa"/>
            </w:tcMar>
            <w:vAlign w:val="center"/>
          </w:tcPr>
          <w:p>
            <w:pPr>
              <w:jc w:val="center"/>
              <w:rPr>
                <w:rFonts w:eastAsia="方正仿宋_GBK" w:cs="宋体"/>
                <w:sz w:val="24"/>
                <w:szCs w:val="24"/>
              </w:rPr>
            </w:pPr>
            <w:r>
              <w:rPr>
                <w:rFonts w:eastAsia="方正仿宋_GBK" w:cs="宋体" w:hint="eastAsia"/>
                <w:sz w:val="24"/>
                <w:szCs w:val="24"/>
              </w:rPr>
              <w:t>0</w:t>
            </w:r>
          </w:p>
        </w:tc>
      </w:tr>
      <w:tr>
        <w:trPr>
          <w:trHeight w:val="476"/>
        </w:trPr>
        <w:tc>
          <w:tcPr>
            <w:tcW w:w="8995" w:type="dxa"/>
            <w:gridSpan w:val="4"/>
            <w:tcBorders>
              <w:top w:val="nil"/>
              <w:left w:val="single" w:sz="8" w:space="0" w:color="auto"/>
              <w:bottom w:val="single" w:sz="8" w:space="0" w:color="auto"/>
              <w:right w:val="single" w:sz="8" w:space="0" w:color="auto"/>
            </w:tcBorders>
            <w:shd w:val="clear" w:color="auto" w:fill="C6D9F1"/>
            <w:tcMar>
              <w:left w:w="108" w:type="dxa"/>
              <w:right w:w="108" w:type="dxa"/>
            </w:tcMar>
            <w:vAlign w:val="center"/>
          </w:tcPr>
          <w:p>
            <w:pPr>
              <w:widowControl/>
              <w:jc w:val="center"/>
              <w:rPr>
                <w:sz w:val="24"/>
                <w:szCs w:val="24"/>
              </w:rPr>
            </w:pPr>
            <w:r>
              <w:rPr>
                <w:rFonts w:ascii="宋体" w:cs="宋体" w:hint="eastAsia"/>
                <w:kern w:val="0"/>
                <w:sz w:val="24"/>
                <w:szCs w:val="24"/>
              </w:rPr>
              <w:t>第二十条第（九）项</w:t>
            </w:r>
          </w:p>
        </w:tc>
      </w:tr>
      <w:tr>
        <w:trPr>
          <w:trHeight w:val="68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widowControl/>
              <w:adjustRightInd w:val="0"/>
              <w:snapToGrid w:val="0"/>
              <w:spacing w:line="260" w:lineRule="exact"/>
              <w:jc w:val="center"/>
              <w:rPr>
                <w:sz w:val="24"/>
                <w:szCs w:val="24"/>
              </w:rPr>
            </w:pPr>
            <w:r>
              <w:rPr>
                <w:rFonts w:ascii="宋体" w:cs="宋体" w:hint="eastAsia"/>
                <w:kern w:val="0"/>
                <w:sz w:val="24"/>
                <w:szCs w:val="24"/>
              </w:rPr>
              <w:t>信息内容</w:t>
            </w:r>
          </w:p>
        </w:tc>
        <w:tc>
          <w:tcPr>
            <w:tcW w:w="2183" w:type="dxa"/>
            <w:tcBorders>
              <w:top w:val="nil"/>
              <w:left w:val="nil"/>
              <w:bottom w:val="single" w:sz="8" w:space="0" w:color="auto"/>
              <w:right w:val="single" w:sz="8" w:space="0" w:color="auto"/>
            </w:tcBorders>
            <w:shd w:val="clear" w:color="auto" w:fill="auto"/>
            <w:tcMar>
              <w:left w:w="108" w:type="dxa"/>
              <w:right w:w="108" w:type="dxa"/>
            </w:tcMar>
            <w:vAlign w:val="center"/>
          </w:tcPr>
          <w:p>
            <w:pPr>
              <w:widowControl/>
              <w:adjustRightInd w:val="0"/>
              <w:snapToGrid w:val="0"/>
              <w:spacing w:line="260" w:lineRule="exact"/>
              <w:jc w:val="center"/>
              <w:rPr>
                <w:sz w:val="24"/>
                <w:szCs w:val="24"/>
              </w:rPr>
            </w:pPr>
            <w:r>
              <w:rPr>
                <w:rFonts w:ascii="宋体" w:cs="宋体" w:hint="eastAsia"/>
                <w:kern w:val="0"/>
                <w:sz w:val="24"/>
                <w:szCs w:val="24"/>
              </w:rPr>
              <w:t>采购项目数量</w:t>
            </w:r>
          </w:p>
        </w:tc>
        <w:tc>
          <w:tcPr>
            <w:tcW w:w="4092" w:type="dxa"/>
            <w:gridSpan w:val="2"/>
            <w:tcBorders>
              <w:top w:val="single" w:sz="8" w:space="0" w:color="auto"/>
              <w:left w:val="nil"/>
              <w:bottom w:val="single" w:sz="8" w:space="0" w:color="auto"/>
              <w:right w:val="single" w:sz="8" w:space="0" w:color="000000"/>
            </w:tcBorders>
            <w:shd w:val="clear" w:color="auto" w:fill="auto"/>
            <w:tcMar>
              <w:left w:w="108" w:type="dxa"/>
              <w:right w:w="108" w:type="dxa"/>
            </w:tcMar>
            <w:vAlign w:val="center"/>
          </w:tcPr>
          <w:p>
            <w:pPr>
              <w:widowControl/>
              <w:adjustRightInd w:val="0"/>
              <w:snapToGrid w:val="0"/>
              <w:spacing w:line="260" w:lineRule="exact"/>
              <w:jc w:val="center"/>
              <w:rPr>
                <w:sz w:val="24"/>
                <w:szCs w:val="24"/>
              </w:rPr>
            </w:pPr>
            <w:r>
              <w:rPr>
                <w:rFonts w:ascii="宋体" w:cs="宋体" w:hint="eastAsia"/>
                <w:kern w:val="0"/>
                <w:sz w:val="24"/>
                <w:szCs w:val="24"/>
              </w:rPr>
              <w:t>采购总金额（万元）</w:t>
            </w:r>
          </w:p>
        </w:tc>
      </w:tr>
      <w:tr>
        <w:trPr>
          <w:trHeight w:val="51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widowControl/>
              <w:adjustRightInd w:val="0"/>
              <w:snapToGrid w:val="0"/>
              <w:spacing w:line="260" w:lineRule="exact"/>
              <w:jc w:val="left"/>
              <w:rPr>
                <w:sz w:val="24"/>
                <w:szCs w:val="24"/>
                <w:highlight w:val="yellow"/>
              </w:rPr>
            </w:pPr>
            <w:r>
              <w:rPr>
                <w:rFonts w:ascii="宋体" w:cs="宋体" w:hint="eastAsia"/>
                <w:kern w:val="0"/>
                <w:sz w:val="24"/>
                <w:szCs w:val="24"/>
              </w:rPr>
              <w:t>政府集中采购</w:t>
            </w:r>
          </w:p>
        </w:tc>
        <w:tc>
          <w:tcPr>
            <w:tcW w:w="2183"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cs="宋体"/>
                <w:sz w:val="24"/>
                <w:szCs w:val="24"/>
              </w:rPr>
            </w:pPr>
            <w:r>
              <w:rPr>
                <w:rFonts w:eastAsia="方正仿宋_GBK" w:cs="宋体" w:hint="eastAsia"/>
                <w:sz w:val="24"/>
                <w:szCs w:val="24"/>
              </w:rPr>
              <w:t>24</w:t>
            </w:r>
          </w:p>
        </w:tc>
        <w:tc>
          <w:tcPr>
            <w:tcW w:w="4092" w:type="dxa"/>
            <w:gridSpan w:val="2"/>
            <w:tcBorders>
              <w:top w:val="nil"/>
              <w:left w:val="nil"/>
              <w:bottom w:val="single" w:sz="8" w:space="0" w:color="auto"/>
              <w:right w:val="single" w:sz="8" w:space="0" w:color="000000"/>
            </w:tcBorders>
            <w:shd w:val="clear" w:color="auto" w:fill="auto"/>
            <w:tcMar>
              <w:left w:w="108" w:type="dxa"/>
              <w:right w:w="108" w:type="dxa"/>
            </w:tcMar>
            <w:vAlign w:val="center"/>
          </w:tcPr>
          <w:p>
            <w:pPr>
              <w:jc w:val="center"/>
              <w:rPr>
                <w:rFonts w:eastAsia="方正仿宋_GBK" w:cs="宋体"/>
                <w:sz w:val="24"/>
                <w:szCs w:val="24"/>
              </w:rPr>
            </w:pPr>
            <w:r>
              <w:rPr>
                <w:rFonts w:eastAsia="方正仿宋_GBK" w:cs="宋体" w:hint="eastAsia"/>
                <w:sz w:val="24"/>
                <w:szCs w:val="24"/>
              </w:rPr>
              <w:t>4992.27</w:t>
            </w:r>
          </w:p>
        </w:tc>
      </w:tr>
    </w:tbl>
    <w:p>
      <w:pPr>
        <w:tabs>
          <w:tab w:val="center" w:pos="4153"/>
          <w:tab w:val="right" w:pos="8306"/>
        </w:tabs>
      </w:pPr>
    </w:p>
    <w:p>
      <w:pPr>
        <w:widowControl/>
        <w:shd w:val="clear" w:color="auto" w:fill="FFFFFF"/>
        <w:adjustRightInd w:val="0"/>
        <w:snapToGrid w:val="0"/>
        <w:spacing w:afterLines="50" w:after="218" w:line="560" w:lineRule="exact"/>
        <w:ind w:firstLineChars="200" w:firstLine="640"/>
        <w:rPr>
          <w:rFonts w:ascii="方正黑体_GBK" w:eastAsia="方正黑体_GBK" w:cs="楷体_GB2312"/>
          <w:bCs/>
          <w:sz w:val="32"/>
          <w:szCs w:val="32"/>
          <w:shd w:val="clear" w:color="auto" w:fill="FFFFFF"/>
        </w:rPr>
      </w:pPr>
      <w:r>
        <w:rPr>
          <w:rFonts w:ascii="方正黑体_GBK" w:eastAsia="方正黑体_GBK" w:cs="楷体_GB2312" w:hint="eastAsia"/>
          <w:bCs/>
          <w:sz w:val="32"/>
          <w:szCs w:val="32"/>
          <w:shd w:val="clear" w:color="auto" w:fill="FFFFFF"/>
        </w:rPr>
        <w:t>三、收到和处理政府信息公开申请情况</w:t>
      </w:r>
    </w:p>
    <w:tbl>
      <w:tblPr>
        <w:jc w:val="center"/>
        <w:tblW w:w="9071" w:type="dxa"/>
        <w:tblBorders>
          <w:top w:val="none" w:sz="0" w:space="0" w:color="auto"/>
          <w:left w:val="none" w:sz="0" w:space="0" w:color="auto"/>
          <w:bottom w:val="none" w:sz="0" w:space="0" w:color="auto"/>
          <w:right w:val="none" w:sz="0" w:space="0" w:color="auto"/>
          <w:insideH w:val="outset" w:sz="6" w:space="0" w:color="auto"/>
          <w:insideV w:val="outset" w:sz="6" w:space="0" w:color="auto"/>
        </w:tblBorders>
        <w:tblLayout w:type="fixed"/>
        <w:tblCellMar>
          <w:top w:w="0" w:type="dxa"/>
          <w:left w:w="0" w:type="dxa"/>
          <w:bottom w:w="0" w:type="dxa"/>
          <w:right w:w="0" w:type="dxa"/>
        </w:tblCellMar>
      </w:tblPr>
      <w:tblGrid>
        <w:gridCol w:w="696"/>
        <w:gridCol w:w="936"/>
        <w:gridCol w:w="2670"/>
        <w:gridCol w:w="635"/>
        <w:gridCol w:w="675"/>
        <w:gridCol w:w="750"/>
        <w:gridCol w:w="765"/>
        <w:gridCol w:w="765"/>
        <w:gridCol w:w="497"/>
        <w:gridCol w:w="682"/>
      </w:tblGrid>
      <w:tr>
        <w:trPr>
          <w:tblHeader/>
        </w:trPr>
        <w:tc>
          <w:tcPr>
            <w:tcW w:w="4302" w:type="dxa"/>
            <w:gridSpan w:val="3"/>
            <w:vMerge w:val="restart"/>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pPr>
              <w:widowControl/>
              <w:spacing w:after="180"/>
              <w:jc w:val="center"/>
            </w:pPr>
            <w:r>
              <w:rPr>
                <w:rFonts w:ascii="宋体" w:cs="宋体" w:hint="eastAsia"/>
                <w:kern w:val="0"/>
                <w:sz w:val="20"/>
                <w:szCs w:val="20"/>
              </w:rPr>
              <w:t>（本列数据的勾稽关系为：第一项加第二项之和，等于第三项加第四项之和）</w:t>
            </w:r>
          </w:p>
        </w:tc>
        <w:tc>
          <w:tcPr>
            <w:tcW w:w="4769" w:type="dxa"/>
            <w:gridSpan w:val="7"/>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widowControl/>
              <w:spacing w:after="180"/>
              <w:jc w:val="center"/>
            </w:pPr>
            <w:r>
              <w:rPr>
                <w:rFonts w:ascii="宋体" w:cs="宋体" w:hint="eastAsia"/>
                <w:kern w:val="0"/>
                <w:sz w:val="20"/>
                <w:szCs w:val="20"/>
              </w:rPr>
              <w:t>申请人情况</w:t>
            </w:r>
          </w:p>
        </w:tc>
      </w:tr>
      <w:tr>
        <w:trPr>
          <w:tblHeader/>
        </w:trPr>
        <w:tc>
          <w:tcPr>
            <w:tcW w:w="4302" w:type="dxa"/>
            <w:gridSpan w:val="3"/>
            <w:vMerge/>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635"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pPr>
              <w:widowControl/>
              <w:spacing w:after="180"/>
              <w:jc w:val="center"/>
            </w:pPr>
            <w:r>
              <w:rPr>
                <w:rFonts w:ascii="宋体" w:cs="宋体" w:hint="eastAsia"/>
                <w:kern w:val="0"/>
                <w:sz w:val="20"/>
                <w:szCs w:val="20"/>
              </w:rPr>
              <w:t>自然人</w:t>
            </w:r>
          </w:p>
        </w:tc>
        <w:tc>
          <w:tcPr>
            <w:tcW w:w="3452" w:type="dxa"/>
            <w:gridSpan w:val="5"/>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widowControl/>
              <w:spacing w:after="180"/>
              <w:jc w:val="center"/>
            </w:pPr>
            <w:r>
              <w:rPr>
                <w:rFonts w:ascii="宋体" w:cs="宋体" w:hint="eastAsia"/>
                <w:kern w:val="0"/>
                <w:sz w:val="20"/>
                <w:szCs w:val="20"/>
              </w:rPr>
              <w:t>法人或其他组织</w:t>
            </w:r>
          </w:p>
        </w:tc>
        <w:tc>
          <w:tcPr>
            <w:tcW w:w="682" w:type="dxa"/>
            <w:vMerge w:val="restart"/>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widowControl/>
              <w:spacing w:after="180"/>
              <w:jc w:val="center"/>
            </w:pPr>
            <w:r>
              <w:rPr>
                <w:rFonts w:ascii="宋体" w:cs="宋体" w:hint="eastAsia"/>
                <w:kern w:val="0"/>
                <w:sz w:val="20"/>
                <w:szCs w:val="20"/>
              </w:rPr>
              <w:t>总计</w:t>
            </w:r>
          </w:p>
        </w:tc>
      </w:tr>
      <w:tr>
        <w:trPr>
          <w:trHeight w:val="649"/>
          <w:tblHeader/>
        </w:trPr>
        <w:tc>
          <w:tcPr>
            <w:tcW w:w="4302" w:type="dxa"/>
            <w:gridSpan w:val="3"/>
            <w:vMerge/>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635"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widowControl/>
              <w:spacing w:after="180"/>
              <w:jc w:val="center"/>
            </w:pPr>
            <w:r>
              <w:rPr>
                <w:rFonts w:ascii="宋体" w:cs="宋体" w:hint="eastAsia"/>
                <w:kern w:val="0"/>
                <w:sz w:val="20"/>
                <w:szCs w:val="20"/>
              </w:rPr>
              <w:t>商业企业</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widowControl/>
              <w:spacing w:after="180"/>
              <w:jc w:val="center"/>
            </w:pPr>
            <w:r>
              <w:rPr>
                <w:rFonts w:ascii="宋体" w:cs="宋体" w:hint="eastAsia"/>
                <w:kern w:val="0"/>
                <w:sz w:val="20"/>
                <w:szCs w:val="20"/>
              </w:rPr>
              <w:t>科研机构</w:t>
            </w:r>
          </w:p>
        </w:tc>
        <w:tc>
          <w:tcPr>
            <w:tcW w:w="76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widowControl/>
              <w:spacing w:after="180"/>
              <w:jc w:val="center"/>
            </w:pPr>
            <w:r>
              <w:rPr>
                <w:rFonts w:ascii="宋体" w:cs="宋体" w:hint="eastAsia"/>
                <w:kern w:val="0"/>
                <w:sz w:val="20"/>
                <w:szCs w:val="20"/>
              </w:rPr>
              <w:t>社会公益组织</w:t>
            </w:r>
          </w:p>
        </w:tc>
        <w:tc>
          <w:tcPr>
            <w:tcW w:w="76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widowControl/>
              <w:spacing w:after="180"/>
              <w:jc w:val="center"/>
            </w:pPr>
            <w:r>
              <w:rPr>
                <w:rFonts w:ascii="宋体" w:cs="宋体" w:hint="eastAsia"/>
                <w:kern w:val="0"/>
                <w:sz w:val="20"/>
                <w:szCs w:val="20"/>
              </w:rPr>
              <w:t>法律服务机构</w:t>
            </w:r>
          </w:p>
        </w:tc>
        <w:tc>
          <w:tcPr>
            <w:tcW w:w="497"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widowControl/>
              <w:spacing w:after="180"/>
              <w:jc w:val="center"/>
            </w:pPr>
            <w:r>
              <w:rPr>
                <w:rFonts w:ascii="宋体" w:cs="宋体" w:hint="eastAsia"/>
                <w:kern w:val="0"/>
                <w:sz w:val="20"/>
                <w:szCs w:val="20"/>
              </w:rPr>
              <w:t>其他</w:t>
            </w:r>
          </w:p>
        </w:tc>
        <w:tc>
          <w:tcPr>
            <w:tcW w:w="682" w:type="dxa"/>
            <w:vMerge/>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tc>
      </w:tr>
      <w:tr>
        <w:tc>
          <w:tcPr>
            <w:tcW w:w="4302" w:type="dxa"/>
            <w:gridSpan w:val="3"/>
            <w:tcBorders>
              <w:top w:val="nil"/>
              <w:left w:val="single" w:sz="8" w:space="0" w:color="auto"/>
              <w:bottom w:val="single" w:sz="8" w:space="0" w:color="auto"/>
              <w:right w:val="single" w:sz="8" w:space="0" w:color="auto"/>
            </w:tcBorders>
            <w:shd w:val="clear" w:color="auto" w:fill="auto"/>
            <w:tcMar>
              <w:left w:w="108" w:type="dxa"/>
              <w:right w:w="108" w:type="dxa"/>
            </w:tcMar>
          </w:tcPr>
          <w:p>
            <w:pPr>
              <w:widowControl/>
              <w:spacing w:after="180"/>
              <w:jc w:val="left"/>
              <w:rPr>
                <w:sz w:val="24"/>
                <w:szCs w:val="24"/>
              </w:rPr>
            </w:pPr>
            <w:r>
              <w:rPr>
                <w:rFonts w:ascii="宋体" w:cs="宋体" w:hint="eastAsia"/>
                <w:kern w:val="0"/>
                <w:sz w:val="24"/>
                <w:szCs w:val="24"/>
              </w:rPr>
              <w:t>一、本年新收政府信息公开申请数量</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1</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1</w:t>
            </w:r>
          </w:p>
        </w:tc>
      </w:tr>
      <w:tr>
        <w:tc>
          <w:tcPr>
            <w:tcW w:w="4302" w:type="dxa"/>
            <w:gridSpan w:val="3"/>
            <w:tcBorders>
              <w:top w:val="nil"/>
              <w:left w:val="single" w:sz="8" w:space="0" w:color="auto"/>
              <w:bottom w:val="single" w:sz="8" w:space="0" w:color="auto"/>
              <w:right w:val="single" w:sz="8" w:space="0" w:color="auto"/>
            </w:tcBorders>
            <w:shd w:val="clear" w:color="auto" w:fill="auto"/>
            <w:tcMar>
              <w:left w:w="108" w:type="dxa"/>
              <w:right w:w="108" w:type="dxa"/>
            </w:tcMar>
          </w:tcPr>
          <w:p>
            <w:pPr>
              <w:widowControl/>
              <w:spacing w:after="180"/>
              <w:jc w:val="left"/>
              <w:rPr>
                <w:sz w:val="24"/>
                <w:szCs w:val="24"/>
              </w:rPr>
            </w:pPr>
            <w:r>
              <w:rPr>
                <w:rFonts w:ascii="宋体" w:cs="宋体" w:hint="eastAsia"/>
                <w:kern w:val="0"/>
                <w:sz w:val="24"/>
                <w:szCs w:val="24"/>
              </w:rPr>
              <w:t>二、上年结转政府信息公开申请数量</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2</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2</w:t>
            </w:r>
          </w:p>
        </w:tc>
      </w:tr>
      <w:tr>
        <w:tc>
          <w:tcPr>
            <w:tcW w:w="696" w:type="dxa"/>
            <w:vMerge w:val="restart"/>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widowControl/>
              <w:spacing w:after="180"/>
              <w:jc w:val="center"/>
              <w:rPr>
                <w:sz w:val="24"/>
                <w:szCs w:val="24"/>
              </w:rPr>
            </w:pPr>
            <w:r>
              <w:rPr>
                <w:rFonts w:ascii="宋体" w:cs="宋体" w:hint="eastAsia"/>
                <w:kern w:val="0"/>
                <w:sz w:val="24"/>
                <w:szCs w:val="24"/>
              </w:rPr>
              <w:t>三、本年度办理结果</w:t>
            </w:r>
          </w:p>
        </w:tc>
        <w:tc>
          <w:tcPr>
            <w:tcW w:w="3606" w:type="dxa"/>
            <w:gridSpan w:val="2"/>
            <w:tcBorders>
              <w:top w:val="nil"/>
              <w:left w:val="nil"/>
              <w:bottom w:val="single" w:sz="8" w:space="0" w:color="auto"/>
              <w:right w:val="single" w:sz="8" w:space="0" w:color="auto"/>
            </w:tcBorders>
            <w:shd w:val="clear" w:color="auto" w:fill="auto"/>
            <w:tcMar>
              <w:left w:w="108" w:type="dxa"/>
              <w:right w:w="108" w:type="dxa"/>
            </w:tcMar>
            <w:vAlign w:val="center"/>
          </w:tcPr>
          <w:p>
            <w:pPr>
              <w:widowControl/>
              <w:spacing w:after="180"/>
              <w:jc w:val="left"/>
              <w:rPr>
                <w:sz w:val="24"/>
                <w:szCs w:val="24"/>
              </w:rPr>
            </w:pPr>
            <w:r>
              <w:rPr>
                <w:rFonts w:ascii="楷体" w:eastAsia="楷体" w:cs="楷体" w:hint="eastAsia"/>
                <w:kern w:val="0"/>
                <w:sz w:val="24"/>
                <w:szCs w:val="24"/>
              </w:rPr>
              <w:t>（一）予以公开</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3</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82"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3</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3606" w:type="dxa"/>
            <w:gridSpan w:val="2"/>
            <w:tcBorders>
              <w:top w:val="nil"/>
              <w:left w:val="nil"/>
              <w:bottom w:val="single" w:sz="8" w:space="0" w:color="auto"/>
              <w:right w:val="single" w:sz="8" w:space="0" w:color="auto"/>
            </w:tcBorders>
            <w:shd w:val="clear" w:color="auto" w:fill="auto"/>
            <w:tcMar>
              <w:left w:w="108" w:type="dxa"/>
              <w:right w:w="108" w:type="dxa"/>
            </w:tcMar>
            <w:vAlign w:val="center"/>
          </w:tcPr>
          <w:p>
            <w:pPr>
              <w:widowControl/>
              <w:spacing w:after="180"/>
              <w:jc w:val="left"/>
              <w:rPr>
                <w:sz w:val="24"/>
                <w:szCs w:val="24"/>
              </w:rPr>
            </w:pPr>
            <w:r>
              <w:rPr>
                <w:rFonts w:ascii="楷体" w:eastAsia="楷体" w:cs="楷体" w:hint="eastAsia"/>
                <w:kern w:val="0"/>
                <w:sz w:val="24"/>
                <w:szCs w:val="24"/>
              </w:rPr>
              <w:t>（二）部分公开（区分处理的，只计这一情形，不计其他情形）</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pPr>
              <w:widowControl/>
              <w:spacing w:after="180"/>
              <w:rPr>
                <w:sz w:val="24"/>
                <w:szCs w:val="24"/>
              </w:rPr>
            </w:pPr>
            <w:r>
              <w:rPr>
                <w:rFonts w:ascii="楷体" w:eastAsia="楷体" w:cs="楷体" w:hint="eastAsia"/>
                <w:kern w:val="0"/>
                <w:sz w:val="24"/>
                <w:szCs w:val="24"/>
              </w:rPr>
              <w:t>（三）不予公开</w:t>
            </w: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widowControl/>
              <w:spacing w:after="180"/>
              <w:rPr>
                <w:sz w:val="24"/>
                <w:szCs w:val="24"/>
              </w:rPr>
            </w:pPr>
            <w:r>
              <w:rPr>
                <w:rFonts w:ascii="楷体" w:eastAsia="楷体" w:cs="楷体" w:hint="eastAsia"/>
                <w:kern w:val="0"/>
                <w:sz w:val="24"/>
                <w:szCs w:val="24"/>
              </w:rPr>
              <w:t>1.属于国家秘密</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82"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widowControl/>
              <w:spacing w:after="180"/>
              <w:rPr>
                <w:sz w:val="24"/>
                <w:szCs w:val="24"/>
              </w:rPr>
            </w:pPr>
            <w:r>
              <w:rPr>
                <w:rFonts w:ascii="楷体" w:eastAsia="楷体" w:cs="楷体" w:hint="eastAsia"/>
                <w:kern w:val="0"/>
                <w:sz w:val="24"/>
                <w:szCs w:val="24"/>
              </w:rPr>
              <w:t>2.其他法律行政法规禁止公开</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widowControl/>
              <w:spacing w:after="180"/>
              <w:rPr>
                <w:sz w:val="24"/>
                <w:szCs w:val="24"/>
              </w:rPr>
            </w:pPr>
            <w:r>
              <w:rPr>
                <w:rFonts w:ascii="楷体" w:eastAsia="楷体" w:cs="楷体" w:hint="eastAsia"/>
                <w:kern w:val="0"/>
                <w:sz w:val="24"/>
                <w:szCs w:val="24"/>
              </w:rPr>
              <w:t>3.危及“三安全一稳定”</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widowControl/>
              <w:spacing w:after="180"/>
              <w:rPr>
                <w:sz w:val="24"/>
                <w:szCs w:val="24"/>
              </w:rPr>
            </w:pPr>
            <w:r>
              <w:rPr>
                <w:rFonts w:ascii="楷体" w:eastAsia="楷体" w:cs="楷体" w:hint="eastAsia"/>
                <w:kern w:val="0"/>
                <w:sz w:val="24"/>
                <w:szCs w:val="24"/>
              </w:rPr>
              <w:t>4.保护第三方合法权益</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widowControl/>
              <w:rPr>
                <w:sz w:val="24"/>
                <w:szCs w:val="24"/>
              </w:rPr>
            </w:pPr>
            <w:r>
              <w:rPr>
                <w:rFonts w:ascii="楷体" w:eastAsia="楷体" w:cs="楷体" w:hint="eastAsia"/>
                <w:kern w:val="0"/>
                <w:sz w:val="24"/>
                <w:szCs w:val="24"/>
              </w:rPr>
              <w:t>5.属于三类内部事务信息</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widowControl/>
              <w:rPr>
                <w:sz w:val="24"/>
                <w:szCs w:val="24"/>
              </w:rPr>
            </w:pPr>
            <w:r>
              <w:rPr>
                <w:rFonts w:ascii="楷体" w:eastAsia="楷体" w:cs="楷体" w:hint="eastAsia"/>
                <w:kern w:val="0"/>
                <w:sz w:val="24"/>
                <w:szCs w:val="24"/>
              </w:rPr>
              <w:t>6.属于四类过程性信息</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widowControl/>
              <w:rPr>
                <w:sz w:val="24"/>
                <w:szCs w:val="24"/>
              </w:rPr>
            </w:pPr>
            <w:r>
              <w:rPr>
                <w:rFonts w:ascii="楷体" w:eastAsia="楷体" w:cs="楷体" w:hint="eastAsia"/>
                <w:kern w:val="0"/>
                <w:sz w:val="24"/>
                <w:szCs w:val="24"/>
              </w:rPr>
              <w:t>7.属于行政执法案卷</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widowControl/>
              <w:rPr>
                <w:sz w:val="24"/>
                <w:szCs w:val="24"/>
              </w:rPr>
            </w:pPr>
            <w:r>
              <w:rPr>
                <w:rFonts w:ascii="楷体" w:eastAsia="楷体" w:cs="楷体" w:hint="eastAsia"/>
                <w:kern w:val="0"/>
                <w:sz w:val="24"/>
                <w:szCs w:val="24"/>
              </w:rPr>
              <w:t>8.属于行政查询事项</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pPr>
              <w:widowControl/>
              <w:rPr>
                <w:sz w:val="24"/>
                <w:szCs w:val="24"/>
              </w:rPr>
            </w:pPr>
            <w:r>
              <w:rPr>
                <w:rFonts w:ascii="楷体" w:eastAsia="楷体" w:cs="楷体" w:hint="eastAsia"/>
                <w:kern w:val="0"/>
                <w:sz w:val="24"/>
                <w:szCs w:val="24"/>
              </w:rPr>
              <w:t>（四）无法提供</w:t>
            </w: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widowControl/>
              <w:rPr>
                <w:sz w:val="24"/>
                <w:szCs w:val="24"/>
              </w:rPr>
            </w:pPr>
            <w:r>
              <w:rPr>
                <w:rFonts w:ascii="楷体" w:eastAsia="楷体" w:cs="楷体" w:hint="eastAsia"/>
                <w:kern w:val="0"/>
                <w:sz w:val="24"/>
                <w:szCs w:val="24"/>
              </w:rPr>
              <w:t>1.本机关不掌握相关政府信息</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widowControl/>
              <w:rPr>
                <w:sz w:val="24"/>
                <w:szCs w:val="24"/>
              </w:rPr>
            </w:pPr>
            <w:r>
              <w:rPr>
                <w:rFonts w:ascii="楷体" w:eastAsia="楷体" w:cs="楷体" w:hint="eastAsia"/>
                <w:kern w:val="0"/>
                <w:sz w:val="24"/>
                <w:szCs w:val="24"/>
              </w:rPr>
              <w:t>2.没有现成信息需要另行制作</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widowControl/>
              <w:rPr>
                <w:sz w:val="24"/>
                <w:szCs w:val="24"/>
              </w:rPr>
            </w:pPr>
            <w:r>
              <w:rPr>
                <w:rFonts w:ascii="楷体" w:eastAsia="楷体" w:cs="楷体" w:hint="eastAsia"/>
                <w:kern w:val="0"/>
                <w:sz w:val="24"/>
                <w:szCs w:val="24"/>
              </w:rPr>
              <w:t>3.补正后申请内容仍不明确</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pPr>
              <w:widowControl/>
              <w:rPr>
                <w:sz w:val="24"/>
                <w:szCs w:val="24"/>
              </w:rPr>
            </w:pPr>
            <w:r>
              <w:rPr>
                <w:rFonts w:ascii="楷体" w:eastAsia="楷体" w:cs="楷体" w:hint="eastAsia"/>
                <w:kern w:val="0"/>
                <w:sz w:val="24"/>
                <w:szCs w:val="24"/>
              </w:rPr>
              <w:t>（五）不予处理</w:t>
            </w: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widowControl/>
              <w:rPr>
                <w:sz w:val="24"/>
                <w:szCs w:val="24"/>
              </w:rPr>
            </w:pPr>
            <w:r>
              <w:rPr>
                <w:rFonts w:ascii="楷体" w:eastAsia="楷体" w:cs="楷体" w:hint="eastAsia"/>
                <w:kern w:val="0"/>
                <w:sz w:val="24"/>
                <w:szCs w:val="24"/>
              </w:rPr>
              <w:t>1.信访举报投诉类申请</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widowControl/>
              <w:rPr>
                <w:sz w:val="24"/>
                <w:szCs w:val="24"/>
              </w:rPr>
            </w:pPr>
            <w:r>
              <w:rPr>
                <w:rFonts w:ascii="楷体" w:eastAsia="楷体" w:cs="楷体" w:hint="eastAsia"/>
                <w:kern w:val="0"/>
                <w:sz w:val="24"/>
                <w:szCs w:val="24"/>
              </w:rPr>
              <w:t>2.重复申请</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widowControl/>
              <w:rPr>
                <w:sz w:val="24"/>
                <w:szCs w:val="24"/>
              </w:rPr>
            </w:pPr>
            <w:r>
              <w:rPr>
                <w:rFonts w:ascii="楷体" w:eastAsia="楷体" w:cs="楷体" w:hint="eastAsia"/>
                <w:kern w:val="0"/>
                <w:sz w:val="24"/>
                <w:szCs w:val="24"/>
              </w:rPr>
              <w:t>3.要求提供公开出版物</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r>
      <w:tr>
        <w:trPr>
          <w:trHeight w:val="810"/>
        </w:trP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widowControl/>
              <w:rPr>
                <w:sz w:val="24"/>
                <w:szCs w:val="24"/>
              </w:rPr>
            </w:pPr>
            <w:r>
              <w:rPr>
                <w:rFonts w:ascii="楷体" w:eastAsia="楷体" w:cs="楷体" w:hint="eastAsia"/>
                <w:kern w:val="0"/>
                <w:sz w:val="24"/>
                <w:szCs w:val="24"/>
              </w:rPr>
              <w:t>4.无正当理由大量反复申请</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widowControl/>
              <w:rPr>
                <w:sz w:val="24"/>
                <w:szCs w:val="24"/>
              </w:rPr>
            </w:pPr>
            <w:r>
              <w:rPr>
                <w:rFonts w:ascii="楷体" w:eastAsia="楷体" w:cs="楷体" w:hint="eastAsia"/>
                <w:kern w:val="0"/>
                <w:sz w:val="24"/>
                <w:szCs w:val="24"/>
              </w:rPr>
              <w:t>5.要求行政机关确认或重新出具已获取信息</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r>
      <w:tr>
        <w:trPr>
          <w:trHeight w:val="567"/>
        </w:trP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pPr>
              <w:widowControl/>
              <w:rPr>
                <w:sz w:val="24"/>
                <w:szCs w:val="24"/>
              </w:rPr>
            </w:pPr>
            <w:r>
              <w:rPr>
                <w:rFonts w:ascii="楷体" w:eastAsia="楷体" w:cs="楷体" w:hint="eastAsia"/>
                <w:kern w:val="0"/>
                <w:sz w:val="24"/>
                <w:szCs w:val="24"/>
              </w:rPr>
              <w:t>（六）其他处理</w:t>
            </w:r>
          </w:p>
        </w:tc>
        <w:tc>
          <w:tcPr>
            <w:tcW w:w="2670" w:type="dxa"/>
            <w:tcBorders>
              <w:top w:val="nil"/>
              <w:left w:val="single" w:sz="8" w:space="0" w:color="auto"/>
              <w:bottom w:val="single" w:sz="8" w:space="0" w:color="auto"/>
              <w:right w:val="single" w:sz="8" w:space="0" w:color="auto"/>
            </w:tcBorders>
            <w:shd w:val="clear" w:color="auto" w:fill="auto"/>
            <w:tcMar>
              <w:left w:w="108" w:type="dxa"/>
              <w:right w:w="108" w:type="dxa"/>
            </w:tcMar>
          </w:tcPr>
          <w:p>
            <w:pPr>
              <w:widowControl/>
              <w:rPr>
                <w:rFonts w:ascii="楷体" w:eastAsia="楷体" w:cs="楷体"/>
                <w:kern w:val="0"/>
                <w:sz w:val="24"/>
                <w:szCs w:val="24"/>
              </w:rPr>
            </w:pPr>
            <w:r>
              <w:rPr>
                <w:rFonts w:ascii="楷体" w:eastAsia="楷体" w:cs="楷体" w:hint="eastAsia"/>
                <w:kern w:val="0"/>
                <w:sz w:val="24"/>
                <w:szCs w:val="24"/>
              </w:rPr>
              <w:t>1.申请人撤销申请</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r>
      <w:tr>
        <w:trPr>
          <w:trHeight w:val="567"/>
        </w:trPr>
        <w:tc>
          <w:tcPr>
            <w:tcW w:w="696" w:type="dxa"/>
            <w:vMerge/>
            <w:tcBorders>
              <w:top w:val="nil"/>
              <w:left w:val="single" w:sz="8" w:space="0" w:color="auto"/>
              <w:bottom w:val="single" w:sz="8" w:space="0" w:color="auto"/>
              <w:right w:val="single" w:sz="8" w:space="0" w:color="auto"/>
            </w:tcBorders>
            <w:shd w:val="clear" w:color="auto" w:fill="auto"/>
            <w:vAlign w:val="center"/>
          </w:tcPr>
          <w:p/>
        </w:tc>
        <w:tc>
          <w:tcPr>
            <w:tcW w:w="936" w:type="dxa"/>
            <w:vMerge/>
            <w:tcBorders>
              <w:top w:val="nil"/>
              <w:left w:val="nil"/>
              <w:bottom w:val="single" w:sz="8" w:space="0" w:color="auto"/>
              <w:right w:val="single" w:sz="8" w:space="0" w:color="auto"/>
            </w:tcBorders>
            <w:shd w:val="clear" w:color="auto" w:fill="auto"/>
            <w:vAlign w:val="center"/>
          </w:tcPr>
          <w:p/>
        </w:tc>
        <w:tc>
          <w:tcPr>
            <w:tcW w:w="2670" w:type="dxa"/>
            <w:tcBorders>
              <w:top w:val="nil"/>
              <w:left w:val="single" w:sz="8" w:space="0" w:color="auto"/>
              <w:bottom w:val="single" w:sz="8" w:space="0" w:color="auto"/>
              <w:right w:val="single" w:sz="8" w:space="0" w:color="auto"/>
            </w:tcBorders>
            <w:shd w:val="clear" w:color="auto" w:fill="auto"/>
          </w:tcPr>
          <w:p>
            <w:pPr>
              <w:widowControl/>
              <w:rPr>
                <w:rFonts w:ascii="楷体" w:eastAsia="楷体" w:cs="楷体"/>
                <w:kern w:val="0"/>
                <w:sz w:val="24"/>
                <w:szCs w:val="24"/>
              </w:rPr>
            </w:pPr>
            <w:r>
              <w:rPr>
                <w:rFonts w:ascii="楷体" w:eastAsia="楷体" w:cs="楷体" w:hint="eastAsia"/>
                <w:kern w:val="0"/>
                <w:sz w:val="24"/>
                <w:szCs w:val="24"/>
              </w:rPr>
              <w:t>2.咨询事项，指引咨询渠道</w:t>
            </w:r>
          </w:p>
        </w:tc>
        <w:tc>
          <w:tcPr>
            <w:tcW w:w="635" w:type="dxa"/>
            <w:tcBorders>
              <w:top w:val="nil"/>
              <w:left w:val="nil"/>
              <w:bottom w:val="single" w:sz="8" w:space="0" w:color="auto"/>
              <w:right w:val="single" w:sz="8" w:space="0" w:color="auto"/>
            </w:tcBorders>
            <w:shd w:val="clear" w:color="auto" w:fill="auto"/>
            <w:vAlign w:val="center"/>
          </w:tcPr>
          <w:p>
            <w:pPr>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vAlign w:val="center"/>
          </w:tcPr>
          <w:p>
            <w:pPr>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vAlign w:val="center"/>
          </w:tcPr>
          <w:p>
            <w:pPr>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vAlign w:val="center"/>
          </w:tcPr>
          <w:p>
            <w:pPr>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vAlign w:val="center"/>
          </w:tcPr>
          <w:p>
            <w:pPr>
              <w:jc w:val="center"/>
              <w:rPr>
                <w:rFonts w:eastAsia="方正仿宋_GBK"/>
                <w:sz w:val="24"/>
                <w:szCs w:val="24"/>
              </w:rPr>
            </w:pPr>
            <w:r>
              <w:rPr>
                <w:rFonts w:eastAsia="方正仿宋_GBK" w:hint="eastAsia"/>
                <w:sz w:val="24"/>
                <w:szCs w:val="24"/>
              </w:rPr>
              <w:t>0</w:t>
            </w:r>
          </w:p>
        </w:tc>
      </w:tr>
      <w:tr>
        <w:trPr>
          <w:trHeight w:val="567"/>
        </w:trPr>
        <w:tc>
          <w:tcPr>
            <w:tcW w:w="696" w:type="dxa"/>
            <w:vMerge/>
            <w:tcBorders>
              <w:top w:val="nil"/>
              <w:left w:val="single" w:sz="8" w:space="0" w:color="auto"/>
              <w:bottom w:val="single" w:sz="8" w:space="0" w:color="auto"/>
              <w:right w:val="single" w:sz="8" w:space="0" w:color="auto"/>
            </w:tcBorders>
            <w:shd w:val="clear" w:color="auto" w:fill="auto"/>
            <w:vAlign w:val="center"/>
          </w:tcPr>
          <w:p/>
        </w:tc>
        <w:tc>
          <w:tcPr>
            <w:tcW w:w="936" w:type="dxa"/>
            <w:vMerge/>
            <w:tcBorders>
              <w:top w:val="nil"/>
              <w:left w:val="nil"/>
              <w:bottom w:val="single" w:sz="8" w:space="0" w:color="auto"/>
              <w:right w:val="single" w:sz="8" w:space="0" w:color="auto"/>
            </w:tcBorders>
            <w:shd w:val="clear" w:color="auto" w:fill="auto"/>
            <w:vAlign w:val="center"/>
          </w:tcPr>
          <w:p/>
        </w:tc>
        <w:tc>
          <w:tcPr>
            <w:tcW w:w="2670" w:type="dxa"/>
            <w:tcBorders>
              <w:top w:val="nil"/>
              <w:left w:val="single" w:sz="8" w:space="0" w:color="auto"/>
              <w:bottom w:val="single" w:sz="8" w:space="0" w:color="auto"/>
              <w:right w:val="single" w:sz="8" w:space="0" w:color="auto"/>
            </w:tcBorders>
            <w:shd w:val="clear" w:color="auto" w:fill="auto"/>
          </w:tcPr>
          <w:p>
            <w:pPr>
              <w:widowControl/>
              <w:rPr>
                <w:rFonts w:ascii="楷体" w:eastAsia="楷体" w:cs="楷体"/>
                <w:kern w:val="0"/>
                <w:sz w:val="24"/>
                <w:szCs w:val="24"/>
              </w:rPr>
            </w:pPr>
            <w:r>
              <w:rPr>
                <w:rFonts w:ascii="楷体" w:eastAsia="楷体" w:cs="楷体" w:hint="eastAsia"/>
                <w:kern w:val="0"/>
                <w:sz w:val="24"/>
                <w:szCs w:val="24"/>
              </w:rPr>
              <w:t>3.逾期未补正</w:t>
            </w:r>
          </w:p>
        </w:tc>
        <w:tc>
          <w:tcPr>
            <w:tcW w:w="635" w:type="dxa"/>
            <w:tcBorders>
              <w:top w:val="nil"/>
              <w:left w:val="nil"/>
              <w:bottom w:val="single" w:sz="8" w:space="0" w:color="auto"/>
              <w:right w:val="single" w:sz="8" w:space="0" w:color="auto"/>
            </w:tcBorders>
            <w:shd w:val="clear" w:color="auto" w:fill="auto"/>
            <w:vAlign w:val="center"/>
          </w:tcPr>
          <w:p>
            <w:pPr>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vAlign w:val="center"/>
          </w:tcPr>
          <w:p>
            <w:pPr>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vAlign w:val="center"/>
          </w:tcPr>
          <w:p>
            <w:pPr>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vAlign w:val="center"/>
          </w:tcPr>
          <w:p>
            <w:pPr>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vAlign w:val="center"/>
          </w:tcPr>
          <w:p>
            <w:pPr>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3606" w:type="dxa"/>
            <w:gridSpan w:val="2"/>
            <w:tcBorders>
              <w:top w:val="nil"/>
              <w:left w:val="nil"/>
              <w:bottom w:val="single" w:sz="8" w:space="0" w:color="auto"/>
              <w:right w:val="single" w:sz="8" w:space="0" w:color="auto"/>
            </w:tcBorders>
            <w:shd w:val="clear" w:color="auto" w:fill="auto"/>
            <w:tcMar>
              <w:left w:w="108" w:type="dxa"/>
              <w:right w:w="108" w:type="dxa"/>
            </w:tcMar>
            <w:vAlign w:val="center"/>
          </w:tcPr>
          <w:p>
            <w:pPr>
              <w:widowControl/>
              <w:rPr>
                <w:sz w:val="24"/>
                <w:szCs w:val="24"/>
              </w:rPr>
            </w:pPr>
            <w:r>
              <w:rPr>
                <w:rFonts w:ascii="楷体" w:eastAsia="楷体" w:cs="楷体" w:hint="eastAsia"/>
                <w:kern w:val="0"/>
                <w:sz w:val="24"/>
                <w:szCs w:val="24"/>
              </w:rPr>
              <w:t>（七）总计</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3</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3</w:t>
            </w:r>
          </w:p>
        </w:tc>
      </w:tr>
      <w:tr>
        <w:tc>
          <w:tcPr>
            <w:tcW w:w="4302" w:type="dxa"/>
            <w:gridSpan w:val="3"/>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widowControl/>
              <w:jc w:val="left"/>
            </w:pPr>
            <w:r>
              <w:rPr>
                <w:rFonts w:ascii="宋体" w:cs="宋体" w:hint="eastAsia"/>
                <w:kern w:val="0"/>
                <w:sz w:val="24"/>
                <w:szCs w:val="24"/>
              </w:rPr>
              <w:t>四、结转下年度继续办理</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eastAsia="方正仿宋_GBK"/>
                <w:sz w:val="24"/>
                <w:szCs w:val="24"/>
              </w:rPr>
            </w:pPr>
            <w:r>
              <w:rPr>
                <w:rFonts w:eastAsia="方正仿宋_GBK" w:hint="eastAsia"/>
                <w:sz w:val="24"/>
                <w:szCs w:val="24"/>
              </w:rPr>
              <w:t>0</w:t>
            </w:r>
          </w:p>
        </w:tc>
      </w:tr>
    </w:tbl>
    <w:p>
      <w:pPr>
        <w:widowControl/>
        <w:shd w:val="clear" w:color="auto" w:fill="FFFFFF"/>
        <w:spacing w:beforeLines="50" w:before="218" w:after="120"/>
        <w:ind w:firstLineChars="200" w:firstLine="640"/>
        <w:rPr>
          <w:rFonts w:ascii="宋体" w:cs="宋体"/>
          <w:szCs w:val="24"/>
        </w:rPr>
      </w:pPr>
      <w:r>
        <w:rPr>
          <w:rFonts w:ascii="方正黑体_GBK" w:eastAsia="方正黑体_GBK" w:cs="楷体_GB2312" w:hint="eastAsia"/>
          <w:bCs/>
          <w:sz w:val="32"/>
          <w:szCs w:val="32"/>
          <w:shd w:val="clear" w:color="auto" w:fill="FFFFFF"/>
        </w:rPr>
        <w:t>四、政府信息公开行政复议、行政诉讼情况</w:t>
      </w:r>
    </w:p>
    <w:tbl>
      <w:tblPr>
        <w:jc w:val="center"/>
        <w:tblW w:w="9071" w:type="dxa"/>
        <w:tblBorders>
          <w:top w:val="none" w:sz="0" w:space="0" w:color="auto"/>
          <w:left w:val="none" w:sz="0" w:space="0" w:color="auto"/>
          <w:bottom w:val="none" w:sz="0" w:space="0" w:color="auto"/>
          <w:right w:val="none" w:sz="0" w:space="0" w:color="auto"/>
          <w:insideH w:val="outset" w:sz="6" w:space="0" w:color="auto"/>
          <w:insideV w:val="outset" w:sz="6" w:space="0" w:color="auto"/>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c>
          <w:tcPr>
            <w:tcW w:w="3074" w:type="dxa"/>
            <w:gridSpan w:val="5"/>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pPr>
              <w:widowControl/>
              <w:jc w:val="center"/>
              <w:rPr>
                <w:sz w:val="24"/>
                <w:szCs w:val="24"/>
              </w:rPr>
            </w:pPr>
            <w:r>
              <w:rPr>
                <w:rFonts w:ascii="宋体" w:cs="宋体" w:hint="eastAsia"/>
                <w:kern w:val="0"/>
                <w:sz w:val="24"/>
                <w:szCs w:val="24"/>
              </w:rPr>
              <w:t>行政复议</w:t>
            </w:r>
          </w:p>
        </w:tc>
        <w:tc>
          <w:tcPr>
            <w:tcW w:w="5997" w:type="dxa"/>
            <w:gridSpan w:val="10"/>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widowControl/>
              <w:jc w:val="center"/>
              <w:rPr>
                <w:sz w:val="24"/>
                <w:szCs w:val="24"/>
              </w:rPr>
            </w:pPr>
            <w:r>
              <w:rPr>
                <w:rFonts w:ascii="宋体" w:cs="宋体" w:hint="eastAsia"/>
                <w:kern w:val="0"/>
                <w:sz w:val="24"/>
                <w:szCs w:val="24"/>
              </w:rPr>
              <w:t>行政诉讼</w:t>
            </w:r>
          </w:p>
        </w:tc>
      </w:tr>
      <w:tr>
        <w:tc>
          <w:tcPr>
            <w:tcW w:w="604" w:type="dxa"/>
            <w:vMerge w:val="restart"/>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widowControl/>
              <w:jc w:val="center"/>
              <w:rPr>
                <w:sz w:val="24"/>
                <w:szCs w:val="24"/>
              </w:rPr>
            </w:pPr>
            <w:r>
              <w:rPr>
                <w:rFonts w:ascii="宋体" w:cs="宋体" w:hint="eastAsia"/>
                <w:kern w:val="0"/>
                <w:sz w:val="24"/>
                <w:szCs w:val="24"/>
              </w:rPr>
              <w:t>结果维持</w:t>
            </w:r>
          </w:p>
        </w:tc>
        <w:tc>
          <w:tcPr>
            <w:tcW w:w="604"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pPr>
              <w:widowControl/>
              <w:jc w:val="center"/>
              <w:rPr>
                <w:sz w:val="24"/>
                <w:szCs w:val="24"/>
              </w:rPr>
            </w:pPr>
            <w:r>
              <w:rPr>
                <w:rFonts w:ascii="宋体" w:cs="宋体" w:hint="eastAsia"/>
                <w:kern w:val="0"/>
                <w:sz w:val="24"/>
                <w:szCs w:val="24"/>
              </w:rPr>
              <w:t>结果纠正</w:t>
            </w:r>
          </w:p>
        </w:tc>
        <w:tc>
          <w:tcPr>
            <w:tcW w:w="604" w:type="dxa"/>
            <w:vMerge w:val="restart"/>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widowControl/>
              <w:jc w:val="center"/>
              <w:rPr>
                <w:sz w:val="24"/>
                <w:szCs w:val="24"/>
              </w:rPr>
            </w:pPr>
            <w:r>
              <w:rPr>
                <w:rFonts w:ascii="宋体" w:cs="宋体" w:hint="eastAsia"/>
                <w:kern w:val="0"/>
                <w:sz w:val="24"/>
                <w:szCs w:val="24"/>
              </w:rPr>
              <w:t>其他结果</w:t>
            </w:r>
          </w:p>
        </w:tc>
        <w:tc>
          <w:tcPr>
            <w:tcW w:w="604" w:type="dxa"/>
            <w:vMerge w:val="restart"/>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widowControl/>
              <w:jc w:val="center"/>
              <w:rPr>
                <w:sz w:val="24"/>
                <w:szCs w:val="24"/>
              </w:rPr>
            </w:pPr>
            <w:r>
              <w:rPr>
                <w:rFonts w:ascii="宋体" w:cs="宋体" w:hint="eastAsia"/>
                <w:kern w:val="0"/>
                <w:sz w:val="24"/>
                <w:szCs w:val="24"/>
              </w:rPr>
              <w:t>尚未审结</w:t>
            </w:r>
          </w:p>
        </w:tc>
        <w:tc>
          <w:tcPr>
            <w:tcW w:w="658" w:type="dxa"/>
            <w:vMerge w:val="restart"/>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widowControl/>
              <w:jc w:val="center"/>
              <w:rPr>
                <w:sz w:val="24"/>
                <w:szCs w:val="24"/>
              </w:rPr>
            </w:pPr>
            <w:r>
              <w:rPr>
                <w:rFonts w:ascii="宋体" w:cs="宋体" w:hint="eastAsia"/>
                <w:kern w:val="0"/>
                <w:sz w:val="24"/>
                <w:szCs w:val="24"/>
              </w:rPr>
              <w:t>总计</w:t>
            </w:r>
          </w:p>
        </w:tc>
        <w:tc>
          <w:tcPr>
            <w:tcW w:w="2970" w:type="dxa"/>
            <w:gridSpan w:val="5"/>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widowControl/>
              <w:jc w:val="center"/>
              <w:rPr>
                <w:sz w:val="24"/>
                <w:szCs w:val="24"/>
              </w:rPr>
            </w:pPr>
            <w:r>
              <w:rPr>
                <w:rFonts w:ascii="宋体" w:cs="宋体" w:hint="eastAsia"/>
                <w:kern w:val="0"/>
                <w:sz w:val="24"/>
                <w:szCs w:val="24"/>
              </w:rPr>
              <w:t>未经复议直接起诉</w:t>
            </w:r>
          </w:p>
        </w:tc>
        <w:tc>
          <w:tcPr>
            <w:tcW w:w="3027" w:type="dxa"/>
            <w:gridSpan w:val="5"/>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widowControl/>
              <w:jc w:val="center"/>
              <w:rPr>
                <w:sz w:val="24"/>
                <w:szCs w:val="24"/>
              </w:rPr>
            </w:pPr>
            <w:r>
              <w:rPr>
                <w:rFonts w:ascii="宋体" w:cs="宋体" w:hint="eastAsia"/>
                <w:kern w:val="0"/>
                <w:sz w:val="24"/>
                <w:szCs w:val="24"/>
              </w:rPr>
              <w:t>复议后起诉</w:t>
            </w:r>
          </w:p>
        </w:tc>
      </w:tr>
      <w:tr>
        <w:tc>
          <w:tcPr>
            <w:tcW w:w="604"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604"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604" w:type="dxa"/>
            <w:vMerge/>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tc>
        <w:tc>
          <w:tcPr>
            <w:tcW w:w="604" w:type="dxa"/>
            <w:vMerge/>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tc>
        <w:tc>
          <w:tcPr>
            <w:tcW w:w="658" w:type="dxa"/>
            <w:vMerge/>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tc>
        <w:tc>
          <w:tcPr>
            <w:tcW w:w="550" w:type="dxa"/>
            <w:tcBorders>
              <w:top w:val="nil"/>
              <w:left w:val="nil"/>
              <w:bottom w:val="single" w:sz="8" w:space="0" w:color="auto"/>
              <w:right w:val="single" w:sz="8" w:space="0" w:color="auto"/>
            </w:tcBorders>
            <w:shd w:val="clear" w:color="auto" w:fill="auto"/>
            <w:tcMar>
              <w:left w:w="108" w:type="dxa"/>
              <w:right w:w="108" w:type="dxa"/>
            </w:tcMar>
            <w:vAlign w:val="center"/>
          </w:tcPr>
          <w:p>
            <w:pPr>
              <w:widowControl/>
              <w:jc w:val="center"/>
              <w:rPr>
                <w:sz w:val="24"/>
                <w:szCs w:val="24"/>
              </w:rPr>
            </w:pPr>
            <w:r>
              <w:rPr>
                <w:rFonts w:ascii="宋体" w:cs="宋体" w:hint="eastAsia"/>
                <w:kern w:val="0"/>
                <w:sz w:val="24"/>
                <w:szCs w:val="24"/>
              </w:rPr>
              <w:t>结果维持</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widowControl/>
              <w:jc w:val="center"/>
              <w:rPr>
                <w:sz w:val="24"/>
                <w:szCs w:val="24"/>
              </w:rPr>
            </w:pPr>
            <w:r>
              <w:rPr>
                <w:rFonts w:ascii="宋体" w:cs="宋体" w:hint="eastAsia"/>
                <w:kern w:val="0"/>
                <w:sz w:val="24"/>
                <w:szCs w:val="24"/>
              </w:rPr>
              <w:t>结果纠正</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widowControl/>
              <w:jc w:val="center"/>
              <w:rPr>
                <w:sz w:val="24"/>
                <w:szCs w:val="24"/>
              </w:rPr>
            </w:pPr>
            <w:r>
              <w:rPr>
                <w:rFonts w:ascii="宋体" w:cs="宋体" w:hint="eastAsia"/>
                <w:kern w:val="0"/>
                <w:sz w:val="24"/>
                <w:szCs w:val="24"/>
              </w:rPr>
              <w:t>其他结果</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widowControl/>
              <w:jc w:val="center"/>
              <w:rPr>
                <w:sz w:val="24"/>
                <w:szCs w:val="24"/>
              </w:rPr>
            </w:pPr>
            <w:r>
              <w:rPr>
                <w:rFonts w:ascii="宋体" w:cs="宋体" w:hint="eastAsia"/>
                <w:kern w:val="0"/>
                <w:sz w:val="24"/>
                <w:szCs w:val="24"/>
              </w:rPr>
              <w:t>尚未审结</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widowControl/>
              <w:jc w:val="center"/>
              <w:rPr>
                <w:sz w:val="24"/>
                <w:szCs w:val="24"/>
              </w:rPr>
            </w:pPr>
            <w:r>
              <w:rPr>
                <w:rFonts w:ascii="宋体" w:cs="宋体" w:hint="eastAsia"/>
                <w:kern w:val="0"/>
                <w:sz w:val="24"/>
                <w:szCs w:val="24"/>
              </w:rPr>
              <w:t>总计</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widowControl/>
              <w:jc w:val="center"/>
              <w:rPr>
                <w:sz w:val="24"/>
                <w:szCs w:val="24"/>
              </w:rPr>
            </w:pPr>
            <w:r>
              <w:rPr>
                <w:rFonts w:ascii="宋体" w:cs="宋体" w:hint="eastAsia"/>
                <w:kern w:val="0"/>
                <w:sz w:val="24"/>
                <w:szCs w:val="24"/>
              </w:rPr>
              <w:t>结果维持</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widowControl/>
              <w:jc w:val="center"/>
              <w:rPr>
                <w:sz w:val="24"/>
                <w:szCs w:val="24"/>
              </w:rPr>
            </w:pPr>
            <w:r>
              <w:rPr>
                <w:rFonts w:ascii="宋体" w:cs="宋体" w:hint="eastAsia"/>
                <w:kern w:val="0"/>
                <w:sz w:val="24"/>
                <w:szCs w:val="24"/>
              </w:rPr>
              <w:t>结果纠正</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widowControl/>
              <w:jc w:val="center"/>
              <w:rPr>
                <w:sz w:val="24"/>
                <w:szCs w:val="24"/>
              </w:rPr>
            </w:pPr>
            <w:r>
              <w:rPr>
                <w:rFonts w:ascii="宋体" w:cs="宋体" w:hint="eastAsia"/>
                <w:kern w:val="0"/>
                <w:sz w:val="24"/>
                <w:szCs w:val="24"/>
              </w:rPr>
              <w:t>其他结果</w:t>
            </w:r>
          </w:p>
        </w:tc>
        <w:tc>
          <w:tcPr>
            <w:tcW w:w="606"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widowControl/>
              <w:jc w:val="center"/>
              <w:rPr>
                <w:sz w:val="24"/>
                <w:szCs w:val="24"/>
              </w:rPr>
            </w:pPr>
            <w:r>
              <w:rPr>
                <w:rFonts w:ascii="宋体" w:cs="宋体" w:hint="eastAsia"/>
                <w:kern w:val="0"/>
                <w:sz w:val="24"/>
                <w:szCs w:val="24"/>
              </w:rPr>
              <w:t>尚未审结</w:t>
            </w:r>
          </w:p>
        </w:tc>
        <w:tc>
          <w:tcPr>
            <w:tcW w:w="606"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widowControl/>
              <w:jc w:val="center"/>
              <w:rPr>
                <w:sz w:val="24"/>
                <w:szCs w:val="24"/>
              </w:rPr>
            </w:pPr>
            <w:r>
              <w:rPr>
                <w:rFonts w:ascii="宋体" w:cs="宋体" w:hint="eastAsia"/>
                <w:kern w:val="0"/>
                <w:sz w:val="24"/>
                <w:szCs w:val="24"/>
              </w:rPr>
              <w:t>总计</w:t>
            </w:r>
          </w:p>
        </w:tc>
      </w:tr>
      <w:tr>
        <w:tc>
          <w:tcPr>
            <w:tcW w:w="604"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widowControl/>
              <w:spacing w:after="180"/>
              <w:jc w:val="center"/>
              <w:rPr>
                <w:sz w:val="28"/>
                <w:szCs w:val="28"/>
              </w:rPr>
            </w:pPr>
            <w:r>
              <w:rPr>
                <w:rFonts w:hint="eastAsia"/>
                <w:sz w:val="28"/>
                <w:szCs w:val="28"/>
              </w:rPr>
              <w:t>0</w:t>
            </w:r>
          </w:p>
        </w:tc>
        <w:tc>
          <w:tcPr>
            <w:tcW w:w="604" w:type="dxa"/>
            <w:tcBorders>
              <w:top w:val="nil"/>
              <w:left w:val="nil"/>
              <w:bottom w:val="single" w:sz="8" w:space="0" w:color="auto"/>
              <w:right w:val="single" w:sz="8" w:space="0" w:color="auto"/>
            </w:tcBorders>
            <w:shd w:val="clear" w:color="auto" w:fill="auto"/>
            <w:tcMar>
              <w:left w:w="108" w:type="dxa"/>
              <w:right w:w="108" w:type="dxa"/>
            </w:tcMar>
            <w:vAlign w:val="center"/>
          </w:tcPr>
          <w:p>
            <w:pPr>
              <w:widowControl/>
              <w:spacing w:after="180"/>
              <w:jc w:val="center"/>
              <w:rPr>
                <w:sz w:val="28"/>
                <w:szCs w:val="28"/>
              </w:rPr>
            </w:pPr>
            <w:r>
              <w:rPr>
                <w:rFonts w:hint="eastAsia"/>
                <w:sz w:val="28"/>
                <w:szCs w:val="28"/>
              </w:rPr>
              <w:t>0</w:t>
            </w:r>
          </w:p>
        </w:tc>
        <w:tc>
          <w:tcPr>
            <w:tcW w:w="604" w:type="dxa"/>
            <w:tcBorders>
              <w:top w:val="nil"/>
              <w:left w:val="nil"/>
              <w:bottom w:val="single" w:sz="8" w:space="0" w:color="auto"/>
              <w:right w:val="single" w:sz="8" w:space="0" w:color="auto"/>
            </w:tcBorders>
            <w:shd w:val="clear" w:color="auto" w:fill="auto"/>
            <w:tcMar>
              <w:left w:w="108" w:type="dxa"/>
              <w:right w:w="108" w:type="dxa"/>
            </w:tcMar>
            <w:vAlign w:val="center"/>
          </w:tcPr>
          <w:p>
            <w:pPr>
              <w:widowControl/>
              <w:spacing w:after="180"/>
              <w:jc w:val="center"/>
              <w:rPr>
                <w:sz w:val="28"/>
                <w:szCs w:val="28"/>
              </w:rPr>
            </w:pPr>
            <w:r>
              <w:rPr>
                <w:rFonts w:hint="eastAsia"/>
                <w:sz w:val="28"/>
                <w:szCs w:val="28"/>
              </w:rPr>
              <w:t>0</w:t>
            </w:r>
          </w:p>
        </w:tc>
        <w:tc>
          <w:tcPr>
            <w:tcW w:w="604" w:type="dxa"/>
            <w:tcBorders>
              <w:top w:val="nil"/>
              <w:left w:val="nil"/>
              <w:bottom w:val="single" w:sz="8" w:space="0" w:color="auto"/>
              <w:right w:val="single" w:sz="8" w:space="0" w:color="auto"/>
            </w:tcBorders>
            <w:shd w:val="clear" w:color="auto" w:fill="auto"/>
            <w:tcMar>
              <w:left w:w="108" w:type="dxa"/>
              <w:right w:w="108" w:type="dxa"/>
            </w:tcMar>
            <w:vAlign w:val="center"/>
          </w:tcPr>
          <w:p>
            <w:pPr>
              <w:widowControl/>
              <w:spacing w:after="180"/>
              <w:jc w:val="center"/>
              <w:rPr>
                <w:sz w:val="28"/>
                <w:szCs w:val="28"/>
              </w:rPr>
            </w:pPr>
            <w:r>
              <w:rPr>
                <w:rFonts w:hint="eastAsia"/>
                <w:sz w:val="28"/>
                <w:szCs w:val="28"/>
              </w:rPr>
              <w:t>0</w:t>
            </w:r>
          </w:p>
        </w:tc>
        <w:tc>
          <w:tcPr>
            <w:tcW w:w="658" w:type="dxa"/>
            <w:tcBorders>
              <w:top w:val="nil"/>
              <w:left w:val="nil"/>
              <w:bottom w:val="single" w:sz="8" w:space="0" w:color="auto"/>
              <w:right w:val="single" w:sz="8" w:space="0" w:color="auto"/>
            </w:tcBorders>
            <w:shd w:val="clear" w:color="auto" w:fill="auto"/>
            <w:tcMar>
              <w:left w:w="108" w:type="dxa"/>
              <w:right w:w="108" w:type="dxa"/>
            </w:tcMar>
            <w:vAlign w:val="center"/>
          </w:tcPr>
          <w:p>
            <w:pPr>
              <w:widowControl/>
              <w:spacing w:after="180"/>
              <w:jc w:val="center"/>
              <w:rPr>
                <w:sz w:val="28"/>
                <w:szCs w:val="28"/>
              </w:rPr>
            </w:pPr>
            <w:r>
              <w:rPr>
                <w:rFonts w:hint="eastAsia"/>
                <w:sz w:val="28"/>
                <w:szCs w:val="28"/>
              </w:rPr>
              <w:t>0</w:t>
            </w:r>
          </w:p>
        </w:tc>
        <w:tc>
          <w:tcPr>
            <w:tcW w:w="550" w:type="dxa"/>
            <w:tcBorders>
              <w:top w:val="nil"/>
              <w:left w:val="nil"/>
              <w:bottom w:val="single" w:sz="8" w:space="0" w:color="auto"/>
              <w:right w:val="single" w:sz="8" w:space="0" w:color="auto"/>
            </w:tcBorders>
            <w:shd w:val="clear" w:color="auto" w:fill="auto"/>
            <w:tcMar>
              <w:left w:w="108" w:type="dxa"/>
              <w:right w:w="108" w:type="dxa"/>
            </w:tcMar>
            <w:vAlign w:val="center"/>
          </w:tcPr>
          <w:p>
            <w:pPr>
              <w:widowControl/>
              <w:spacing w:after="180"/>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widowControl/>
              <w:spacing w:after="180"/>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widowControl/>
              <w:spacing w:after="180"/>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widowControl/>
              <w:spacing w:after="180"/>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widowControl/>
              <w:spacing w:after="180"/>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widowControl/>
              <w:spacing w:after="180"/>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widowControl/>
              <w:spacing w:after="180"/>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widowControl/>
              <w:spacing w:after="180"/>
              <w:jc w:val="center"/>
              <w:rPr>
                <w:sz w:val="28"/>
                <w:szCs w:val="28"/>
              </w:rPr>
            </w:pPr>
            <w:r>
              <w:rPr>
                <w:rFonts w:hint="eastAsia"/>
                <w:sz w:val="28"/>
                <w:szCs w:val="28"/>
              </w:rPr>
              <w:t>0</w:t>
            </w:r>
          </w:p>
        </w:tc>
        <w:tc>
          <w:tcPr>
            <w:tcW w:w="606" w:type="dxa"/>
            <w:tcBorders>
              <w:top w:val="nil"/>
              <w:left w:val="nil"/>
              <w:bottom w:val="single" w:sz="8" w:space="0" w:color="auto"/>
              <w:right w:val="single" w:sz="8" w:space="0" w:color="auto"/>
            </w:tcBorders>
            <w:shd w:val="clear" w:color="auto" w:fill="auto"/>
            <w:tcMar>
              <w:left w:w="108" w:type="dxa"/>
              <w:right w:w="108" w:type="dxa"/>
            </w:tcMar>
            <w:vAlign w:val="center"/>
          </w:tcPr>
          <w:p>
            <w:pPr>
              <w:widowControl/>
              <w:spacing w:after="180"/>
              <w:jc w:val="center"/>
              <w:rPr>
                <w:kern w:val="0"/>
                <w:sz w:val="28"/>
                <w:szCs w:val="28"/>
              </w:rPr>
            </w:pPr>
            <w:r>
              <w:rPr>
                <w:rFonts w:hint="eastAsia"/>
                <w:kern w:val="0"/>
                <w:sz w:val="28"/>
                <w:szCs w:val="28"/>
              </w:rPr>
              <w:t>0</w:t>
            </w:r>
          </w:p>
        </w:tc>
        <w:tc>
          <w:tcPr>
            <w:tcW w:w="606" w:type="dxa"/>
            <w:tcBorders>
              <w:top w:val="nil"/>
              <w:left w:val="nil"/>
              <w:bottom w:val="single" w:sz="8" w:space="0" w:color="auto"/>
              <w:right w:val="single" w:sz="8" w:space="0" w:color="auto"/>
            </w:tcBorders>
            <w:shd w:val="clear" w:color="auto" w:fill="auto"/>
            <w:tcMar>
              <w:left w:w="108" w:type="dxa"/>
              <w:right w:w="108" w:type="dxa"/>
            </w:tcMar>
            <w:vAlign w:val="center"/>
          </w:tcPr>
          <w:p>
            <w:pPr>
              <w:widowControl/>
              <w:spacing w:after="180"/>
              <w:jc w:val="center"/>
              <w:rPr>
                <w:kern w:val="0"/>
                <w:sz w:val="28"/>
                <w:szCs w:val="28"/>
              </w:rPr>
            </w:pPr>
            <w:r>
              <w:rPr>
                <w:rFonts w:hint="eastAsia"/>
                <w:kern w:val="0"/>
                <w:sz w:val="28"/>
                <w:szCs w:val="28"/>
              </w:rPr>
              <w:t>0</w:t>
            </w:r>
          </w:p>
        </w:tc>
      </w:tr>
    </w:tbl>
    <w:p>
      <w:pPr>
        <w:widowControl/>
        <w:shd w:val="clear" w:color="auto" w:fill="FFFFFF"/>
        <w:spacing w:beforeLines="50" w:before="218" w:line="560" w:lineRule="exact"/>
        <w:ind w:firstLineChars="200" w:firstLine="640"/>
        <w:rPr>
          <w:rFonts w:ascii="方正黑体_GBK" w:eastAsia="方正黑体_GBK" w:cs="楷体_GB2312"/>
          <w:bCs/>
          <w:sz w:val="32"/>
          <w:szCs w:val="32"/>
          <w:shd w:val="clear" w:color="auto" w:fill="FFFFFF"/>
        </w:rPr>
      </w:pPr>
      <w:r>
        <w:rPr>
          <w:rFonts w:ascii="方正黑体_GBK" w:eastAsia="方正黑体_GBK" w:cs="楷体_GB2312" w:hint="eastAsia"/>
          <w:bCs/>
          <w:sz w:val="32"/>
          <w:szCs w:val="32"/>
          <w:shd w:val="clear" w:color="auto" w:fill="FFFFFF"/>
        </w:rPr>
        <w:t>五、存在的主要问题及改进情况</w:t>
      </w:r>
    </w:p>
    <w:p>
      <w:pPr>
        <w:spacing w:line="560" w:lineRule="exact"/>
        <w:ind w:firstLineChars="200" w:firstLine="640"/>
        <w:rPr>
          <w:rFonts w:ascii="方正楷体_GBK" w:eastAsia="方正楷体_GBK"/>
          <w:b/>
          <w:bCs/>
          <w:sz w:val="32"/>
          <w:szCs w:val="32"/>
        </w:rPr>
      </w:pPr>
      <w:r>
        <w:rPr>
          <w:rFonts w:ascii="方正楷体_GBK" w:eastAsia="方正楷体_GBK" w:hint="eastAsia"/>
          <w:b/>
          <w:bCs/>
          <w:sz w:val="32"/>
          <w:szCs w:val="32"/>
        </w:rPr>
        <w:t>（一）2019年年报中所提问题整改情况。</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针对2019年存在问题，我关以重点领域信息主动公开为着力点，</w:t>
      </w:r>
      <w:r>
        <w:rPr>
          <w:rFonts w:ascii="Times New Roman" w:eastAsia="方正仿宋_GBK" w:hAnsi="Times New Roman"/>
          <w:sz w:val="32"/>
          <w:szCs w:val="32"/>
        </w:rPr>
        <w:t>2020年</w:t>
      </w:r>
      <w:r>
        <w:rPr>
          <w:rFonts w:ascii="Times New Roman" w:eastAsia="方正仿宋_GBK" w:hAnsi="Times New Roman" w:hint="eastAsia"/>
          <w:sz w:val="32"/>
          <w:szCs w:val="32"/>
        </w:rPr>
        <w:t>围绕疫情防控和“六稳”“六保”工作大局，把握“行政处罚事前公开”“突发公共事件应急预案”等热点，扎实做好主动公开；以完善制度机制为抓手，推动依申请公开的答复水平稳步提升，2020年</w:t>
      </w:r>
      <w:r>
        <w:rPr>
          <w:rFonts w:ascii="Times New Roman" w:eastAsia="方正仿宋_GBK" w:hAnsi="Times New Roman"/>
          <w:sz w:val="32"/>
          <w:szCs w:val="32"/>
        </w:rPr>
        <w:t>未</w:t>
      </w:r>
      <w:r>
        <w:rPr>
          <w:rFonts w:ascii="Times New Roman" w:eastAsia="方正仿宋_GBK" w:hAnsi="Times New Roman" w:hint="eastAsia"/>
          <w:sz w:val="32"/>
          <w:szCs w:val="32"/>
        </w:rPr>
        <w:t>因申请信息公开</w:t>
      </w:r>
      <w:r>
        <w:rPr>
          <w:rFonts w:ascii="Times New Roman" w:eastAsia="方正仿宋_GBK" w:hAnsi="Times New Roman"/>
          <w:sz w:val="32"/>
          <w:szCs w:val="32"/>
        </w:rPr>
        <w:t>发生</w:t>
      </w:r>
      <w:r>
        <w:rPr>
          <w:rFonts w:ascii="Times New Roman" w:eastAsia="方正仿宋_GBK" w:hAnsi="Times New Roman" w:hint="eastAsia"/>
          <w:sz w:val="32"/>
          <w:szCs w:val="32"/>
        </w:rPr>
        <w:t>行政复议、行政诉讼；以原“政务公开”等栏目为依托，2次对我关互联网网站“政府信息公开”专栏进行改版，对10个模块29个子项进行优化调整，我关网站建设在多次检查中取得满分成绩。</w:t>
      </w:r>
    </w:p>
    <w:p>
      <w:pPr>
        <w:spacing w:line="560" w:lineRule="exact"/>
        <w:ind w:firstLineChars="200" w:firstLine="640"/>
        <w:rPr>
          <w:rFonts w:ascii="方正楷体_GBK" w:eastAsia="方正楷体_GBK"/>
          <w:b/>
          <w:sz w:val="32"/>
          <w:szCs w:val="32"/>
        </w:rPr>
      </w:pPr>
      <w:r>
        <w:rPr>
          <w:rFonts w:ascii="方正楷体_GBK" w:eastAsia="方正楷体_GBK" w:hint="eastAsia"/>
          <w:b/>
          <w:sz w:val="32"/>
          <w:szCs w:val="32"/>
        </w:rPr>
        <w:t>（二）目前存在问题。</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我关互联网门户网站政务公开互动性、便利性还需进一步提升；对海关政策解读仍有待加强；12360热线和新媒体平台智能化建设还需进一步探索。</w:t>
      </w:r>
    </w:p>
    <w:p>
      <w:pPr>
        <w:widowControl/>
        <w:shd w:val="clear" w:color="auto" w:fill="FFFFFF"/>
        <w:spacing w:line="560" w:lineRule="exact"/>
        <w:ind w:firstLineChars="200" w:firstLine="640"/>
        <w:rPr>
          <w:rFonts w:ascii="方正黑体_GBK" w:eastAsia="方正黑体_GBK" w:cs="楷体_GB2312"/>
          <w:bCs/>
          <w:sz w:val="32"/>
          <w:szCs w:val="32"/>
          <w:shd w:val="clear" w:color="auto" w:fill="FFFFFF"/>
        </w:rPr>
      </w:pPr>
      <w:r>
        <w:rPr>
          <w:rFonts w:ascii="方正黑体_GBK" w:eastAsia="方正黑体_GBK" w:cs="楷体_GB2312" w:hint="eastAsia"/>
          <w:bCs/>
          <w:sz w:val="32"/>
          <w:szCs w:val="32"/>
          <w:shd w:val="clear" w:color="auto" w:fill="FFFFFF"/>
        </w:rPr>
        <w:t>六、其他需要报告的事项</w:t>
      </w:r>
      <w:bookmarkEnd w:id="1"/>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无。</w:t>
      </w:r>
    </w:p>
    <w:sectPr>
      <w:footerReference w:type="default" r:id="rId2"/>
      <w:footerReference w:type="even" r:id="rId3"/>
      <w:footerReference w:type="first" r:id="rId4"/>
      <w:pgSz w:w="11906" w:h="16838"/>
      <w:pgMar w:top="2098" w:right="1474" w:bottom="1985" w:left="1588" w:header="851" w:footer="992" w:gutter="0"/>
      <w:pgNumType w:fmt="numberInDash" w:start="1"/>
      <w:docGrid w:type="lines" w:linePitch="435" w:charSpace="0"/>
    </w:sectPr>
  </w:body>
</w:document>
</file>

<file path=word/fontTable.xml><?xml version="1.0" encoding="utf-8"?>
<w:fonts xmlns:w="http://schemas.openxmlformats.org/wordprocessingml/2006/main" xmlns:r="http://schemas.openxmlformats.org/officeDocument/2006/relationships">
  <w:font w:name="宋体">
    <w:altName w:val="SimSun"/>
    <w:panose1 w:val="02010600030101010101"/>
    <w:charset w:val="86"/>
    <w:family w:val="auto"/>
    <w:pitch w:val="variable"/>
    <w:sig w:usb0="00000003" w:usb1="288F0000" w:usb2="00000016" w:usb3="00000000" w:csb0="00040001" w:csb1="00000000"/>
  </w:font>
  <w:font w:name="方正小标宋_GBK">
    <w:panose1 w:val="03000509000000000000"/>
    <w:charset w:val="86"/>
    <w:family w:val="script"/>
    <w:pitch w:val="variable"/>
    <w:sig w:usb0="00000001" w:usb1="080E0000" w:usb2="00000010" w:usb3="00000000" w:csb0="00040000" w:csb1="00000000"/>
  </w:font>
  <w:font w:name="楷体_GB2312">
    <w:altName w:val="楷体"/>
    <w:panose1 w:val="00000000000000000000"/>
    <w:charset w:val="00"/>
    <w:family w:val="auto"/>
    <w:pitch w:val="variable"/>
    <w:sig w:usb0="00000000" w:usb1="00000000" w:usb2="00000000" w:usb3="00000000" w:csb0="00000000" w:csb1="00000000"/>
  </w:font>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10" w:usb3="00000000" w:csb0="00040000" w:csb1="00000000"/>
  </w:font>
  <w:font w:name="方正楷体_GBK">
    <w:panose1 w:val="03000509000000000000"/>
    <w:charset w:val="86"/>
    <w:family w:val="script"/>
    <w:pitch w:val="variable"/>
    <w:sig w:usb0="00000001" w:usb1="080E0000" w:usb2="00000010" w:usb3="00000000" w:csb0="00040000" w:csb1="00000000"/>
  </w:font>
  <w:font w:name="楷体">
    <w:panose1 w:val="02010609060101010101"/>
    <w:charset w:val="86"/>
    <w:family w:val="modern"/>
    <w:pitch w:val="variable"/>
    <w:sig w:usb0="800002BF" w:usb1="38CF7CFA" w:usb2="00000016" w:usb3="00000000" w:csb0="0004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tabs>
        <w:tab w:val="center" w:pos="4153"/>
        <w:tab w:val="right" w:pos="8306"/>
      </w:tabs>
      <w:jc w:val="right"/>
      <w:rPr>
        <w:rFonts w:ascii="宋体"/>
        <w:sz w:val="28"/>
        <w:szCs w:val="28"/>
      </w:rPr>
    </w:pPr>
    <w:r>
      <w:rPr>
        <w:rFonts w:ascii="宋体" w:hint="eastAsia"/>
        <w:sz w:val="28"/>
        <w:szCs w:val="28"/>
      </w:rPr>
      <w:fldChar w:fldCharType="begin"/>
    </w:r>
    <w:r>
      <w:rPr>
        <w:rFonts w:ascii="宋体" w:hint="eastAsia"/>
        <w:sz w:val="28"/>
        <w:szCs w:val="28"/>
      </w:rPr>
      <w:instrText>Page</w:instrText>
    </w:r>
    <w:r>
      <w:rPr>
        <w:rFonts w:ascii="宋体" w:hint="eastAsia"/>
        <w:sz w:val="28"/>
        <w:szCs w:val="28"/>
      </w:rPr>
      <w:fldChar w:fldCharType="separate"/>
    </w:r>
    <w:r>
      <w:rPr>
        <w:rFonts w:ascii="宋体"/>
        <w:sz w:val="28"/>
        <w:szCs w:val="28"/>
      </w:rPr>
      <w:t>- 7 -</w:t>
    </w:r>
    <w:r>
      <w:rPr>
        <w:rFonts w:ascii="宋体" w:hint="eastAsia"/>
        <w:sz w:val="28"/>
        <w:szCs w:val="28"/>
      </w:rPr>
      <w:fldChar w:fldCharType="end"/>
    </w: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tabs>
        <w:tab w:val="center" w:pos="4153"/>
        <w:tab w:val="right" w:pos="8306"/>
      </w:tabs>
    </w:pPr>
    <w:r>
      <w:rPr>
        <w:rFonts w:ascii="宋体" w:hint="eastAsia"/>
        <w:sz w:val="28"/>
        <w:szCs w:val="28"/>
      </w:rPr>
      <w:fldChar w:fldCharType="begin"/>
    </w:r>
    <w:r>
      <w:rPr>
        <w:rFonts w:ascii="宋体" w:hint="eastAsia"/>
        <w:sz w:val="28"/>
        <w:szCs w:val="28"/>
      </w:rPr>
      <w:instrText>Page</w:instrText>
    </w:r>
    <w:r>
      <w:rPr>
        <w:rFonts w:ascii="宋体" w:hint="eastAsia"/>
        <w:sz w:val="28"/>
        <w:szCs w:val="28"/>
      </w:rPr>
      <w:fldChar w:fldCharType="separate"/>
    </w:r>
    <w:r>
      <w:rPr>
        <w:rFonts w:ascii="宋体"/>
        <w:sz w:val="28"/>
        <w:szCs w:val="28"/>
      </w:rPr>
      <w:t>- 4 -</w:t>
    </w:r>
    <w:r>
      <w:rPr>
        <w:rFonts w:ascii="宋体" w:hint="eastAsia"/>
        <w:sz w:val="28"/>
        <w:szCs w:val="28"/>
      </w:rPr>
      <w:fldChar w:fldCharType="end"/>
    </w: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tabs>
        <w:tab w:val="center" w:pos="4153"/>
        <w:tab w:val="right" w:pos="8306"/>
      </w:tabs>
      <w:jc w:val="right"/>
    </w:pPr>
    <w:r>
      <w:fldChar w:fldCharType="begin"/>
    </w:r>
    <w:r>
      <w:instrText>Page</w:instrText>
    </w:r>
    <w:r>
      <w:fldChar w:fldCharType="separate"/>
    </w:r>
    <w:r>
      <w:t>- 1 -</w:t>
    </w:r>
    <w:r>
      <w:fldChar w:fldCharType="end"/>
    </w:r>
    <w:r>
      <w:fldChar w:fldCharType="begin"/>
    </w:r>
    <w:r>
      <w:instrText>NumPages</w:instrText>
    </w:r>
    <w:r>
      <w:fldChar w:fldCharType="separate"/>
    </w:r>
    <w:r>
      <w:t>7</w:t>
    </w:r>
    <w:r>
      <w:fldChar w:fldCharType="end"/>
    </w:r>
    <w:r>
      <w:fldChar w:fldCharType="begin"/>
    </w:r>
    <w:r>
      <w:instrText>Page</w:instrText>
    </w:r>
    <w:r>
      <w:fldChar w:fldCharType="separate"/>
    </w:r>
    <w:r>
      <w:t>- 1 -</w:t>
    </w:r>
    <w:r>
      <w:fldChar w:fldCharType="end"/>
    </w:r>
    <w:r>
      <w:fldChar w:fldCharType="begin"/>
    </w:r>
    <w:r>
      <w:instrText>Page</w:instrText>
    </w:r>
    <w:r>
      <w:fldChar w:fldCharType="separate"/>
    </w:r>
    <w:r>
      <w:t>- 1 -</w:t>
    </w:r>
    <w:r>
      <w:fldChar w:fldCharType="end"/>
    </w:r>
  </w:p>
  <w:p>
    <w:pPr>
      <w:tabs>
        <w:tab w:val="center" w:pos="4153"/>
        <w:tab w:val="right" w:pos="8306"/>
      </w:tabs>
    </w:pP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10"/>
  <w:bordersDoNotSurroundHeader/>
  <w:bordersDoNotSurroundFooter/>
  <w:trackRevisions/>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2"/>
      <w:lang w:val="en-US" w:eastAsia="zh-CN" w:bidi="ar-SA"/>
    </w:rPr>
  </w:style>
  <w:style w:type="character" w:default="1" w:styleId="10">
    <w:name w:val="Default Paragraph Font"/>
  </w:style>
  <w:style w:type="paragraph" w:styleId="15">
    <w:name w:val="header"/>
    <w:basedOn w:val="0"/>
    <w:pPr>
      <w:pBdr>
        <w:bottom w:val="single" w:sz="6" w:space="1" w:color="auto"/>
      </w:pBdr>
      <w:tabs>
        <w:tab w:val="center" w:pos="4153"/>
        <w:tab w:val="right" w:pos="8306"/>
      </w:tabs>
      <w:snapToGrid w:val="0"/>
      <w:jc w:val="center"/>
    </w:pPr>
    <w:rPr>
      <w:sz w:val="18"/>
      <w:szCs w:val="18"/>
    </w:rPr>
  </w:style>
  <w:style w:type="paragraph" w:styleId="16">
    <w:name w:val="footer"/>
    <w:basedOn w:val="0"/>
    <w:pPr>
      <w:tabs>
        <w:tab w:val="center" w:pos="4153"/>
        <w:tab w:val="right" w:pos="8306"/>
      </w:tabs>
      <w:snapToGrid w:val="0"/>
      <w:jc w:val="left"/>
    </w:pPr>
    <w:rPr>
      <w:sz w:val="18"/>
      <w:szCs w:val="18"/>
    </w:rPr>
  </w:style>
  <w:style w:type="paragraph" w:styleId="17">
    <w:name w:val="Normal (Web)"/>
    <w:next w:val="16"/>
    <w:pPr>
      <w:widowControl w:val="0"/>
      <w:spacing w:beforeAutospacing="1" w:afterAutospacing="1"/>
    </w:pPr>
    <w:rPr>
      <w:rFonts w:ascii="Times New Roman" w:eastAsia="宋体" w:cs="Times New Roman" w:hAnsi="Times New Roman"/>
      <w:sz w:val="24"/>
      <w:szCs w:val="30"/>
      <w:lang w:val="en-US" w:eastAsia="zh-CN" w:bidi="ar-SA"/>
    </w:rPr>
  </w:style>
  <w:style w:type="paragraph" w:customStyle="1" w:styleId="18">
    <w:name w:val="样式 小三"/>
    <w:next w:val="25"/>
    <w:pPr>
      <w:widowControl w:val="0"/>
      <w:jc w:val="both"/>
    </w:pPr>
    <w:rPr>
      <w:rFonts w:ascii="Times New Roman" w:eastAsia="宋体" w:cs="Times New Roman" w:hAnsi="Times New Roman"/>
      <w:kern w:val="2"/>
      <w:sz w:val="30"/>
      <w:szCs w:val="30"/>
      <w:lang w:val="en-US" w:eastAsia="zh-CN" w:bidi="ar-SA"/>
    </w:rPr>
  </w:style>
  <w:style w:type="paragraph" w:customStyle="1" w:styleId="19">
    <w:name w:val="样式 1 小四"/>
    <w:next w:val="0"/>
    <w:pPr>
      <w:widowControl w:val="0"/>
    </w:pPr>
    <w:rPr>
      <w:rFonts w:ascii="宋体" w:eastAsia="宋体" w:cs="Times New Roman"/>
      <w:kern w:val="2"/>
      <w:sz w:val="24"/>
      <w:lang w:val="en-US" w:eastAsia="zh-CN" w:bidi="ar-SA"/>
    </w:rPr>
  </w:style>
  <w:style w:type="paragraph" w:customStyle="1" w:styleId="20">
    <w:name w:val="样式 50 三号"/>
    <w:next w:val="26"/>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21">
    <w:name w:val="样式 13 三号"/>
    <w:next w:val="27"/>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22">
    <w:name w:val="样式 6 三号"/>
    <w:pPr>
      <w:widowControl w:val="0"/>
      <w:spacing w:line="560" w:lineRule="exact"/>
      <w:jc w:val="both"/>
    </w:pPr>
    <w:rPr>
      <w:rFonts w:ascii="Times New Roman" w:eastAsia="方正仿宋_GBK" w:cs="Times New Roman" w:hAnsi="Times New Roman"/>
      <w:spacing w:val="-4"/>
      <w:kern w:val="2"/>
      <w:sz w:val="32"/>
      <w:szCs w:val="28"/>
      <w:lang w:val="en-US" w:eastAsia="zh-CN" w:bidi="ar-SA"/>
    </w:rPr>
  </w:style>
  <w:style w:type="paragraph" w:customStyle="1" w:styleId="23">
    <w:name w:val="样式 7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24">
    <w:name w:val="样式 8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styleId="25">
    <w:name w:val="toc 2"/>
    <w:basedOn w:val="0"/>
    <w:autoRedefine/>
    <w:next w:val="0"/>
    <w:pPr>
      <w:ind w:leftChars="200" w:left="200"/>
    </w:pPr>
  </w:style>
  <w:style w:type="paragraph" w:styleId="26">
    <w:name w:val="index 6"/>
    <w:basedOn w:val="0"/>
    <w:autoRedefine/>
    <w:next w:val="0"/>
    <w:pPr>
      <w:ind w:leftChars="1000" w:left="1000"/>
    </w:pPr>
  </w:style>
  <w:style w:type="paragraph" w:styleId="27">
    <w:name w:val="index 7"/>
    <w:basedOn w:val="0"/>
    <w:autoRedefine/>
    <w:next w:val="0"/>
    <w:pPr>
      <w:ind w:leftChars="1200" w:left="1200"/>
    </w:pPr>
  </w:style>
  <w:style w:type="paragraph" w:customStyle="1" w:styleId="28">
    <w:name w:val="列出段落1"/>
    <w:basedOn w:val="0"/>
    <w:pPr>
      <w:ind w:firstLineChars="200" w:firstLine="200"/>
    </w:pPr>
  </w:style>
  <w:style w:type="paragraph" w:styleId="29">
    <w:name w:val="Balloon Text"/>
    <w:basedOn w:val="0"/>
    <w:rPr>
      <w:sz w:val="18"/>
      <w:szCs w:val="1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styles" Target="styles.xml"/><Relationship Id="rId6" Type="http://schemas.openxmlformats.org/officeDocument/2006/relationships/fontTable" Target="fontTable.xml"/></Relationships>
</file>

<file path=docProps/app.xml><?xml version="1.0" encoding="utf-8"?>
<Properties xmlns="http://schemas.openxmlformats.org/officeDocument/2006/extended-properties">
  <Template>Normal.eit</Template>
  <TotalTime>62</TotalTime>
  <Application>Yozo_Office</Application>
  <Pages>7</Pages>
  <Words>2696</Words>
  <Characters>2807</Characters>
  <Lines>448</Lines>
  <Paragraphs>321</Paragraphs>
  <CharactersWithSpaces>2807</CharactersWithSpaces>
  <Company>zhengzhou</Company>
</Properties>
</file>

<file path=docProps/core.xml><?xml version="1.0" encoding="utf-8"?>
<cp:coreProperties xmlns:cp="http://schemas.openxmlformats.org/package/2006/metadata/core-properties" xmlns:dc="http://purl.org/dc/elements/1.1/" xmlns:dcterms="http://purl.org/dc/terms/" xmlns:xsi="http://www.w3.org/2001/XMLSchema-instance">
  <dc:creator>叶霖</dc:creator>
  <cp:lastModifiedBy>菅永伟</cp:lastModifiedBy>
  <cp:revision>9</cp:revision>
  <cp:lastPrinted>2021-01-28T08:46:00Z</cp:lastPrinted>
  <dcterms:created xsi:type="dcterms:W3CDTF">2021-01-28T03:29:00Z</dcterms:created>
  <dcterms:modified xsi:type="dcterms:W3CDTF">2021-04-30T02:20:12Z</dcterms:modified>
</cp:coreProperties>
</file>