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80" w:lineRule="exact"/>
        <w:jc w:val="center"/>
        <w:rPr>
          <w:rFonts w:eastAsia="方正小标宋_GBK" w:cs="方正小标宋_GBK"/>
          <w:sz w:val="44"/>
          <w:szCs w:val="44"/>
        </w:rPr>
      </w:pPr>
      <w:bookmarkStart w:id="0" w:name="_Hlk25540369"/>
      <w:bookmarkStart w:id="1" w:name="_GoBack"/>
      <w:bookmarkEnd w:id="1"/>
      <w:r>
        <w:rPr>
          <w:rFonts w:eastAsia="方正小标宋_GBK" w:cs="方正小标宋_GBK" w:hint="eastAsia"/>
          <w:sz w:val="44"/>
          <w:szCs w:val="44"/>
        </w:rPr>
        <w:t>郑州海关（本级机关）</w:t>
      </w:r>
      <w:r>
        <w:rPr>
          <w:rFonts w:eastAsia="方正小标宋_GBK" w:cs="方正小标宋_GBK"/>
          <w:sz w:val="44"/>
          <w:szCs w:val="44"/>
        </w:rPr>
        <w:t>2019</w:t>
      </w:r>
      <w:r>
        <w:rPr>
          <w:rFonts w:eastAsia="方正小标宋_GBK" w:cs="方正小标宋_GBK" w:hint="eastAsia"/>
          <w:sz w:val="44"/>
          <w:szCs w:val="44"/>
        </w:rPr>
        <w:t>年政府信息公开</w:t>
      </w:r>
    </w:p>
    <w:p>
      <w:pPr>
        <w:spacing w:line="580" w:lineRule="exact"/>
        <w:jc w:val="center"/>
        <w:rPr>
          <w:rFonts w:eastAsia="方正小标宋_GBK" w:cs="方正小标宋_GBK"/>
          <w:sz w:val="44"/>
          <w:szCs w:val="44"/>
        </w:rPr>
      </w:pPr>
      <w:r>
        <w:rPr>
          <w:rFonts w:eastAsia="方正小标宋_GBK" w:cs="方正小标宋_GBK" w:hint="eastAsia"/>
          <w:sz w:val="44"/>
          <w:szCs w:val="44"/>
        </w:rPr>
        <w:t>工作</w:t>
      </w:r>
      <w:r>
        <w:rPr>
          <w:rFonts w:eastAsia="方正小标宋_GBK" w:cs="方正小标宋_GBK"/>
          <w:sz w:val="44"/>
          <w:szCs w:val="44"/>
        </w:rPr>
        <w:t>年度</w:t>
      </w:r>
      <w:r>
        <w:rPr>
          <w:rFonts w:eastAsia="方正小标宋_GBK" w:cs="方正小标宋_GBK" w:hint="eastAsia"/>
          <w:sz w:val="44"/>
          <w:szCs w:val="44"/>
        </w:rPr>
        <w:t>报告</w:t>
      </w:r>
      <w:bookmarkEnd w:id="0"/>
    </w:p>
    <w:p>
      <w:pPr>
        <w:pStyle w:val="16"/>
        <w:widowControl/>
        <w:shd w:val="clear" w:color="auto" w:fill="FFFFFF"/>
        <w:adjustRightInd w:val="0"/>
        <w:snapToGrid w:val="0"/>
        <w:spacing w:beforeAutospacing="0" w:afterAutospacing="0" w:line="560" w:lineRule="exact"/>
        <w:ind w:firstLineChars="200" w:firstLine="640"/>
        <w:rPr>
          <w:rFonts w:eastAsia="方正仿宋_GBK" w:cs="宋体"/>
          <w:bCs/>
          <w:sz w:val="32"/>
          <w:szCs w:val="32"/>
          <w:shd w:val="clear" w:color="auto" w:fill="FFFFFF"/>
        </w:rPr>
      </w:pPr>
    </w:p>
    <w:p>
      <w:pPr>
        <w:pStyle w:val="16"/>
        <w:widowControl/>
        <w:shd w:val="clear" w:color="auto" w:fill="FFFFFF"/>
        <w:adjustRightInd w:val="0"/>
        <w:snapToGrid w:val="0"/>
        <w:spacing w:beforeAutospacing="0" w:afterAutospacing="0" w:line="560" w:lineRule="exact"/>
        <w:ind w:firstLineChars="200" w:firstLine="640"/>
        <w:rPr>
          <w:rFonts w:eastAsia="方正仿宋_GBK" w:cs="楷体_GB2312"/>
          <w:bCs/>
          <w:sz w:val="32"/>
          <w:szCs w:val="32"/>
          <w:shd w:val="clear" w:color="auto" w:fill="FFFFFF"/>
        </w:rPr>
      </w:pPr>
      <w:r>
        <w:rPr>
          <w:rFonts w:eastAsia="方正仿宋_GBK" w:cs="宋体" w:hint="eastAsia"/>
          <w:bCs/>
          <w:sz w:val="32"/>
          <w:szCs w:val="32"/>
          <w:shd w:val="clear" w:color="auto" w:fill="FFFFFF"/>
        </w:rPr>
        <w:t>根据《中华人民共和国政府信息公开条例》（以下简称《条例》）和《国务院办公厅政府信息与政务公开办公室关于政府信息公开工作年报有关事项的通知》等要求，由郑州海关办公室编制完成郑州海关本级机关</w:t>
      </w:r>
      <w:r>
        <w:rPr>
          <w:rFonts w:eastAsia="方正仿宋_GBK" w:cs="宋体"/>
          <w:bCs/>
          <w:sz w:val="32"/>
          <w:szCs w:val="32"/>
          <w:shd w:val="clear" w:color="auto" w:fill="FFFFFF"/>
        </w:rPr>
        <w:t>2019</w:t>
      </w:r>
      <w:r>
        <w:rPr>
          <w:rFonts w:eastAsia="方正仿宋_GBK" w:cs="宋体" w:hint="eastAsia"/>
          <w:bCs/>
          <w:sz w:val="32"/>
          <w:szCs w:val="32"/>
          <w:shd w:val="clear" w:color="auto" w:fill="FFFFFF"/>
        </w:rPr>
        <w:t>年度政府信息公开工作报告。报告由总体情况、主动公开政府信息情况、收到和处理政府信息公开申请情况、政府信息公开行政复议和行政诉讼情况、存在的主要问题及改进情况等</w:t>
      </w:r>
      <w:r>
        <w:rPr>
          <w:rFonts w:eastAsia="方正仿宋_GBK" w:cs="楷体_GB2312"/>
          <w:bCs/>
          <w:sz w:val="32"/>
          <w:szCs w:val="32"/>
          <w:shd w:val="clear" w:color="auto" w:fill="FFFFFF"/>
        </w:rPr>
        <w:t>5</w:t>
      </w:r>
      <w:r>
        <w:rPr>
          <w:rFonts w:eastAsia="方正仿宋_GBK" w:cs="宋体" w:hint="eastAsia"/>
          <w:bCs/>
          <w:sz w:val="32"/>
          <w:szCs w:val="32"/>
          <w:shd w:val="clear" w:color="auto" w:fill="FFFFFF"/>
        </w:rPr>
        <w:t>个部分组成。本报告所列数据的统计时限自</w:t>
      </w:r>
      <w:r>
        <w:rPr>
          <w:rFonts w:eastAsia="方正仿宋_GBK" w:cs="楷体_GB2312"/>
          <w:bCs/>
          <w:sz w:val="32"/>
          <w:szCs w:val="32"/>
          <w:shd w:val="clear" w:color="auto" w:fill="FFFFFF"/>
        </w:rPr>
        <w:t>2019</w:t>
      </w:r>
      <w:r>
        <w:rPr>
          <w:rFonts w:eastAsia="方正仿宋_GBK" w:cs="宋体" w:hint="eastAsia"/>
          <w:bCs/>
          <w:sz w:val="32"/>
          <w:szCs w:val="32"/>
          <w:shd w:val="clear" w:color="auto" w:fill="FFFFFF"/>
        </w:rPr>
        <w:t>年</w:t>
      </w:r>
      <w:r>
        <w:rPr>
          <w:rFonts w:eastAsia="方正仿宋_GBK" w:cs="楷体_GB2312"/>
          <w:bCs/>
          <w:sz w:val="32"/>
          <w:szCs w:val="32"/>
          <w:shd w:val="clear" w:color="auto" w:fill="FFFFFF"/>
        </w:rPr>
        <w:t>1</w:t>
      </w:r>
      <w:r>
        <w:rPr>
          <w:rFonts w:eastAsia="方正仿宋_GBK" w:cs="宋体" w:hint="eastAsia"/>
          <w:bCs/>
          <w:sz w:val="32"/>
          <w:szCs w:val="32"/>
          <w:shd w:val="clear" w:color="auto" w:fill="FFFFFF"/>
        </w:rPr>
        <w:t>月</w:t>
      </w:r>
      <w:r>
        <w:rPr>
          <w:rFonts w:eastAsia="方正仿宋_GBK" w:cs="楷体_GB2312"/>
          <w:bCs/>
          <w:sz w:val="32"/>
          <w:szCs w:val="32"/>
          <w:shd w:val="clear" w:color="auto" w:fill="FFFFFF"/>
        </w:rPr>
        <w:t>1</w:t>
      </w:r>
      <w:r>
        <w:rPr>
          <w:rFonts w:eastAsia="方正仿宋_GBK" w:cs="宋体" w:hint="eastAsia"/>
          <w:bCs/>
          <w:sz w:val="32"/>
          <w:szCs w:val="32"/>
          <w:shd w:val="clear" w:color="auto" w:fill="FFFFFF"/>
        </w:rPr>
        <w:t>日至</w:t>
      </w:r>
      <w:r>
        <w:rPr>
          <w:rFonts w:eastAsia="方正仿宋_GBK" w:cs="楷体_GB2312"/>
          <w:bCs/>
          <w:sz w:val="32"/>
          <w:szCs w:val="32"/>
          <w:shd w:val="clear" w:color="auto" w:fill="FFFFFF"/>
        </w:rPr>
        <w:t>2019</w:t>
      </w:r>
      <w:r>
        <w:rPr>
          <w:rFonts w:eastAsia="方正仿宋_GBK" w:cs="宋体" w:hint="eastAsia"/>
          <w:bCs/>
          <w:sz w:val="32"/>
          <w:szCs w:val="32"/>
          <w:shd w:val="clear" w:color="auto" w:fill="FFFFFF"/>
        </w:rPr>
        <w:t>年</w:t>
      </w:r>
      <w:r>
        <w:rPr>
          <w:rFonts w:eastAsia="方正仿宋_GBK" w:cs="楷体_GB2312"/>
          <w:bCs/>
          <w:sz w:val="32"/>
          <w:szCs w:val="32"/>
          <w:shd w:val="clear" w:color="auto" w:fill="FFFFFF"/>
        </w:rPr>
        <w:t>12</w:t>
      </w:r>
      <w:r>
        <w:rPr>
          <w:rFonts w:eastAsia="方正仿宋_GBK" w:cs="宋体" w:hint="eastAsia"/>
          <w:bCs/>
          <w:sz w:val="32"/>
          <w:szCs w:val="32"/>
          <w:shd w:val="clear" w:color="auto" w:fill="FFFFFF"/>
        </w:rPr>
        <w:t>月</w:t>
      </w:r>
      <w:r>
        <w:rPr>
          <w:rFonts w:eastAsia="方正仿宋_GBK" w:cs="楷体_GB2312"/>
          <w:bCs/>
          <w:sz w:val="32"/>
          <w:szCs w:val="32"/>
          <w:shd w:val="clear" w:color="auto" w:fill="FFFFFF"/>
        </w:rPr>
        <w:t>31</w:t>
      </w:r>
      <w:r>
        <w:rPr>
          <w:rFonts w:eastAsia="方正仿宋_GBK" w:cs="宋体" w:hint="eastAsia"/>
          <w:bCs/>
          <w:sz w:val="32"/>
          <w:szCs w:val="32"/>
          <w:shd w:val="clear" w:color="auto" w:fill="FFFFFF"/>
        </w:rPr>
        <w:t>日。如对本报告有疑问，可与郑州海关办公室政务公开科联系（地址：河南省郑州市金水区农业路东</w:t>
      </w:r>
      <w:r>
        <w:rPr>
          <w:rFonts w:eastAsia="方正仿宋_GBK" w:cs="楷体_GB2312"/>
          <w:bCs/>
          <w:sz w:val="32"/>
          <w:szCs w:val="32"/>
          <w:shd w:val="clear" w:color="auto" w:fill="FFFFFF"/>
        </w:rPr>
        <w:t>30</w:t>
      </w:r>
      <w:r>
        <w:rPr>
          <w:rFonts w:eastAsia="方正仿宋_GBK" w:cs="宋体" w:hint="eastAsia"/>
          <w:bCs/>
          <w:sz w:val="32"/>
          <w:szCs w:val="32"/>
          <w:shd w:val="clear" w:color="auto" w:fill="FFFFFF"/>
        </w:rPr>
        <w:t>号郑州海关办公室政务公开科，邮编：</w:t>
      </w:r>
      <w:r>
        <w:rPr>
          <w:rFonts w:eastAsia="方正仿宋_GBK" w:cs="楷体_GB2312"/>
          <w:bCs/>
          <w:sz w:val="32"/>
          <w:szCs w:val="32"/>
          <w:shd w:val="clear" w:color="auto" w:fill="FFFFFF"/>
        </w:rPr>
        <w:t>450008</w:t>
      </w:r>
      <w:r>
        <w:rPr>
          <w:rFonts w:eastAsia="方正仿宋_GBK" w:cs="宋体" w:hint="eastAsia"/>
          <w:bCs/>
          <w:sz w:val="32"/>
          <w:szCs w:val="32"/>
          <w:shd w:val="clear" w:color="auto" w:fill="FFFFFF"/>
        </w:rPr>
        <w:t>，电话：</w:t>
      </w:r>
      <w:r>
        <w:rPr>
          <w:rFonts w:eastAsia="方正仿宋_GBK" w:cs="楷体_GB2312"/>
          <w:bCs/>
          <w:sz w:val="32"/>
          <w:szCs w:val="32"/>
          <w:shd w:val="clear" w:color="auto" w:fill="FFFFFF"/>
        </w:rPr>
        <w:t>0371-65599147</w:t>
      </w:r>
      <w:r>
        <w:rPr>
          <w:rFonts w:eastAsia="方正仿宋_GBK" w:cs="宋体" w:hint="eastAsia"/>
          <w:bCs/>
          <w:sz w:val="32"/>
          <w:szCs w:val="32"/>
          <w:shd w:val="clear" w:color="auto" w:fill="FFFFFF"/>
        </w:rPr>
        <w:t>，电子邮箱：</w:t>
      </w:r>
      <w:r>
        <w:rPr>
          <w:rFonts w:eastAsia="方正仿宋_GBK" w:cs="楷体_GB2312"/>
          <w:bCs/>
          <w:sz w:val="32"/>
          <w:szCs w:val="32"/>
          <w:shd w:val="clear" w:color="auto" w:fill="FFFFFF"/>
        </w:rPr>
        <w:t>zzhgzwgk@customs.gov.cn</w:t>
      </w:r>
      <w:r>
        <w:rPr>
          <w:rFonts w:eastAsia="方正仿宋_GBK" w:cs="宋体" w:hint="eastAsia"/>
          <w:bCs/>
          <w:sz w:val="32"/>
          <w:szCs w:val="32"/>
          <w:shd w:val="clear" w:color="auto" w:fill="FFFFFF"/>
        </w:rPr>
        <w:t>）</w:t>
      </w:r>
    </w:p>
    <w:p>
      <w:pPr>
        <w:pStyle w:val="16"/>
        <w:widowControl/>
        <w:shd w:val="clear" w:color="auto" w:fill="FFFFFF"/>
        <w:adjustRightInd w:val="0"/>
        <w:snapToGrid w:val="0"/>
        <w:spacing w:beforeAutospacing="0" w:afterAutospacing="0" w:line="560" w:lineRule="exact"/>
        <w:ind w:firstLineChars="200" w:firstLine="640"/>
        <w:rPr>
          <w:rFonts w:eastAsia="方正黑体_GBK" w:cs="宋体"/>
          <w:bCs/>
          <w:sz w:val="32"/>
          <w:szCs w:val="32"/>
          <w:shd w:val="clear" w:color="auto" w:fill="FFFFFF"/>
        </w:rPr>
      </w:pPr>
      <w:r>
        <w:rPr>
          <w:rFonts w:eastAsia="方正黑体_GBK" w:cs="宋体" w:hint="eastAsia"/>
          <w:bCs/>
          <w:sz w:val="32"/>
          <w:szCs w:val="32"/>
          <w:shd w:val="clear" w:color="auto" w:fill="FFFFFF"/>
        </w:rPr>
        <w:t>一、总体情况</w:t>
      </w:r>
    </w:p>
    <w:p>
      <w:pPr>
        <w:pStyle w:val="16"/>
        <w:widowControl/>
        <w:shd w:val="clear" w:color="auto" w:fill="FFFFFF"/>
        <w:adjustRightInd w:val="0"/>
        <w:snapToGrid w:val="0"/>
        <w:spacing w:beforeAutospacing="0" w:afterAutospacing="0" w:line="560" w:lineRule="exact"/>
        <w:ind w:firstLineChars="200" w:firstLine="640"/>
        <w:rPr>
          <w:rFonts w:eastAsia="方正仿宋_GBK"/>
          <w:bCs/>
          <w:sz w:val="32"/>
          <w:szCs w:val="32"/>
          <w:shd w:val="clear" w:color="auto" w:fill="FFFFFF"/>
        </w:rPr>
      </w:pPr>
      <w:r>
        <w:rPr>
          <w:rFonts w:eastAsia="方正仿宋_GBK"/>
          <w:bCs/>
          <w:sz w:val="32"/>
          <w:szCs w:val="32"/>
          <w:shd w:val="clear" w:color="auto" w:fill="FFFFFF"/>
        </w:rPr>
        <w:t>2019</w:t>
      </w:r>
      <w:r>
        <w:rPr>
          <w:rFonts w:eastAsia="方正仿宋_GBK" w:hint="eastAsia"/>
          <w:bCs/>
          <w:sz w:val="32"/>
          <w:szCs w:val="32"/>
          <w:shd w:val="clear" w:color="auto" w:fill="FFFFFF"/>
        </w:rPr>
        <w:t>年，郑州海关认真落实国务院办公厅《</w:t>
      </w:r>
      <w:r>
        <w:rPr>
          <w:rFonts w:eastAsia="方正仿宋_GBK"/>
          <w:bCs/>
          <w:sz w:val="32"/>
          <w:szCs w:val="32"/>
          <w:shd w:val="clear" w:color="auto" w:fill="FFFFFF"/>
        </w:rPr>
        <w:t>2019</w:t>
      </w:r>
      <w:r>
        <w:rPr>
          <w:rFonts w:eastAsia="方正仿宋_GBK" w:hint="eastAsia"/>
          <w:bCs/>
          <w:sz w:val="32"/>
          <w:szCs w:val="32"/>
          <w:shd w:val="clear" w:color="auto" w:fill="FFFFFF"/>
        </w:rPr>
        <w:t>年政务公开工作要点》，及时学习新修订的《条例》并抓好贯彻落实，完善制度规范，推进重点领域信息公开，加强政策解读，切实提升关区政务公开工作质量的实效。</w:t>
      </w:r>
    </w:p>
    <w:p>
      <w:pPr>
        <w:pStyle w:val="16"/>
        <w:widowControl/>
        <w:shd w:val="clear" w:color="auto" w:fill="FFFFFF"/>
        <w:adjustRightInd w:val="0"/>
        <w:snapToGrid w:val="0"/>
        <w:spacing w:beforeAutospacing="0" w:afterAutospacing="0" w:line="560" w:lineRule="exact"/>
        <w:ind w:firstLineChars="200" w:firstLine="640"/>
        <w:rPr>
          <w:rFonts w:eastAsia="方正楷体_GBK" w:cs="楷体_GB2312"/>
          <w:b/>
          <w:bCs/>
          <w:sz w:val="32"/>
          <w:szCs w:val="32"/>
          <w:shd w:val="clear" w:color="auto" w:fill="FFFFFF"/>
        </w:rPr>
      </w:pPr>
      <w:r>
        <w:rPr>
          <w:rFonts w:eastAsia="方正楷体_GBK" w:cs="宋体" w:hint="eastAsia"/>
          <w:b/>
          <w:bCs/>
          <w:sz w:val="32"/>
          <w:szCs w:val="32"/>
          <w:shd w:val="clear" w:color="auto" w:fill="FFFFFF"/>
        </w:rPr>
        <w:t>（一）强化重点领域主动公开。</w:t>
      </w:r>
      <w:r>
        <w:rPr>
          <w:rFonts w:eastAsia="方正仿宋_GBK" w:cs="宋体" w:hint="eastAsia"/>
          <w:bCs/>
          <w:sz w:val="32"/>
          <w:szCs w:val="32"/>
          <w:shd w:val="clear" w:color="auto" w:fill="FFFFFF"/>
        </w:rPr>
        <w:t>坚持“以公开为常态，不公开为例外”，加大政府信息主动公开工作力度，进一步提升海关工作透明度。新设政策解读栏目，加强政策季度，及时回应社会关切。</w:t>
      </w:r>
      <w:r>
        <w:rPr>
          <w:rFonts w:eastAsia="方正仿宋_GBK" w:cs="楷体_GB2312"/>
          <w:bCs/>
          <w:sz w:val="32"/>
          <w:szCs w:val="32"/>
          <w:shd w:val="clear" w:color="auto" w:fill="FFFFFF"/>
        </w:rPr>
        <w:t>2019</w:t>
      </w:r>
      <w:r>
        <w:rPr>
          <w:rFonts w:eastAsia="方正仿宋_GBK" w:cs="宋体" w:hint="eastAsia"/>
          <w:bCs/>
          <w:sz w:val="32"/>
          <w:szCs w:val="32"/>
          <w:shd w:val="clear" w:color="auto" w:fill="FFFFFF"/>
        </w:rPr>
        <w:t>年郑州海关（本级）通过门户网站、新闻媒体、政务公开栏、新闻发布会等方式主动公开信息</w:t>
      </w:r>
      <w:r>
        <w:rPr>
          <w:rFonts w:eastAsia="方正仿宋_GBK" w:cs="楷体_GB2312"/>
          <w:bCs/>
          <w:sz w:val="32"/>
          <w:szCs w:val="32"/>
          <w:shd w:val="clear" w:color="auto" w:fill="FFFFFF"/>
        </w:rPr>
        <w:t>1062</w:t>
      </w:r>
      <w:r>
        <w:rPr>
          <w:rFonts w:eastAsia="方正仿宋_GBK" w:cs="宋体" w:hint="eastAsia"/>
          <w:bCs/>
          <w:sz w:val="32"/>
          <w:szCs w:val="32"/>
          <w:shd w:val="clear" w:color="auto" w:fill="FFFFFF"/>
        </w:rPr>
        <w:t>条，</w:t>
      </w:r>
      <w:r>
        <w:rPr>
          <w:rFonts w:eastAsia="方正仿宋_GBK" w:hint="eastAsia"/>
          <w:color w:val="000000"/>
          <w:sz w:val="32"/>
          <w:szCs w:val="32"/>
        </w:rPr>
        <w:t>同比增长</w:t>
      </w:r>
      <w:r>
        <w:rPr>
          <w:rFonts w:eastAsia="方正仿宋_GBK"/>
          <w:color w:val="000000"/>
          <w:sz w:val="32"/>
          <w:szCs w:val="32"/>
        </w:rPr>
        <w:t>9.4%</w:t>
      </w:r>
      <w:r>
        <w:rPr>
          <w:rFonts w:eastAsia="方正仿宋_GBK" w:cs="宋体" w:hint="eastAsia"/>
          <w:bCs/>
          <w:sz w:val="32"/>
          <w:szCs w:val="32"/>
          <w:shd w:val="clear" w:color="auto" w:fill="FFFFFF"/>
        </w:rPr>
        <w:t>。</w:t>
      </w:r>
    </w:p>
    <w:p>
      <w:pPr>
        <w:pStyle w:val="16"/>
        <w:widowControl/>
        <w:shd w:val="clear" w:color="auto" w:fill="FFFFFF"/>
        <w:adjustRightInd w:val="0"/>
        <w:snapToGrid w:val="0"/>
        <w:spacing w:beforeAutospacing="0" w:afterAutospacing="0" w:line="560" w:lineRule="exact"/>
        <w:ind w:firstLineChars="200" w:firstLine="640"/>
        <w:rPr>
          <w:rFonts w:eastAsia="方正楷体_GBK" w:cs="楷体_GB2312"/>
          <w:b/>
          <w:bCs/>
          <w:sz w:val="32"/>
          <w:szCs w:val="32"/>
          <w:shd w:val="clear" w:color="auto" w:fill="FFFFFF"/>
        </w:rPr>
      </w:pPr>
      <w:r>
        <w:rPr>
          <w:rFonts w:eastAsia="方正楷体_GBK" w:cs="宋体" w:hint="eastAsia"/>
          <w:b/>
          <w:bCs/>
          <w:sz w:val="32"/>
          <w:szCs w:val="32"/>
          <w:shd w:val="clear" w:color="auto" w:fill="FFFFFF"/>
        </w:rPr>
        <w:t>（二）规范办理依申请公开。</w:t>
      </w:r>
      <w:r>
        <w:rPr>
          <w:rFonts w:eastAsia="方正仿宋_GBK" w:cs="宋体" w:hint="eastAsia"/>
          <w:bCs/>
          <w:sz w:val="32"/>
          <w:szCs w:val="32"/>
          <w:shd w:val="clear" w:color="auto" w:fill="FFFFFF"/>
        </w:rPr>
        <w:t>根据新修订的《条例》及时对关区依申请公开有关制度进行修订，进一步细化、明确政府信息公开申请登记、审核、办理、答复、归档的工作制度。对于收到的政府信息公开申请，及时办理，在规定时限内向申请人反馈，切实保障人民群众的知情权、参与权和监管权。</w:t>
      </w:r>
      <w:r>
        <w:rPr>
          <w:rFonts w:eastAsia="方正仿宋_GBK" w:cs="楷体_GB2312"/>
          <w:bCs/>
          <w:sz w:val="32"/>
          <w:szCs w:val="32"/>
          <w:shd w:val="clear" w:color="auto" w:fill="FFFFFF"/>
        </w:rPr>
        <w:t>2019</w:t>
      </w:r>
      <w:r>
        <w:rPr>
          <w:rFonts w:eastAsia="方正仿宋_GBK" w:cs="宋体" w:hint="eastAsia"/>
          <w:bCs/>
          <w:sz w:val="32"/>
          <w:szCs w:val="32"/>
          <w:shd w:val="clear" w:color="auto" w:fill="FFFFFF"/>
        </w:rPr>
        <w:t>年郑州海关（本级）共收到政府信息公开申请</w:t>
      </w:r>
      <w:r>
        <w:rPr>
          <w:rFonts w:eastAsia="方正仿宋_GBK" w:cs="楷体_GB2312"/>
          <w:bCs/>
          <w:sz w:val="32"/>
          <w:szCs w:val="32"/>
          <w:shd w:val="clear" w:color="auto" w:fill="FFFFFF"/>
        </w:rPr>
        <w:t>2</w:t>
      </w:r>
      <w:r>
        <w:rPr>
          <w:rFonts w:eastAsia="方正仿宋_GBK" w:cs="宋体" w:hint="eastAsia"/>
          <w:bCs/>
          <w:sz w:val="32"/>
          <w:szCs w:val="32"/>
          <w:shd w:val="clear" w:color="auto" w:fill="FFFFFF"/>
        </w:rPr>
        <w:t>件，申请日期为</w:t>
      </w:r>
      <w:r>
        <w:rPr>
          <w:rFonts w:eastAsia="方正仿宋_GBK" w:cs="宋体"/>
          <w:bCs/>
          <w:sz w:val="32"/>
          <w:szCs w:val="32"/>
          <w:shd w:val="clear" w:color="auto" w:fill="FFFFFF"/>
        </w:rPr>
        <w:t>12</w:t>
      </w:r>
      <w:r>
        <w:rPr>
          <w:rFonts w:eastAsia="方正仿宋_GBK" w:cs="宋体" w:hint="eastAsia"/>
          <w:bCs/>
          <w:sz w:val="32"/>
          <w:szCs w:val="32"/>
          <w:shd w:val="clear" w:color="auto" w:fill="FFFFFF"/>
        </w:rPr>
        <w:t>月份，均于</w:t>
      </w:r>
      <w:r>
        <w:rPr>
          <w:rFonts w:eastAsia="方正仿宋_GBK" w:cs="宋体"/>
          <w:bCs/>
          <w:sz w:val="32"/>
          <w:szCs w:val="32"/>
          <w:shd w:val="clear" w:color="auto" w:fill="FFFFFF"/>
        </w:rPr>
        <w:t>2020</w:t>
      </w:r>
      <w:r>
        <w:rPr>
          <w:rFonts w:eastAsia="方正仿宋_GBK" w:cs="宋体" w:hint="eastAsia"/>
          <w:bCs/>
          <w:sz w:val="32"/>
          <w:szCs w:val="32"/>
          <w:shd w:val="clear" w:color="auto" w:fill="FFFFFF"/>
        </w:rPr>
        <w:t>年</w:t>
      </w:r>
      <w:r>
        <w:rPr>
          <w:rFonts w:eastAsia="方正仿宋_GBK" w:cs="宋体"/>
          <w:bCs/>
          <w:sz w:val="32"/>
          <w:szCs w:val="32"/>
          <w:shd w:val="clear" w:color="auto" w:fill="FFFFFF"/>
        </w:rPr>
        <w:t>1</w:t>
      </w:r>
      <w:r>
        <w:rPr>
          <w:rFonts w:eastAsia="方正仿宋_GBK" w:cs="宋体" w:hint="eastAsia"/>
          <w:bCs/>
          <w:sz w:val="32"/>
          <w:szCs w:val="32"/>
          <w:shd w:val="clear" w:color="auto" w:fill="FFFFFF"/>
        </w:rPr>
        <w:t>月份在规定时限内办结。</w:t>
      </w:r>
    </w:p>
    <w:p>
      <w:pPr>
        <w:pStyle w:val="16"/>
        <w:widowControl/>
        <w:shd w:val="clear" w:color="auto" w:fill="FFFFFF"/>
        <w:adjustRightInd w:val="0"/>
        <w:snapToGrid w:val="0"/>
        <w:spacing w:beforeAutospacing="0" w:afterAutospacing="0" w:line="560" w:lineRule="exact"/>
        <w:ind w:firstLineChars="200" w:firstLine="640"/>
        <w:rPr>
          <w:rFonts w:eastAsia="方正楷体_GBK" w:cs="楷体_GB2312"/>
          <w:b/>
          <w:bCs/>
          <w:sz w:val="32"/>
          <w:szCs w:val="32"/>
          <w:shd w:val="clear" w:color="auto" w:fill="FFFFFF"/>
        </w:rPr>
      </w:pPr>
      <w:r>
        <w:rPr>
          <w:rFonts w:eastAsia="方正楷体_GBK" w:cs="宋体" w:hint="eastAsia"/>
          <w:b/>
          <w:bCs/>
          <w:sz w:val="32"/>
          <w:szCs w:val="32"/>
          <w:shd w:val="clear" w:color="auto" w:fill="FFFFFF"/>
        </w:rPr>
        <w:t>（三）加强政务信息管理。</w:t>
      </w:r>
      <w:r>
        <w:rPr>
          <w:rFonts w:eastAsia="方正仿宋_GBK" w:cs="宋体" w:hint="eastAsia"/>
          <w:bCs/>
          <w:sz w:val="32"/>
          <w:szCs w:val="32"/>
          <w:shd w:val="clear" w:color="auto" w:fill="FFFFFF"/>
        </w:rPr>
        <w:t>加强政务公开工作的组织领导，根据机构改革实际情况，在办公室新设立政务公开科，配备干部</w:t>
      </w:r>
      <w:r>
        <w:rPr>
          <w:rFonts w:eastAsia="方正仿宋_GBK" w:cs="楷体_GB2312"/>
          <w:bCs/>
          <w:sz w:val="32"/>
          <w:szCs w:val="32"/>
          <w:shd w:val="clear" w:color="auto" w:fill="FFFFFF"/>
        </w:rPr>
        <w:t>3</w:t>
      </w:r>
      <w:r>
        <w:rPr>
          <w:rFonts w:eastAsia="方正仿宋_GBK" w:cs="宋体" w:hint="eastAsia"/>
          <w:bCs/>
          <w:sz w:val="32"/>
          <w:szCs w:val="32"/>
          <w:shd w:val="clear" w:color="auto" w:fill="FFFFFF"/>
        </w:rPr>
        <w:t>名、</w:t>
      </w:r>
      <w:r>
        <w:rPr>
          <w:rFonts w:eastAsia="方正仿宋_GBK" w:cs="楷体_GB2312"/>
          <w:bCs/>
          <w:sz w:val="32"/>
          <w:szCs w:val="32"/>
          <w:shd w:val="clear" w:color="auto" w:fill="FFFFFF"/>
        </w:rPr>
        <w:t>12360</w:t>
      </w:r>
      <w:r>
        <w:rPr>
          <w:rFonts w:eastAsia="方正仿宋_GBK" w:cs="宋体" w:hint="eastAsia"/>
          <w:bCs/>
          <w:sz w:val="32"/>
          <w:szCs w:val="32"/>
          <w:shd w:val="clear" w:color="auto" w:fill="FFFFFF"/>
        </w:rPr>
        <w:t>热线员</w:t>
      </w:r>
      <w:r>
        <w:rPr>
          <w:rFonts w:eastAsia="方正仿宋_GBK" w:cs="楷体_GB2312"/>
          <w:bCs/>
          <w:sz w:val="32"/>
          <w:szCs w:val="32"/>
          <w:shd w:val="clear" w:color="auto" w:fill="FFFFFF"/>
        </w:rPr>
        <w:t>4</w:t>
      </w:r>
      <w:r>
        <w:rPr>
          <w:rFonts w:eastAsia="方正仿宋_GBK" w:cs="宋体" w:hint="eastAsia"/>
          <w:bCs/>
          <w:sz w:val="32"/>
          <w:szCs w:val="32"/>
          <w:shd w:val="clear" w:color="auto" w:fill="FFFFFF"/>
        </w:rPr>
        <w:t>名，负责推进、指导、协调、监督本关区的政府信息公开工作。及时完善政府信息公开制度规范，</w:t>
      </w:r>
      <w:r>
        <w:rPr>
          <w:rFonts w:eastAsia="方正仿宋_GBK" w:hint="eastAsia"/>
          <w:sz w:val="32"/>
          <w:szCs w:val="32"/>
        </w:rPr>
        <w:t>根据《条例》制定《郑州海关政府信息依申请公开工作规程》《郑州海关政府信息公开审查工作规程》，修订《海关政府信息公开申请表》《郑州海关政府信息公开审查单》，确保新的要求落实到位，推进政务公开工作制度化。</w:t>
      </w:r>
    </w:p>
    <w:p>
      <w:pPr>
        <w:pStyle w:val="16"/>
        <w:widowControl/>
        <w:shd w:val="clear" w:color="auto" w:fill="FFFFFF"/>
        <w:adjustRightInd w:val="0"/>
        <w:snapToGrid w:val="0"/>
        <w:spacing w:beforeAutospacing="0" w:afterAutospacing="0" w:line="560" w:lineRule="exact"/>
        <w:ind w:firstLineChars="200" w:firstLine="640"/>
        <w:rPr>
          <w:rFonts w:eastAsia="方正楷体_GBK" w:cs="宋体"/>
          <w:b/>
          <w:bCs/>
          <w:sz w:val="32"/>
          <w:szCs w:val="32"/>
          <w:shd w:val="clear" w:color="auto" w:fill="FFFFFF"/>
        </w:rPr>
      </w:pPr>
      <w:r>
        <w:rPr>
          <w:rFonts w:eastAsia="方正楷体_GBK" w:cs="宋体" w:hint="eastAsia"/>
          <w:b/>
          <w:bCs/>
          <w:sz w:val="32"/>
          <w:szCs w:val="32"/>
          <w:shd w:val="clear" w:color="auto" w:fill="FFFFFF"/>
        </w:rPr>
        <w:t>（四）不断优化信息公开平台。</w:t>
      </w:r>
      <w:r>
        <w:rPr>
          <w:rFonts w:eastAsia="方正仿宋_GBK" w:cs="宋体" w:hint="eastAsia"/>
          <w:bCs/>
          <w:sz w:val="32"/>
          <w:szCs w:val="32"/>
          <w:shd w:val="clear" w:color="auto" w:fill="FFFFFF"/>
        </w:rPr>
        <w:t>规范和优化政府信息公开平台，加强郑州海关门户网站的管理，</w:t>
      </w:r>
      <w:r>
        <w:rPr>
          <w:rFonts w:eastAsia="方正仿宋_GBK" w:cs="宋体"/>
          <w:bCs/>
          <w:sz w:val="32"/>
          <w:szCs w:val="32"/>
          <w:shd w:val="clear" w:color="auto" w:fill="FFFFFF"/>
        </w:rPr>
        <w:t>2019</w:t>
      </w:r>
      <w:r>
        <w:rPr>
          <w:rFonts w:eastAsia="方正仿宋_GBK" w:cs="宋体" w:hint="eastAsia"/>
          <w:bCs/>
          <w:sz w:val="32"/>
          <w:szCs w:val="32"/>
          <w:shd w:val="clear" w:color="auto" w:fill="FFFFFF"/>
        </w:rPr>
        <w:t>年对信息公开子栏目进行</w:t>
      </w:r>
      <w:r>
        <w:rPr>
          <w:rFonts w:eastAsia="方正仿宋_GBK" w:cs="宋体"/>
          <w:bCs/>
          <w:sz w:val="32"/>
          <w:szCs w:val="32"/>
          <w:shd w:val="clear" w:color="auto" w:fill="FFFFFF"/>
        </w:rPr>
        <w:t>4</w:t>
      </w:r>
      <w:r>
        <w:rPr>
          <w:rFonts w:eastAsia="方正仿宋_GBK" w:cs="宋体" w:hint="eastAsia"/>
          <w:bCs/>
          <w:sz w:val="32"/>
          <w:szCs w:val="32"/>
          <w:shd w:val="clear" w:color="auto" w:fill="FFFFFF"/>
        </w:rPr>
        <w:t>次优化设置，新增“海关法规”“政策解读”“收费公示”“最新消息”和“其他行政处罚案件信息”等子栏目。丰富网站信息下载渠道，同步提供办事指南</w:t>
      </w:r>
      <w:r>
        <w:rPr>
          <w:rFonts w:eastAsia="方正仿宋_GBK" w:cs="楷体_GB2312"/>
          <w:bCs/>
          <w:sz w:val="32"/>
          <w:szCs w:val="32"/>
          <w:shd w:val="clear" w:color="auto" w:fill="FFFFFF"/>
        </w:rPr>
        <w:t>PDF</w:t>
      </w:r>
      <w:r>
        <w:rPr>
          <w:rFonts w:eastAsia="方正仿宋_GBK" w:cs="宋体" w:hint="eastAsia"/>
          <w:bCs/>
          <w:sz w:val="32"/>
          <w:szCs w:val="32"/>
          <w:shd w:val="clear" w:color="auto" w:fill="FFFFFF"/>
        </w:rPr>
        <w:t>和</w:t>
      </w:r>
      <w:r>
        <w:rPr>
          <w:rFonts w:eastAsia="方正仿宋_GBK" w:cs="楷体_GB2312"/>
          <w:bCs/>
          <w:sz w:val="32"/>
          <w:szCs w:val="32"/>
          <w:shd w:val="clear" w:color="auto" w:fill="FFFFFF"/>
        </w:rPr>
        <w:t>WORD</w:t>
      </w:r>
      <w:r>
        <w:rPr>
          <w:rFonts w:eastAsia="方正仿宋_GBK" w:cs="宋体" w:hint="eastAsia"/>
          <w:bCs/>
          <w:sz w:val="32"/>
          <w:szCs w:val="32"/>
          <w:shd w:val="clear" w:color="auto" w:fill="FFFFFF"/>
        </w:rPr>
        <w:t>两个版本下载链接。加强对关区各隶属海关政务公开栏的指导，明确</w:t>
      </w:r>
      <w:r>
        <w:rPr>
          <w:rFonts w:eastAsia="方正仿宋_GBK" w:cs="楷体_GB2312"/>
          <w:bCs/>
          <w:sz w:val="32"/>
          <w:szCs w:val="32"/>
          <w:shd w:val="clear" w:color="auto" w:fill="FFFFFF"/>
        </w:rPr>
        <w:t>5</w:t>
      </w:r>
      <w:r>
        <w:rPr>
          <w:rFonts w:eastAsia="方正仿宋_GBK" w:cs="宋体" w:hint="eastAsia"/>
          <w:bCs/>
          <w:sz w:val="32"/>
          <w:szCs w:val="32"/>
          <w:shd w:val="clear" w:color="auto" w:fill="FFFFFF"/>
        </w:rPr>
        <w:t>个方面必须公开内容，推进关区整体政务公开工作规范化。</w:t>
      </w:r>
    </w:p>
    <w:p>
      <w:pPr>
        <w:pStyle w:val="16"/>
        <w:widowControl/>
        <w:shd w:val="clear" w:color="auto" w:fill="FFFFFF"/>
        <w:adjustRightInd w:val="0"/>
        <w:snapToGrid w:val="0"/>
        <w:spacing w:beforeAutospacing="0" w:afterAutospacing="0" w:line="560" w:lineRule="exact"/>
        <w:ind w:firstLineChars="200" w:firstLine="640"/>
        <w:rPr>
          <w:rFonts w:eastAsia="方正楷体_GBK" w:cs="宋体"/>
          <w:b/>
          <w:bCs/>
          <w:sz w:val="32"/>
          <w:szCs w:val="32"/>
          <w:shd w:val="clear" w:color="auto" w:fill="FFFFFF"/>
        </w:rPr>
      </w:pPr>
      <w:r>
        <w:rPr>
          <w:rFonts w:eastAsia="方正楷体_GBK" w:cs="宋体" w:hint="eastAsia"/>
          <w:b/>
          <w:bCs/>
          <w:sz w:val="32"/>
          <w:szCs w:val="32"/>
          <w:shd w:val="clear" w:color="auto" w:fill="FFFFFF"/>
        </w:rPr>
        <w:t>（五）积极强化监督保障。</w:t>
      </w:r>
    </w:p>
    <w:p>
      <w:pPr>
        <w:pStyle w:val="16"/>
        <w:widowControl/>
        <w:shd w:val="clear" w:color="auto" w:fill="FFFFFF"/>
        <w:adjustRightInd w:val="0"/>
        <w:snapToGrid w:val="0"/>
        <w:spacing w:beforeAutospacing="0" w:afterAutospacing="0" w:line="560" w:lineRule="exact"/>
        <w:ind w:firstLineChars="200" w:firstLine="640"/>
        <w:rPr>
          <w:rFonts w:eastAsia="方正仿宋_GBK" w:cs="楷体_GB2312"/>
          <w:bCs/>
          <w:sz w:val="32"/>
          <w:szCs w:val="32"/>
          <w:shd w:val="clear" w:color="auto" w:fill="FFFFFF"/>
        </w:rPr>
      </w:pPr>
      <w:r>
        <w:rPr>
          <w:rFonts w:eastAsia="方正仿宋_GBK" w:cs="宋体" w:hint="eastAsia"/>
          <w:bCs/>
          <w:sz w:val="32"/>
          <w:szCs w:val="32"/>
          <w:shd w:val="clear" w:color="auto" w:fill="FFFFFF"/>
        </w:rPr>
        <w:t>按季度对政府信息公开和政务公开保障情况进行检查，对未保障到位的进行通报，情节严重的予以追究责任。拓展优化公开渠道，开展政务公开问卷调查，进一步扩大与公众互动，提升政务公开工作有效性。在网站公布信息公开邮箱，广泛听取公民、法人和其他社会组织对政府信息公开工作的批评、意见和建议，强化信息公开外部监督。</w:t>
      </w:r>
    </w:p>
    <w:p>
      <w:pPr>
        <w:pStyle w:val="16"/>
        <w:widowControl/>
        <w:shd w:val="clear" w:color="auto" w:fill="FFFFFF"/>
        <w:adjustRightInd w:val="0"/>
        <w:snapToGrid w:val="0"/>
        <w:spacing w:beforeAutospacing="0" w:afterAutospacing="0" w:line="400" w:lineRule="exact"/>
        <w:jc w:val="both"/>
        <w:rPr>
          <w:rFonts w:eastAsia="方正黑体_GBK" w:cs="楷体_GB2312"/>
          <w:bCs/>
          <w:sz w:val="32"/>
          <w:szCs w:val="32"/>
          <w:shd w:val="clear" w:color="auto" w:fill="FFFFFF"/>
        </w:rPr>
      </w:pPr>
      <w:r>
        <w:rPr>
          <w:rFonts w:eastAsia="方正黑体_GBK" w:cs="楷体_GB2312"/>
          <w:bCs/>
          <w:sz w:val="32"/>
          <w:szCs w:val="32"/>
          <w:shd w:val="clear" w:color="auto" w:fill="FFFFFF"/>
        </w:rPr>
        <w:t xml:space="preserve">    </w:t>
      </w:r>
      <w:r>
        <w:rPr>
          <w:rFonts w:eastAsia="方正黑体_GBK" w:cs="楷体_GB2312" w:hint="eastAsia"/>
          <w:bCs/>
          <w:sz w:val="32"/>
          <w:szCs w:val="32"/>
          <w:shd w:val="clear" w:color="auto" w:fill="FFFFFF"/>
        </w:rPr>
        <w:t>二、主动公开政府信息情况</w:t>
      </w:r>
    </w:p>
    <w:tbl>
      <w:tblPr>
        <w:jc w:val="center"/>
        <w:tblW w:w="8935"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1955"/>
        <w:gridCol w:w="2183"/>
        <w:gridCol w:w="1551"/>
        <w:gridCol w:w="3246"/>
      </w:tblGrid>
      <w:tr>
        <w:trPr>
          <w:trHeight w:val="495"/>
        </w:trPr>
        <w:tc>
          <w:tcPr>
            <w:tcW w:w="8935" w:type="dxa"/>
            <w:gridSpan w:val="4"/>
            <w:tcBorders>
              <w:top w:val="single" w:sz="8" w:space="0" w:color="auto"/>
              <w:left w:val="single" w:sz="8" w:space="0" w:color="auto"/>
              <w:bottom w:val="single" w:sz="8" w:space="0" w:color="auto"/>
              <w:right w:val="single" w:sz="8" w:space="0" w:color="auto"/>
            </w:tcBorders>
            <w:shd w:val="clear" w:color="auto" w:fill="C6D9F1"/>
            <w:tcMar>
              <w:left w:w="108" w:type="dxa"/>
              <w:right w:w="108" w:type="dxa"/>
            </w:tcMar>
            <w:vAlign w:val="center"/>
          </w:tcPr>
          <w:p>
            <w:pPr>
              <w:widowControl/>
              <w:spacing w:after="180"/>
              <w:jc w:val="center"/>
              <w:rPr>
                <w:sz w:val="24"/>
                <w:szCs w:val="24"/>
              </w:rPr>
            </w:pPr>
            <w:r>
              <w:rPr>
                <w:rFonts w:cs="宋体" w:hint="eastAsia"/>
                <w:kern w:val="0"/>
                <w:sz w:val="24"/>
                <w:szCs w:val="24"/>
              </w:rPr>
              <w:t>第二十条第（一）项</w:t>
            </w:r>
          </w:p>
        </w:tc>
      </w:tr>
      <w:tr>
        <w:trPr>
          <w:trHeight w:val="882"/>
        </w:trPr>
        <w:tc>
          <w:tcPr>
            <w:tcW w:w="1955" w:type="dxa"/>
            <w:tcBorders>
              <w:top w:val="nil"/>
              <w:left w:val="single" w:sz="8" w:space="0" w:color="auto"/>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信息内容</w:t>
            </w:r>
          </w:p>
        </w:tc>
        <w:tc>
          <w:tcPr>
            <w:tcW w:w="2183" w:type="dxa"/>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本年新</w:t>
            </w:r>
            <w:r>
              <w:rPr>
                <w:rFonts w:cs="宋体"/>
                <w:kern w:val="0"/>
                <w:sz w:val="24"/>
                <w:szCs w:val="24"/>
              </w:rPr>
              <w:br/>
            </w:r>
            <w:r>
              <w:rPr>
                <w:rFonts w:hint="eastAsia"/>
                <w:kern w:val="0"/>
                <w:sz w:val="24"/>
                <w:szCs w:val="24"/>
              </w:rPr>
              <w:t>制作数量</w:t>
            </w:r>
          </w:p>
        </w:tc>
        <w:tc>
          <w:tcPr>
            <w:tcW w:w="1551" w:type="dxa"/>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本年新</w:t>
            </w:r>
            <w:r>
              <w:rPr>
                <w:rFonts w:cs="宋体"/>
                <w:kern w:val="0"/>
                <w:sz w:val="24"/>
                <w:szCs w:val="24"/>
              </w:rPr>
              <w:br/>
            </w:r>
            <w:r>
              <w:rPr>
                <w:rFonts w:hint="eastAsia"/>
                <w:kern w:val="0"/>
                <w:sz w:val="24"/>
                <w:szCs w:val="24"/>
              </w:rPr>
              <w:t>公开数量</w:t>
            </w:r>
          </w:p>
        </w:tc>
        <w:tc>
          <w:tcPr>
            <w:tcW w:w="3246"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对外公开总数量</w:t>
            </w:r>
          </w:p>
        </w:tc>
      </w:tr>
      <w:tr>
        <w:trPr>
          <w:trHeight w:val="272"/>
        </w:trPr>
        <w:tc>
          <w:tcPr>
            <w:tcW w:w="1955" w:type="dxa"/>
            <w:tcBorders>
              <w:top w:val="nil"/>
              <w:left w:val="single" w:sz="8" w:space="0" w:color="auto"/>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left"/>
              <w:rPr>
                <w:sz w:val="24"/>
                <w:szCs w:val="24"/>
              </w:rPr>
            </w:pPr>
            <w:r>
              <w:rPr>
                <w:rFonts w:cs="宋体" w:hint="eastAsia"/>
                <w:kern w:val="0"/>
                <w:sz w:val="24"/>
                <w:szCs w:val="24"/>
              </w:rPr>
              <w:t>规章</w:t>
            </w:r>
          </w:p>
        </w:tc>
        <w:tc>
          <w:tcPr>
            <w:tcW w:w="2183" w:type="dxa"/>
            <w:tcBorders>
              <w:top w:val="nil"/>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sz w:val="24"/>
                <w:szCs w:val="24"/>
              </w:rPr>
            </w:pPr>
            <w:r>
              <w:rPr>
                <w:rFonts w:cs="宋体"/>
                <w:kern w:val="0"/>
                <w:sz w:val="24"/>
                <w:szCs w:val="24"/>
              </w:rPr>
              <w:t>0</w:t>
            </w:r>
          </w:p>
        </w:tc>
        <w:tc>
          <w:tcPr>
            <w:tcW w:w="1551" w:type="dxa"/>
            <w:tcBorders>
              <w:top w:val="nil"/>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sz w:val="24"/>
                <w:szCs w:val="24"/>
              </w:rPr>
            </w:pPr>
            <w:r>
              <w:rPr>
                <w:rFonts w:cs="宋体"/>
                <w:kern w:val="0"/>
                <w:sz w:val="24"/>
                <w:szCs w:val="24"/>
              </w:rPr>
              <w:t>0</w:t>
            </w:r>
          </w:p>
        </w:tc>
        <w:tc>
          <w:tcPr>
            <w:tcW w:w="3246" w:type="dxa"/>
            <w:tcBorders>
              <w:top w:val="nil"/>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sz w:val="24"/>
                <w:szCs w:val="24"/>
              </w:rPr>
            </w:pPr>
            <w:r>
              <w:rPr>
                <w:rFonts w:cs="宋体"/>
                <w:kern w:val="0"/>
                <w:sz w:val="24"/>
                <w:szCs w:val="24"/>
              </w:rPr>
              <w:t>0</w:t>
            </w:r>
          </w:p>
        </w:tc>
      </w:tr>
      <w:tr>
        <w:trPr>
          <w:trHeight w:val="471"/>
        </w:trPr>
        <w:tc>
          <w:tcPr>
            <w:tcW w:w="1955" w:type="dxa"/>
            <w:tcBorders>
              <w:top w:val="nil"/>
              <w:left w:val="single" w:sz="8" w:space="0" w:color="auto"/>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left"/>
              <w:rPr>
                <w:sz w:val="24"/>
                <w:szCs w:val="24"/>
              </w:rPr>
            </w:pPr>
            <w:r>
              <w:rPr>
                <w:rFonts w:cs="宋体" w:hint="eastAsia"/>
                <w:kern w:val="0"/>
                <w:sz w:val="24"/>
                <w:szCs w:val="24"/>
              </w:rPr>
              <w:t>规范性文件</w:t>
            </w:r>
          </w:p>
        </w:tc>
        <w:tc>
          <w:tcPr>
            <w:tcW w:w="2183" w:type="dxa"/>
            <w:tcBorders>
              <w:top w:val="nil"/>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sz w:val="24"/>
                <w:szCs w:val="24"/>
              </w:rPr>
            </w:pPr>
            <w:r>
              <w:rPr>
                <w:rFonts w:cs="宋体"/>
                <w:kern w:val="0"/>
                <w:sz w:val="24"/>
                <w:szCs w:val="24"/>
              </w:rPr>
              <w:t>1</w:t>
            </w:r>
          </w:p>
        </w:tc>
        <w:tc>
          <w:tcPr>
            <w:tcW w:w="1551" w:type="dxa"/>
            <w:tcBorders>
              <w:top w:val="nil"/>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sz w:val="24"/>
                <w:szCs w:val="24"/>
              </w:rPr>
            </w:pPr>
            <w:r>
              <w:rPr>
                <w:rFonts w:cs="宋体"/>
                <w:kern w:val="0"/>
                <w:sz w:val="24"/>
                <w:szCs w:val="24"/>
              </w:rPr>
              <w:t>1</w:t>
            </w:r>
          </w:p>
        </w:tc>
        <w:tc>
          <w:tcPr>
            <w:tcW w:w="3246" w:type="dxa"/>
            <w:tcBorders>
              <w:top w:val="nil"/>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sz w:val="24"/>
                <w:szCs w:val="24"/>
              </w:rPr>
            </w:pPr>
            <w:r>
              <w:rPr>
                <w:rFonts w:cs="宋体"/>
                <w:kern w:val="0"/>
                <w:sz w:val="24"/>
                <w:szCs w:val="24"/>
              </w:rPr>
              <w:t>9</w:t>
            </w:r>
          </w:p>
        </w:tc>
      </w:tr>
      <w:tr>
        <w:trPr>
          <w:trHeight w:val="480"/>
        </w:trPr>
        <w:tc>
          <w:tcPr>
            <w:tcW w:w="893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widowControl/>
              <w:adjustRightInd w:val="0"/>
              <w:snapToGrid w:val="0"/>
              <w:spacing w:after="180" w:line="260" w:lineRule="exact"/>
              <w:jc w:val="center"/>
              <w:rPr>
                <w:sz w:val="24"/>
                <w:szCs w:val="24"/>
              </w:rPr>
            </w:pPr>
            <w:r>
              <w:rPr>
                <w:rFonts w:cs="宋体" w:hint="eastAsia"/>
                <w:kern w:val="0"/>
                <w:sz w:val="24"/>
                <w:szCs w:val="24"/>
              </w:rPr>
              <w:t>第二十条第（五）项</w:t>
            </w:r>
          </w:p>
        </w:tc>
      </w:tr>
      <w:tr>
        <w:trPr>
          <w:trHeight w:val="436"/>
        </w:trPr>
        <w:tc>
          <w:tcPr>
            <w:tcW w:w="1955" w:type="dxa"/>
            <w:tcBorders>
              <w:top w:val="nil"/>
              <w:left w:val="single" w:sz="8" w:space="0" w:color="auto"/>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sz w:val="24"/>
                <w:szCs w:val="24"/>
              </w:rPr>
            </w:pPr>
            <w:r>
              <w:rPr>
                <w:rFonts w:cs="宋体" w:hint="eastAsia"/>
                <w:kern w:val="0"/>
                <w:sz w:val="24"/>
                <w:szCs w:val="24"/>
              </w:rPr>
              <w:t>信息内容</w:t>
            </w:r>
          </w:p>
        </w:tc>
        <w:tc>
          <w:tcPr>
            <w:tcW w:w="2183" w:type="dxa"/>
            <w:tcBorders>
              <w:top w:val="single" w:sz="8" w:space="0" w:color="auto"/>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color w:val="000000"/>
                <w:sz w:val="24"/>
                <w:szCs w:val="24"/>
              </w:rPr>
            </w:pPr>
            <w:r>
              <w:rPr>
                <w:rFonts w:cs="宋体" w:hint="eastAsia"/>
                <w:color w:val="000000"/>
                <w:kern w:val="0"/>
                <w:sz w:val="24"/>
                <w:szCs w:val="24"/>
              </w:rPr>
              <w:t>上一年项目数量</w:t>
            </w:r>
          </w:p>
        </w:tc>
        <w:tc>
          <w:tcPr>
            <w:tcW w:w="1551" w:type="dxa"/>
            <w:tcBorders>
              <w:top w:val="single" w:sz="8" w:space="0" w:color="auto"/>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color w:val="000000"/>
                <w:sz w:val="24"/>
                <w:szCs w:val="24"/>
              </w:rPr>
            </w:pPr>
            <w:r>
              <w:rPr>
                <w:rFonts w:cs="宋体" w:hint="eastAsia"/>
                <w:color w:val="000000"/>
                <w:kern w:val="0"/>
                <w:sz w:val="24"/>
                <w:szCs w:val="24"/>
              </w:rPr>
              <w:t>本年增</w:t>
            </w:r>
            <w:r>
              <w:rPr>
                <w:rFonts w:cs="宋体"/>
                <w:color w:val="000000"/>
                <w:kern w:val="0"/>
                <w:sz w:val="24"/>
                <w:szCs w:val="24"/>
              </w:rPr>
              <w:t>/</w:t>
            </w:r>
            <w:r>
              <w:rPr>
                <w:rFonts w:cs="宋体" w:hint="eastAsia"/>
                <w:color w:val="000000"/>
                <w:kern w:val="0"/>
                <w:sz w:val="24"/>
                <w:szCs w:val="24"/>
              </w:rPr>
              <w:t>减</w:t>
            </w:r>
          </w:p>
        </w:tc>
        <w:tc>
          <w:tcPr>
            <w:tcW w:w="3246" w:type="dxa"/>
            <w:tcBorders>
              <w:top w:val="nil"/>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sz w:val="24"/>
                <w:szCs w:val="24"/>
              </w:rPr>
            </w:pPr>
            <w:r>
              <w:rPr>
                <w:rFonts w:cs="宋体" w:hint="eastAsia"/>
                <w:kern w:val="0"/>
                <w:sz w:val="24"/>
                <w:szCs w:val="24"/>
              </w:rPr>
              <w:t>处理决定数量</w:t>
            </w:r>
          </w:p>
        </w:tc>
      </w:tr>
      <w:tr>
        <w:trPr>
          <w:trHeight w:val="400"/>
        </w:trPr>
        <w:tc>
          <w:tcPr>
            <w:tcW w:w="1955" w:type="dxa"/>
            <w:tcBorders>
              <w:top w:val="nil"/>
              <w:left w:val="single" w:sz="8" w:space="0" w:color="auto"/>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left"/>
              <w:rPr>
                <w:sz w:val="24"/>
                <w:szCs w:val="24"/>
              </w:rPr>
            </w:pPr>
            <w:r>
              <w:rPr>
                <w:rFonts w:cs="宋体" w:hint="eastAsia"/>
                <w:kern w:val="0"/>
                <w:sz w:val="24"/>
                <w:szCs w:val="24"/>
              </w:rPr>
              <w:t>行政许可</w:t>
            </w:r>
          </w:p>
        </w:tc>
        <w:tc>
          <w:tcPr>
            <w:tcW w:w="2183" w:type="dxa"/>
            <w:tcBorders>
              <w:top w:val="nil"/>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color w:val="000000"/>
                <w:sz w:val="24"/>
                <w:szCs w:val="24"/>
              </w:rPr>
            </w:pPr>
            <w:r>
              <w:rPr>
                <w:rFonts w:cs="宋体"/>
                <w:color w:val="000000"/>
                <w:kern w:val="0"/>
                <w:sz w:val="24"/>
                <w:szCs w:val="24"/>
              </w:rPr>
              <w:t>7</w:t>
            </w:r>
          </w:p>
        </w:tc>
        <w:tc>
          <w:tcPr>
            <w:tcW w:w="1551" w:type="dxa"/>
            <w:tcBorders>
              <w:top w:val="nil"/>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color w:val="000000"/>
                <w:sz w:val="24"/>
                <w:szCs w:val="24"/>
              </w:rPr>
            </w:pPr>
            <w:r>
              <w:rPr>
                <w:rFonts w:cs="宋体"/>
                <w:color w:val="000000"/>
                <w:kern w:val="0"/>
                <w:sz w:val="24"/>
                <w:szCs w:val="24"/>
              </w:rPr>
              <w:t>0</w:t>
            </w:r>
          </w:p>
        </w:tc>
        <w:tc>
          <w:tcPr>
            <w:tcW w:w="3246" w:type="dxa"/>
            <w:tcBorders>
              <w:top w:val="nil"/>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sz w:val="24"/>
                <w:szCs w:val="24"/>
              </w:rPr>
            </w:pPr>
            <w:r>
              <w:rPr>
                <w:rFonts w:cs="宋体"/>
                <w:kern w:val="0"/>
                <w:sz w:val="24"/>
                <w:szCs w:val="24"/>
              </w:rPr>
              <w:t>332</w:t>
            </w:r>
          </w:p>
        </w:tc>
      </w:tr>
      <w:tr>
        <w:trPr>
          <w:trHeight w:val="406"/>
        </w:trPr>
        <w:tc>
          <w:tcPr>
            <w:tcW w:w="893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widowControl/>
              <w:adjustRightInd w:val="0"/>
              <w:snapToGrid w:val="0"/>
              <w:spacing w:after="180" w:line="260" w:lineRule="exact"/>
              <w:jc w:val="center"/>
              <w:rPr>
                <w:sz w:val="24"/>
                <w:szCs w:val="24"/>
              </w:rPr>
            </w:pPr>
            <w:r>
              <w:rPr>
                <w:rFonts w:cs="宋体" w:hint="eastAsia"/>
                <w:kern w:val="0"/>
                <w:sz w:val="24"/>
                <w:szCs w:val="24"/>
              </w:rPr>
              <w:t>第二十条第（六）项</w:t>
            </w:r>
          </w:p>
        </w:tc>
      </w:tr>
      <w:tr>
        <w:trPr>
          <w:trHeight w:val="447"/>
        </w:trPr>
        <w:tc>
          <w:tcPr>
            <w:tcW w:w="1955" w:type="dxa"/>
            <w:tcBorders>
              <w:top w:val="nil"/>
              <w:left w:val="single" w:sz="8" w:space="0" w:color="auto"/>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sz w:val="24"/>
                <w:szCs w:val="24"/>
              </w:rPr>
            </w:pPr>
            <w:r>
              <w:rPr>
                <w:rFonts w:cs="宋体" w:hint="eastAsia"/>
                <w:kern w:val="0"/>
                <w:sz w:val="24"/>
                <w:szCs w:val="24"/>
              </w:rPr>
              <w:t>信息内容</w:t>
            </w:r>
          </w:p>
        </w:tc>
        <w:tc>
          <w:tcPr>
            <w:tcW w:w="2183" w:type="dxa"/>
            <w:tcBorders>
              <w:top w:val="single" w:sz="8" w:space="0" w:color="auto"/>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sz w:val="24"/>
                <w:szCs w:val="24"/>
              </w:rPr>
            </w:pPr>
            <w:r>
              <w:rPr>
                <w:rFonts w:cs="宋体" w:hint="eastAsia"/>
                <w:kern w:val="0"/>
                <w:sz w:val="24"/>
                <w:szCs w:val="24"/>
              </w:rPr>
              <w:t>上一年项目数量</w:t>
            </w:r>
          </w:p>
        </w:tc>
        <w:tc>
          <w:tcPr>
            <w:tcW w:w="1551" w:type="dxa"/>
            <w:tcBorders>
              <w:top w:val="single" w:sz="8" w:space="0" w:color="auto"/>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sz w:val="24"/>
                <w:szCs w:val="24"/>
              </w:rPr>
            </w:pPr>
            <w:r>
              <w:rPr>
                <w:rFonts w:cs="宋体" w:hint="eastAsia"/>
                <w:kern w:val="0"/>
                <w:sz w:val="24"/>
                <w:szCs w:val="24"/>
              </w:rPr>
              <w:t>本年增</w:t>
            </w:r>
            <w:r>
              <w:rPr>
                <w:rFonts w:cs="宋体"/>
                <w:kern w:val="0"/>
                <w:sz w:val="24"/>
                <w:szCs w:val="24"/>
              </w:rPr>
              <w:t>/</w:t>
            </w:r>
            <w:r>
              <w:rPr>
                <w:rFonts w:cs="宋体" w:hint="eastAsia"/>
                <w:kern w:val="0"/>
                <w:sz w:val="24"/>
                <w:szCs w:val="24"/>
              </w:rPr>
              <w:t>减</w:t>
            </w:r>
          </w:p>
        </w:tc>
        <w:tc>
          <w:tcPr>
            <w:tcW w:w="3246" w:type="dxa"/>
            <w:tcBorders>
              <w:top w:val="nil"/>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sz w:val="24"/>
                <w:szCs w:val="24"/>
              </w:rPr>
            </w:pPr>
            <w:r>
              <w:rPr>
                <w:rFonts w:cs="宋体" w:hint="eastAsia"/>
                <w:kern w:val="0"/>
                <w:sz w:val="24"/>
                <w:szCs w:val="24"/>
              </w:rPr>
              <w:t>处理决定数量</w:t>
            </w:r>
          </w:p>
        </w:tc>
      </w:tr>
      <w:tr>
        <w:trPr>
          <w:trHeight w:val="430"/>
        </w:trPr>
        <w:tc>
          <w:tcPr>
            <w:tcW w:w="1955" w:type="dxa"/>
            <w:tcBorders>
              <w:top w:val="nil"/>
              <w:left w:val="single" w:sz="8" w:space="0" w:color="auto"/>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left"/>
              <w:rPr>
                <w:sz w:val="24"/>
                <w:szCs w:val="24"/>
              </w:rPr>
            </w:pPr>
            <w:r>
              <w:rPr>
                <w:rFonts w:cs="宋体" w:hint="eastAsia"/>
                <w:kern w:val="0"/>
                <w:sz w:val="24"/>
                <w:szCs w:val="24"/>
              </w:rPr>
              <w:t>行政处罚</w:t>
            </w:r>
          </w:p>
        </w:tc>
        <w:tc>
          <w:tcPr>
            <w:tcW w:w="2183" w:type="dxa"/>
            <w:tcBorders>
              <w:top w:val="nil"/>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sz w:val="24"/>
                <w:szCs w:val="24"/>
              </w:rPr>
            </w:pPr>
            <w:r>
              <w:rPr>
                <w:rFonts w:cs="宋体"/>
                <w:kern w:val="0"/>
                <w:sz w:val="24"/>
                <w:szCs w:val="24"/>
              </w:rPr>
              <w:t>7</w:t>
            </w:r>
          </w:p>
        </w:tc>
        <w:tc>
          <w:tcPr>
            <w:tcW w:w="1551" w:type="dxa"/>
            <w:tcBorders>
              <w:top w:val="nil"/>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sz w:val="24"/>
                <w:szCs w:val="24"/>
              </w:rPr>
            </w:pPr>
            <w:r>
              <w:rPr>
                <w:rFonts w:cs="宋体"/>
                <w:kern w:val="0"/>
                <w:sz w:val="24"/>
                <w:szCs w:val="24"/>
              </w:rPr>
              <w:t>0</w:t>
            </w:r>
          </w:p>
        </w:tc>
        <w:tc>
          <w:tcPr>
            <w:tcW w:w="3246" w:type="dxa"/>
            <w:tcBorders>
              <w:top w:val="nil"/>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sz w:val="24"/>
                <w:szCs w:val="24"/>
              </w:rPr>
            </w:pPr>
            <w:r>
              <w:rPr>
                <w:rFonts w:cs="宋体"/>
                <w:kern w:val="0"/>
                <w:sz w:val="24"/>
                <w:szCs w:val="24"/>
              </w:rPr>
              <w:t>18</w:t>
            </w:r>
          </w:p>
        </w:tc>
      </w:tr>
      <w:tr>
        <w:trPr>
          <w:trHeight w:val="409"/>
        </w:trPr>
        <w:tc>
          <w:tcPr>
            <w:tcW w:w="1955" w:type="dxa"/>
            <w:tcBorders>
              <w:top w:val="nil"/>
              <w:left w:val="single" w:sz="8" w:space="0" w:color="auto"/>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left"/>
              <w:rPr>
                <w:sz w:val="24"/>
                <w:szCs w:val="24"/>
              </w:rPr>
            </w:pPr>
            <w:r>
              <w:rPr>
                <w:rFonts w:cs="宋体" w:hint="eastAsia"/>
                <w:kern w:val="0"/>
                <w:sz w:val="24"/>
                <w:szCs w:val="24"/>
              </w:rPr>
              <w:t>行政强制</w:t>
            </w:r>
          </w:p>
        </w:tc>
        <w:tc>
          <w:tcPr>
            <w:tcW w:w="2183" w:type="dxa"/>
            <w:tcBorders>
              <w:top w:val="nil"/>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sz w:val="24"/>
                <w:szCs w:val="24"/>
              </w:rPr>
            </w:pPr>
            <w:r>
              <w:rPr>
                <w:rFonts w:cs="宋体"/>
                <w:kern w:val="0"/>
                <w:sz w:val="24"/>
                <w:szCs w:val="24"/>
              </w:rPr>
              <w:t>16</w:t>
            </w:r>
          </w:p>
        </w:tc>
        <w:tc>
          <w:tcPr>
            <w:tcW w:w="1551" w:type="dxa"/>
            <w:tcBorders>
              <w:top w:val="nil"/>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sz w:val="24"/>
                <w:szCs w:val="24"/>
              </w:rPr>
            </w:pPr>
            <w:r>
              <w:rPr>
                <w:rFonts w:cs="宋体"/>
                <w:kern w:val="0"/>
                <w:sz w:val="24"/>
                <w:szCs w:val="24"/>
              </w:rPr>
              <w:t>0</w:t>
            </w:r>
          </w:p>
        </w:tc>
        <w:tc>
          <w:tcPr>
            <w:tcW w:w="3246" w:type="dxa"/>
            <w:tcBorders>
              <w:top w:val="nil"/>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sz w:val="24"/>
                <w:szCs w:val="24"/>
              </w:rPr>
            </w:pPr>
            <w:r>
              <w:rPr>
                <w:rFonts w:cs="宋体"/>
                <w:kern w:val="0"/>
                <w:sz w:val="24"/>
                <w:szCs w:val="24"/>
              </w:rPr>
              <w:t>27</w:t>
            </w:r>
          </w:p>
        </w:tc>
      </w:tr>
      <w:tr>
        <w:trPr>
          <w:trHeight w:val="474"/>
        </w:trPr>
        <w:tc>
          <w:tcPr>
            <w:tcW w:w="893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widowControl/>
              <w:adjustRightInd w:val="0"/>
              <w:snapToGrid w:val="0"/>
              <w:spacing w:after="180" w:line="260" w:lineRule="exact"/>
              <w:jc w:val="center"/>
              <w:rPr>
                <w:sz w:val="24"/>
                <w:szCs w:val="24"/>
              </w:rPr>
            </w:pPr>
            <w:r>
              <w:rPr>
                <w:rFonts w:cs="宋体" w:hint="eastAsia"/>
                <w:kern w:val="0"/>
                <w:sz w:val="24"/>
                <w:szCs w:val="24"/>
              </w:rPr>
              <w:t>第二十条第（八）项</w:t>
            </w:r>
          </w:p>
        </w:tc>
      </w:tr>
      <w:tr>
        <w:trPr>
          <w:trHeight w:val="270"/>
        </w:trPr>
        <w:tc>
          <w:tcPr>
            <w:tcW w:w="1955" w:type="dxa"/>
            <w:tcBorders>
              <w:top w:val="nil"/>
              <w:left w:val="single" w:sz="8" w:space="0" w:color="auto"/>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sz w:val="24"/>
                <w:szCs w:val="24"/>
              </w:rPr>
            </w:pPr>
            <w:r>
              <w:rPr>
                <w:rFonts w:cs="宋体" w:hint="eastAsia"/>
                <w:kern w:val="0"/>
                <w:sz w:val="24"/>
                <w:szCs w:val="24"/>
              </w:rPr>
              <w:t>信息内容</w:t>
            </w:r>
          </w:p>
        </w:tc>
        <w:tc>
          <w:tcPr>
            <w:tcW w:w="2183" w:type="dxa"/>
            <w:tcBorders>
              <w:top w:val="nil"/>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left"/>
              <w:rPr>
                <w:sz w:val="24"/>
                <w:szCs w:val="24"/>
              </w:rPr>
            </w:pPr>
            <w:r>
              <w:rPr>
                <w:rFonts w:cs="宋体" w:hint="eastAsia"/>
                <w:kern w:val="0"/>
                <w:sz w:val="24"/>
                <w:szCs w:val="24"/>
              </w:rPr>
              <w:t>上一年项目数量</w:t>
            </w:r>
          </w:p>
        </w:tc>
        <w:tc>
          <w:tcPr>
            <w:tcW w:w="4797" w:type="dxa"/>
            <w:gridSpan w:val="2"/>
            <w:tcBorders>
              <w:top w:val="single" w:sz="8" w:space="0" w:color="auto"/>
              <w:left w:val="nil"/>
              <w:bottom w:val="single" w:sz="8" w:space="0" w:color="auto"/>
              <w:right w:val="single" w:sz="8" w:space="0" w:color="000000"/>
            </w:tcBorders>
            <w:tcMar>
              <w:left w:w="108" w:type="dxa"/>
              <w:right w:w="108" w:type="dxa"/>
            </w:tcMar>
            <w:vAlign w:val="center"/>
          </w:tcPr>
          <w:p>
            <w:pPr>
              <w:widowControl/>
              <w:adjustRightInd w:val="0"/>
              <w:snapToGrid w:val="0"/>
              <w:spacing w:after="180" w:line="260" w:lineRule="exact"/>
              <w:jc w:val="center"/>
              <w:rPr>
                <w:sz w:val="24"/>
                <w:szCs w:val="24"/>
              </w:rPr>
            </w:pPr>
            <w:r>
              <w:rPr>
                <w:rFonts w:cs="宋体" w:hint="eastAsia"/>
                <w:kern w:val="0"/>
                <w:sz w:val="24"/>
                <w:szCs w:val="24"/>
              </w:rPr>
              <w:t>本年增</w:t>
            </w:r>
            <w:r>
              <w:rPr>
                <w:rFonts w:cs="宋体"/>
                <w:kern w:val="0"/>
                <w:sz w:val="24"/>
                <w:szCs w:val="24"/>
              </w:rPr>
              <w:t>/</w:t>
            </w:r>
            <w:r>
              <w:rPr>
                <w:rFonts w:cs="宋体" w:hint="eastAsia"/>
                <w:kern w:val="0"/>
                <w:sz w:val="24"/>
                <w:szCs w:val="24"/>
              </w:rPr>
              <w:t>减</w:t>
            </w:r>
          </w:p>
        </w:tc>
      </w:tr>
      <w:tr>
        <w:trPr>
          <w:trHeight w:val="347"/>
        </w:trPr>
        <w:tc>
          <w:tcPr>
            <w:tcW w:w="1955" w:type="dxa"/>
            <w:tcBorders>
              <w:top w:val="nil"/>
              <w:left w:val="single" w:sz="8" w:space="0" w:color="auto"/>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left"/>
              <w:rPr>
                <w:sz w:val="24"/>
                <w:szCs w:val="24"/>
              </w:rPr>
            </w:pPr>
            <w:r>
              <w:rPr>
                <w:rFonts w:cs="宋体" w:hint="eastAsia"/>
                <w:kern w:val="0"/>
                <w:sz w:val="24"/>
                <w:szCs w:val="24"/>
              </w:rPr>
              <w:t>行政事业性收费</w:t>
            </w:r>
          </w:p>
        </w:tc>
        <w:tc>
          <w:tcPr>
            <w:tcW w:w="2183" w:type="dxa"/>
            <w:tcBorders>
              <w:top w:val="nil"/>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color w:val="000000"/>
                <w:sz w:val="24"/>
                <w:szCs w:val="24"/>
              </w:rPr>
            </w:pPr>
            <w:r>
              <w:rPr>
                <w:rFonts w:cs="宋体"/>
                <w:color w:val="000000"/>
                <w:kern w:val="0"/>
                <w:sz w:val="24"/>
                <w:szCs w:val="24"/>
              </w:rPr>
              <w:t>0</w:t>
            </w:r>
          </w:p>
        </w:tc>
        <w:tc>
          <w:tcPr>
            <w:tcW w:w="4797" w:type="dxa"/>
            <w:gridSpan w:val="2"/>
            <w:tcBorders>
              <w:top w:val="nil"/>
              <w:left w:val="nil"/>
              <w:bottom w:val="single" w:sz="8" w:space="0" w:color="auto"/>
              <w:right w:val="single" w:sz="8" w:space="0" w:color="000000"/>
            </w:tcBorders>
            <w:tcMar>
              <w:left w:w="108" w:type="dxa"/>
              <w:right w:w="108" w:type="dxa"/>
            </w:tcMar>
            <w:vAlign w:val="center"/>
          </w:tcPr>
          <w:p>
            <w:pPr>
              <w:widowControl/>
              <w:adjustRightInd w:val="0"/>
              <w:snapToGrid w:val="0"/>
              <w:spacing w:after="180" w:line="260" w:lineRule="exact"/>
              <w:jc w:val="center"/>
              <w:rPr>
                <w:color w:val="000000"/>
                <w:sz w:val="24"/>
                <w:szCs w:val="24"/>
              </w:rPr>
            </w:pPr>
            <w:r>
              <w:rPr>
                <w:rFonts w:cs="宋体"/>
                <w:color w:val="000000"/>
                <w:kern w:val="0"/>
                <w:sz w:val="24"/>
                <w:szCs w:val="24"/>
              </w:rPr>
              <w:t>0</w:t>
            </w:r>
          </w:p>
        </w:tc>
      </w:tr>
      <w:tr>
        <w:trPr>
          <w:trHeight w:val="476"/>
        </w:trPr>
        <w:tc>
          <w:tcPr>
            <w:tcW w:w="893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widowControl/>
              <w:adjustRightInd w:val="0"/>
              <w:snapToGrid w:val="0"/>
              <w:spacing w:after="180" w:line="260" w:lineRule="exact"/>
              <w:jc w:val="center"/>
              <w:rPr>
                <w:color w:val="000000"/>
                <w:sz w:val="24"/>
                <w:szCs w:val="24"/>
              </w:rPr>
            </w:pPr>
            <w:r>
              <w:rPr>
                <w:rFonts w:cs="宋体" w:hint="eastAsia"/>
                <w:color w:val="000000"/>
                <w:kern w:val="0"/>
                <w:sz w:val="24"/>
                <w:szCs w:val="24"/>
              </w:rPr>
              <w:t>第二十条第（九）项</w:t>
            </w:r>
          </w:p>
        </w:tc>
      </w:tr>
      <w:tr>
        <w:trPr>
          <w:trHeight w:val="419"/>
        </w:trPr>
        <w:tc>
          <w:tcPr>
            <w:tcW w:w="1955" w:type="dxa"/>
            <w:tcBorders>
              <w:top w:val="nil"/>
              <w:left w:val="single" w:sz="8" w:space="0" w:color="auto"/>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sz w:val="24"/>
                <w:szCs w:val="24"/>
              </w:rPr>
            </w:pPr>
            <w:r>
              <w:rPr>
                <w:rFonts w:cs="宋体" w:hint="eastAsia"/>
                <w:kern w:val="0"/>
                <w:sz w:val="24"/>
                <w:szCs w:val="24"/>
              </w:rPr>
              <w:t>信息内容</w:t>
            </w:r>
          </w:p>
        </w:tc>
        <w:tc>
          <w:tcPr>
            <w:tcW w:w="2183" w:type="dxa"/>
            <w:tcBorders>
              <w:top w:val="nil"/>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color w:val="000000"/>
                <w:sz w:val="24"/>
                <w:szCs w:val="24"/>
              </w:rPr>
            </w:pPr>
            <w:r>
              <w:rPr>
                <w:rFonts w:cs="宋体" w:hint="eastAsia"/>
                <w:color w:val="000000"/>
                <w:kern w:val="0"/>
                <w:sz w:val="24"/>
                <w:szCs w:val="24"/>
              </w:rPr>
              <w:t>采购项目数量</w:t>
            </w:r>
          </w:p>
        </w:tc>
        <w:tc>
          <w:tcPr>
            <w:tcW w:w="4797" w:type="dxa"/>
            <w:gridSpan w:val="2"/>
            <w:tcBorders>
              <w:top w:val="single" w:sz="8" w:space="0" w:color="auto"/>
              <w:left w:val="nil"/>
              <w:bottom w:val="single" w:sz="8" w:space="0" w:color="auto"/>
              <w:right w:val="single" w:sz="8" w:space="0" w:color="000000"/>
            </w:tcBorders>
            <w:tcMar>
              <w:left w:w="108" w:type="dxa"/>
              <w:right w:w="108" w:type="dxa"/>
            </w:tcMar>
            <w:vAlign w:val="center"/>
          </w:tcPr>
          <w:p>
            <w:pPr>
              <w:widowControl/>
              <w:adjustRightInd w:val="0"/>
              <w:snapToGrid w:val="0"/>
              <w:spacing w:after="180" w:line="260" w:lineRule="exact"/>
              <w:jc w:val="center"/>
              <w:rPr>
                <w:color w:val="000000"/>
                <w:sz w:val="24"/>
                <w:szCs w:val="24"/>
              </w:rPr>
            </w:pPr>
            <w:r>
              <w:rPr>
                <w:rFonts w:cs="宋体" w:hint="eastAsia"/>
                <w:color w:val="000000"/>
                <w:kern w:val="0"/>
                <w:sz w:val="24"/>
                <w:szCs w:val="24"/>
              </w:rPr>
              <w:t>采购总金额</w:t>
            </w:r>
          </w:p>
        </w:tc>
      </w:tr>
      <w:tr>
        <w:trPr>
          <w:trHeight w:val="539"/>
        </w:trPr>
        <w:tc>
          <w:tcPr>
            <w:tcW w:w="1955" w:type="dxa"/>
            <w:tcBorders>
              <w:top w:val="nil"/>
              <w:left w:val="single" w:sz="8" w:space="0" w:color="auto"/>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left"/>
              <w:rPr>
                <w:sz w:val="24"/>
                <w:szCs w:val="24"/>
              </w:rPr>
            </w:pPr>
            <w:r>
              <w:rPr>
                <w:rFonts w:cs="宋体" w:hint="eastAsia"/>
                <w:kern w:val="0"/>
                <w:sz w:val="24"/>
                <w:szCs w:val="24"/>
              </w:rPr>
              <w:t>政府集中采购</w:t>
            </w:r>
          </w:p>
        </w:tc>
        <w:tc>
          <w:tcPr>
            <w:tcW w:w="2183" w:type="dxa"/>
            <w:tcBorders>
              <w:top w:val="nil"/>
              <w:left w:val="nil"/>
              <w:bottom w:val="single" w:sz="8" w:space="0" w:color="auto"/>
              <w:right w:val="single" w:sz="8" w:space="0" w:color="auto"/>
            </w:tcBorders>
            <w:tcMar>
              <w:left w:w="108" w:type="dxa"/>
              <w:right w:w="108" w:type="dxa"/>
            </w:tcMar>
            <w:vAlign w:val="center"/>
          </w:tcPr>
          <w:p>
            <w:pPr>
              <w:widowControl/>
              <w:adjustRightInd w:val="0"/>
              <w:snapToGrid w:val="0"/>
              <w:spacing w:after="180" w:line="260" w:lineRule="exact"/>
              <w:jc w:val="center"/>
              <w:rPr>
                <w:color w:val="000000"/>
                <w:sz w:val="24"/>
                <w:szCs w:val="24"/>
              </w:rPr>
            </w:pPr>
            <w:r>
              <w:rPr>
                <w:rFonts w:cs="宋体"/>
                <w:b/>
                <w:color w:val="000000"/>
                <w:kern w:val="0"/>
                <w:sz w:val="24"/>
                <w:szCs w:val="24"/>
              </w:rPr>
              <w:t>7</w:t>
            </w:r>
          </w:p>
        </w:tc>
        <w:tc>
          <w:tcPr>
            <w:tcW w:w="4797" w:type="dxa"/>
            <w:gridSpan w:val="2"/>
            <w:tcBorders>
              <w:top w:val="nil"/>
              <w:left w:val="nil"/>
              <w:bottom w:val="single" w:sz="8" w:space="0" w:color="auto"/>
              <w:right w:val="single" w:sz="8" w:space="0" w:color="000000"/>
            </w:tcBorders>
            <w:tcMar>
              <w:left w:w="108" w:type="dxa"/>
              <w:right w:w="108" w:type="dxa"/>
            </w:tcMar>
            <w:vAlign w:val="center"/>
          </w:tcPr>
          <w:p>
            <w:pPr>
              <w:adjustRightInd w:val="0"/>
              <w:snapToGrid w:val="0"/>
              <w:spacing w:line="260" w:lineRule="exact"/>
              <w:jc w:val="center"/>
              <w:rPr>
                <w:color w:val="000000"/>
                <w:sz w:val="24"/>
                <w:szCs w:val="24"/>
              </w:rPr>
            </w:pPr>
            <w:r>
              <w:rPr>
                <w:rFonts w:cs="宋体"/>
                <w:color w:val="000000"/>
                <w:kern w:val="0"/>
                <w:sz w:val="24"/>
                <w:szCs w:val="24"/>
              </w:rPr>
              <w:t>251.59</w:t>
            </w:r>
            <w:r>
              <w:rPr>
                <w:rFonts w:cs="宋体" w:hint="eastAsia"/>
                <w:color w:val="000000"/>
                <w:kern w:val="0"/>
                <w:sz w:val="24"/>
                <w:szCs w:val="24"/>
              </w:rPr>
              <w:t>万元</w:t>
            </w:r>
          </w:p>
        </w:tc>
      </w:tr>
    </w:tbl>
    <w:p>
      <w:pPr>
        <w:pStyle w:val="16"/>
        <w:widowControl/>
        <w:shd w:val="clear" w:color="auto" w:fill="FFFFFF"/>
        <w:spacing w:beforeAutospacing="0" w:after="240" w:afterAutospacing="0"/>
        <w:ind w:firstLineChars="200" w:firstLine="640"/>
        <w:jc w:val="both"/>
        <w:rPr>
          <w:rFonts w:eastAsia="方正黑体_GBK" w:cs="楷体_GB2312"/>
          <w:bCs/>
          <w:sz w:val="32"/>
          <w:szCs w:val="32"/>
          <w:shd w:val="clear" w:color="auto" w:fill="FFFFFF"/>
        </w:rPr>
      </w:pPr>
      <w:r>
        <w:rPr>
          <w:rFonts w:eastAsia="方正黑体_GBK" w:cs="楷体_GB2312" w:hint="eastAsia"/>
          <w:bCs/>
          <w:sz w:val="32"/>
          <w:szCs w:val="32"/>
          <w:shd w:val="clear" w:color="auto" w:fill="FFFFFF"/>
        </w:rPr>
        <w:t>三、收到和处理政府信息公开申请情况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96"/>
        <w:gridCol w:w="936"/>
        <w:gridCol w:w="2670"/>
        <w:gridCol w:w="632"/>
        <w:gridCol w:w="678"/>
        <w:gridCol w:w="750"/>
        <w:gridCol w:w="765"/>
        <w:gridCol w:w="765"/>
        <w:gridCol w:w="497"/>
        <w:gridCol w:w="682"/>
      </w:tblGrid>
      <w:tr>
        <w:tc>
          <w:tcPr>
            <w:tcW w:w="4302" w:type="dxa"/>
            <w:gridSpan w:val="3"/>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widowControl/>
              <w:spacing w:after="180"/>
              <w:jc w:val="center"/>
            </w:pPr>
            <w:r>
              <w:rPr>
                <w:rFonts w:cs="宋体" w:hint="eastAsia"/>
                <w:kern w:val="0"/>
                <w:sz w:val="20"/>
                <w:szCs w:val="20"/>
              </w:rPr>
              <w:t>（本列数据的勾稽关系为：第一项加第二项之和，等于第三项加第四项之和）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pPr>
            <w:r>
              <w:rPr>
                <w:rFonts w:cs="宋体" w:hint="eastAsia"/>
                <w:kern w:val="0"/>
                <w:sz w:val="20"/>
                <w:szCs w:val="20"/>
              </w:rPr>
              <w:t>申请人情况</w:t>
            </w:r>
          </w:p>
        </w:tc>
      </w:tr>
      <w:tr>
        <w:tc>
          <w:tcPr>
            <w:tcW w:w="4302" w:type="dxa"/>
            <w:gridSpan w:val="3"/>
            <w:vMerge/>
            <w:tcBorders>
              <w:top w:val="single" w:sz="8" w:space="0" w:color="auto"/>
              <w:left w:val="single" w:sz="8" w:space="0" w:color="auto"/>
              <w:bottom w:val="single" w:sz="8" w:space="0" w:color="auto"/>
              <w:right w:val="single" w:sz="8" w:space="0" w:color="auto"/>
            </w:tcBorders>
            <w:tcMar>
              <w:left w:w="108" w:type="dxa"/>
              <w:right w:w="108" w:type="dxa"/>
            </w:tcMar>
            <w:vAlign w:val="center"/>
          </w:tcPr>
          <w:p/>
        </w:tc>
        <w:tc>
          <w:tcPr>
            <w:tcW w:w="632" w:type="dxa"/>
            <w:vMerge w:val="restart"/>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0"/>
                <w:szCs w:val="20"/>
              </w:rPr>
              <w:t>自然人</w:t>
            </w:r>
          </w:p>
        </w:tc>
        <w:tc>
          <w:tcPr>
            <w:tcW w:w="3455" w:type="dxa"/>
            <w:gridSpan w:val="5"/>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pPr>
            <w:r>
              <w:rPr>
                <w:rFonts w:cs="宋体" w:hint="eastAsia"/>
                <w:kern w:val="0"/>
                <w:sz w:val="20"/>
                <w:szCs w:val="20"/>
              </w:rPr>
              <w:t>法人或其他组织</w:t>
            </w:r>
          </w:p>
        </w:tc>
        <w:tc>
          <w:tcPr>
            <w:tcW w:w="682" w:type="dxa"/>
            <w:vMerge w:val="restart"/>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pPr>
            <w:r>
              <w:rPr>
                <w:rFonts w:cs="宋体" w:hint="eastAsia"/>
                <w:kern w:val="0"/>
                <w:sz w:val="20"/>
                <w:szCs w:val="20"/>
              </w:rPr>
              <w:t>总计</w:t>
            </w:r>
          </w:p>
        </w:tc>
      </w:tr>
      <w:tr>
        <w:tc>
          <w:tcPr>
            <w:tcW w:w="4302" w:type="dxa"/>
            <w:gridSpan w:val="3"/>
            <w:vMerge/>
            <w:tcBorders>
              <w:top w:val="single" w:sz="8" w:space="0" w:color="auto"/>
              <w:left w:val="single" w:sz="8" w:space="0" w:color="auto"/>
              <w:bottom w:val="single" w:sz="8" w:space="0" w:color="auto"/>
              <w:right w:val="single" w:sz="8" w:space="0" w:color="auto"/>
            </w:tcBorders>
            <w:tcMar>
              <w:left w:w="108" w:type="dxa"/>
              <w:right w:w="108" w:type="dxa"/>
            </w:tcMar>
            <w:vAlign w:val="center"/>
          </w:tcPr>
          <w:p/>
        </w:tc>
        <w:tc>
          <w:tcPr>
            <w:tcW w:w="632" w:type="dxa"/>
            <w:vMerge/>
            <w:tcBorders>
              <w:top w:val="nil"/>
              <w:left w:val="nil"/>
              <w:bottom w:val="single" w:sz="8" w:space="0" w:color="auto"/>
              <w:right w:val="single" w:sz="8" w:space="0" w:color="auto"/>
            </w:tcBorders>
            <w:tcMar>
              <w:left w:w="108" w:type="dxa"/>
              <w:right w:w="108" w:type="dxa"/>
            </w:tcMar>
            <w:vAlign w:val="center"/>
          </w:tcPr>
          <w:p/>
        </w:tc>
        <w:tc>
          <w:tcPr>
            <w:tcW w:w="67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0"/>
                <w:szCs w:val="20"/>
              </w:rPr>
              <w:t>商业企业</w:t>
            </w:r>
          </w:p>
        </w:tc>
        <w:tc>
          <w:tcPr>
            <w:tcW w:w="7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pPr>
            <w:r>
              <w:rPr>
                <w:rFonts w:cs="宋体" w:hint="eastAsia"/>
                <w:kern w:val="0"/>
                <w:sz w:val="20"/>
                <w:szCs w:val="20"/>
              </w:rPr>
              <w:t>科研机构</w:t>
            </w:r>
          </w:p>
        </w:tc>
        <w:tc>
          <w:tcPr>
            <w:tcW w:w="765" w:type="dxa"/>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pPr>
            <w:r>
              <w:rPr>
                <w:rFonts w:cs="宋体" w:hint="eastAsia"/>
                <w:kern w:val="0"/>
                <w:sz w:val="20"/>
                <w:szCs w:val="20"/>
              </w:rPr>
              <w:t>社会公益组织</w:t>
            </w:r>
          </w:p>
        </w:tc>
        <w:tc>
          <w:tcPr>
            <w:tcW w:w="765" w:type="dxa"/>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pPr>
            <w:r>
              <w:rPr>
                <w:rFonts w:cs="宋体" w:hint="eastAsia"/>
                <w:kern w:val="0"/>
                <w:sz w:val="20"/>
                <w:szCs w:val="20"/>
              </w:rPr>
              <w:t>法律服务机构</w:t>
            </w:r>
          </w:p>
        </w:tc>
        <w:tc>
          <w:tcPr>
            <w:tcW w:w="497" w:type="dxa"/>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pPr>
            <w:r>
              <w:rPr>
                <w:rFonts w:cs="宋体" w:hint="eastAsia"/>
                <w:kern w:val="0"/>
                <w:sz w:val="20"/>
                <w:szCs w:val="20"/>
              </w:rPr>
              <w:t>其他</w:t>
            </w:r>
          </w:p>
        </w:tc>
        <w:tc>
          <w:tcPr>
            <w:tcW w:w="682" w:type="dxa"/>
            <w:vMerge/>
            <w:tcBorders>
              <w:top w:val="single" w:sz="8" w:space="0" w:color="auto"/>
              <w:left w:val="nil"/>
              <w:bottom w:val="single" w:sz="8" w:space="0" w:color="auto"/>
              <w:right w:val="single" w:sz="8" w:space="0" w:color="auto"/>
            </w:tcBorders>
            <w:tcMar>
              <w:left w:w="108" w:type="dxa"/>
              <w:right w:w="108" w:type="dxa"/>
            </w:tcMar>
            <w:vAlign w:val="center"/>
          </w:tcPr>
          <w:p/>
        </w:tc>
      </w:tr>
      <w:tr>
        <w:tc>
          <w:tcPr>
            <w:tcW w:w="4302" w:type="dxa"/>
            <w:gridSpan w:val="3"/>
            <w:tcBorders>
              <w:top w:val="nil"/>
              <w:left w:val="single" w:sz="8" w:space="0" w:color="auto"/>
              <w:bottom w:val="single" w:sz="8" w:space="0" w:color="auto"/>
              <w:right w:val="single" w:sz="8" w:space="0" w:color="auto"/>
            </w:tcBorders>
            <w:tcMar>
              <w:left w:w="108" w:type="dxa"/>
              <w:right w:w="108" w:type="dxa"/>
            </w:tcMar>
          </w:tcPr>
          <w:p>
            <w:pPr>
              <w:widowControl/>
              <w:spacing w:after="180"/>
              <w:jc w:val="left"/>
              <w:rPr>
                <w:sz w:val="24"/>
                <w:szCs w:val="24"/>
              </w:rPr>
            </w:pPr>
            <w:r>
              <w:rPr>
                <w:rFonts w:cs="宋体" w:hint="eastAsia"/>
                <w:kern w:val="0"/>
                <w:sz w:val="24"/>
                <w:szCs w:val="24"/>
              </w:rPr>
              <w:t>一、本年新收政府信息公开申请数量</w:t>
            </w:r>
          </w:p>
        </w:tc>
        <w:tc>
          <w:tcPr>
            <w:tcW w:w="632" w:type="dxa"/>
            <w:tcBorders>
              <w:top w:val="nil"/>
              <w:left w:val="nil"/>
              <w:bottom w:val="single" w:sz="8" w:space="0" w:color="auto"/>
              <w:right w:val="single" w:sz="8" w:space="0" w:color="auto"/>
            </w:tcBorders>
            <w:tcMar>
              <w:left w:w="108" w:type="dxa"/>
              <w:right w:w="108" w:type="dxa"/>
            </w:tcMar>
          </w:tcPr>
          <w:p>
            <w:pPr>
              <w:widowControl/>
              <w:spacing w:after="180"/>
              <w:jc w:val="center"/>
              <w:rPr>
                <w:rFonts w:cs="Calibri"/>
                <w:kern w:val="0"/>
                <w:sz w:val="24"/>
                <w:szCs w:val="24"/>
              </w:rPr>
            </w:pPr>
            <w:r>
              <w:rPr>
                <w:rFonts w:cs="Calibri"/>
                <w:kern w:val="0"/>
                <w:sz w:val="24"/>
                <w:szCs w:val="24"/>
              </w:rPr>
              <w:t>2</w:t>
            </w:r>
          </w:p>
        </w:tc>
        <w:tc>
          <w:tcPr>
            <w:tcW w:w="678" w:type="dxa"/>
            <w:tcBorders>
              <w:top w:val="nil"/>
              <w:left w:val="nil"/>
              <w:bottom w:val="single" w:sz="8" w:space="0" w:color="auto"/>
              <w:right w:val="single" w:sz="8" w:space="0" w:color="auto"/>
            </w:tcBorders>
            <w:tcMar>
              <w:left w:w="108" w:type="dxa"/>
              <w:right w:w="108" w:type="dxa"/>
            </w:tcMar>
          </w:tcPr>
          <w:p>
            <w:pPr>
              <w:widowControl/>
              <w:spacing w:after="180"/>
              <w:jc w:val="center"/>
              <w:rPr>
                <w:rFonts w:cs="Calibri"/>
                <w:kern w:val="0"/>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tcPr>
          <w:p>
            <w:pPr>
              <w:widowControl/>
              <w:spacing w:after="180"/>
              <w:jc w:val="center"/>
              <w:rPr>
                <w:rFonts w:cs="Calibri"/>
                <w:kern w:val="0"/>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tcPr>
          <w:p>
            <w:pPr>
              <w:widowControl/>
              <w:spacing w:after="180"/>
              <w:jc w:val="center"/>
              <w:rPr>
                <w:rFonts w:cs="Calibri"/>
                <w:kern w:val="0"/>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tcPr>
          <w:p>
            <w:pPr>
              <w:widowControl/>
              <w:spacing w:after="180"/>
              <w:jc w:val="center"/>
              <w:rPr>
                <w:rFonts w:cs="Calibri"/>
                <w:kern w:val="0"/>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tcPr>
          <w:p>
            <w:pPr>
              <w:widowControl/>
              <w:spacing w:after="180"/>
              <w:jc w:val="center"/>
              <w:rPr>
                <w:rFonts w:cs="Calibri"/>
                <w:kern w:val="0"/>
                <w:sz w:val="24"/>
                <w:szCs w:val="24"/>
              </w:rPr>
            </w:pPr>
            <w:r>
              <w:rPr>
                <w:rFonts w:cs="Calibri"/>
                <w:kern w:val="0"/>
                <w:sz w:val="24"/>
                <w:szCs w:val="24"/>
              </w:rPr>
              <w:t>0</w:t>
            </w:r>
          </w:p>
        </w:tc>
        <w:tc>
          <w:tcPr>
            <w:tcW w:w="682" w:type="dxa"/>
            <w:tcBorders>
              <w:top w:val="nil"/>
              <w:left w:val="nil"/>
              <w:bottom w:val="single" w:sz="8" w:space="0" w:color="auto"/>
              <w:right w:val="single" w:sz="8" w:space="0" w:color="auto"/>
            </w:tcBorders>
            <w:tcMar>
              <w:left w:w="108" w:type="dxa"/>
              <w:right w:w="108" w:type="dxa"/>
            </w:tcMar>
          </w:tcPr>
          <w:p>
            <w:pPr>
              <w:widowControl/>
              <w:spacing w:after="180"/>
              <w:jc w:val="center"/>
              <w:rPr>
                <w:rFonts w:cs="Calibri"/>
                <w:kern w:val="0"/>
                <w:sz w:val="24"/>
                <w:szCs w:val="24"/>
              </w:rPr>
            </w:pPr>
            <w:r>
              <w:rPr>
                <w:rFonts w:cs="Calibri"/>
                <w:kern w:val="0"/>
                <w:sz w:val="24"/>
                <w:szCs w:val="24"/>
              </w:rPr>
              <w:t>2</w:t>
            </w:r>
          </w:p>
        </w:tc>
      </w:tr>
      <w:tr>
        <w:tc>
          <w:tcPr>
            <w:tcW w:w="4302" w:type="dxa"/>
            <w:gridSpan w:val="3"/>
            <w:tcBorders>
              <w:top w:val="nil"/>
              <w:left w:val="single" w:sz="8" w:space="0" w:color="auto"/>
              <w:bottom w:val="single" w:sz="8" w:space="0" w:color="auto"/>
              <w:right w:val="single" w:sz="8" w:space="0" w:color="auto"/>
            </w:tcBorders>
            <w:tcMar>
              <w:left w:w="108" w:type="dxa"/>
              <w:right w:w="108" w:type="dxa"/>
            </w:tcMar>
          </w:tcPr>
          <w:p>
            <w:pPr>
              <w:widowControl/>
              <w:spacing w:after="180"/>
              <w:jc w:val="left"/>
              <w:rPr>
                <w:sz w:val="24"/>
                <w:szCs w:val="24"/>
              </w:rPr>
            </w:pPr>
            <w:r>
              <w:rPr>
                <w:rFonts w:cs="宋体" w:hint="eastAsia"/>
                <w:kern w:val="0"/>
                <w:sz w:val="24"/>
                <w:szCs w:val="24"/>
              </w:rPr>
              <w:t>二、上年结转政府信息公开申请数量</w:t>
            </w:r>
          </w:p>
        </w:tc>
        <w:tc>
          <w:tcPr>
            <w:tcW w:w="632" w:type="dxa"/>
            <w:tcBorders>
              <w:top w:val="nil"/>
              <w:left w:val="nil"/>
              <w:bottom w:val="single" w:sz="8" w:space="0" w:color="auto"/>
              <w:right w:val="single" w:sz="8" w:space="0" w:color="auto"/>
            </w:tcBorders>
            <w:tcMar>
              <w:left w:w="108" w:type="dxa"/>
              <w:right w:w="108" w:type="dxa"/>
            </w:tcMar>
          </w:tcPr>
          <w:p>
            <w:pPr>
              <w:widowControl/>
              <w:spacing w:after="180"/>
              <w:jc w:val="center"/>
              <w:rPr>
                <w:rFonts w:cs="Calibri"/>
                <w:kern w:val="0"/>
                <w:sz w:val="24"/>
                <w:szCs w:val="24"/>
              </w:rPr>
            </w:pPr>
            <w:r>
              <w:rPr>
                <w:rFonts w:cs="Calibri"/>
                <w:kern w:val="0"/>
                <w:sz w:val="24"/>
                <w:szCs w:val="24"/>
              </w:rPr>
              <w:t>0</w:t>
            </w:r>
          </w:p>
        </w:tc>
        <w:tc>
          <w:tcPr>
            <w:tcW w:w="678" w:type="dxa"/>
            <w:tcBorders>
              <w:top w:val="nil"/>
              <w:left w:val="nil"/>
              <w:bottom w:val="single" w:sz="8" w:space="0" w:color="auto"/>
              <w:right w:val="single" w:sz="8" w:space="0" w:color="auto"/>
            </w:tcBorders>
            <w:tcMar>
              <w:left w:w="108" w:type="dxa"/>
              <w:right w:w="108" w:type="dxa"/>
            </w:tcMar>
          </w:tcPr>
          <w:p>
            <w:pPr>
              <w:widowControl/>
              <w:spacing w:after="180"/>
              <w:jc w:val="center"/>
              <w:rPr>
                <w:rFonts w:cs="Calibri"/>
                <w:kern w:val="0"/>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tcPr>
          <w:p>
            <w:pPr>
              <w:widowControl/>
              <w:spacing w:after="180"/>
              <w:jc w:val="center"/>
              <w:rPr>
                <w:rFonts w:cs="Calibri"/>
                <w:kern w:val="0"/>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tcPr>
          <w:p>
            <w:pPr>
              <w:widowControl/>
              <w:spacing w:after="180"/>
              <w:jc w:val="center"/>
              <w:rPr>
                <w:rFonts w:cs="Calibri"/>
                <w:kern w:val="0"/>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tcPr>
          <w:p>
            <w:pPr>
              <w:widowControl/>
              <w:spacing w:after="180"/>
              <w:jc w:val="center"/>
              <w:rPr>
                <w:rFonts w:cs="Calibri"/>
                <w:kern w:val="0"/>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tcPr>
          <w:p>
            <w:pPr>
              <w:widowControl/>
              <w:spacing w:after="180"/>
              <w:jc w:val="center"/>
              <w:rPr>
                <w:rFonts w:cs="Calibri"/>
                <w:kern w:val="0"/>
                <w:sz w:val="24"/>
                <w:szCs w:val="24"/>
              </w:rPr>
            </w:pPr>
            <w:r>
              <w:rPr>
                <w:rFonts w:cs="Calibri"/>
                <w:kern w:val="0"/>
                <w:sz w:val="24"/>
                <w:szCs w:val="24"/>
              </w:rPr>
              <w:t>0</w:t>
            </w:r>
          </w:p>
        </w:tc>
        <w:tc>
          <w:tcPr>
            <w:tcW w:w="682" w:type="dxa"/>
            <w:tcBorders>
              <w:top w:val="nil"/>
              <w:left w:val="nil"/>
              <w:bottom w:val="single" w:sz="8" w:space="0" w:color="auto"/>
              <w:right w:val="single" w:sz="8" w:space="0" w:color="auto"/>
            </w:tcBorders>
            <w:tcMar>
              <w:left w:w="108" w:type="dxa"/>
              <w:right w:w="108" w:type="dxa"/>
            </w:tcMar>
          </w:tcPr>
          <w:p>
            <w:pPr>
              <w:widowControl/>
              <w:spacing w:after="180"/>
              <w:jc w:val="center"/>
              <w:rPr>
                <w:rFonts w:cs="Calibri"/>
                <w:kern w:val="0"/>
                <w:sz w:val="24"/>
                <w:szCs w:val="24"/>
              </w:rPr>
            </w:pPr>
            <w:r>
              <w:rPr>
                <w:rFonts w:cs="Calibri"/>
                <w:kern w:val="0"/>
                <w:sz w:val="24"/>
                <w:szCs w:val="24"/>
              </w:rPr>
              <w:t>0</w:t>
            </w:r>
          </w:p>
        </w:tc>
      </w:tr>
      <w:tr>
        <w:tc>
          <w:tcPr>
            <w:tcW w:w="696" w:type="dxa"/>
            <w:vMerge w:val="restart"/>
            <w:tcBorders>
              <w:top w:val="nil"/>
              <w:left w:val="single" w:sz="8" w:space="0" w:color="auto"/>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三、本年度办理结果</w:t>
            </w:r>
          </w:p>
        </w:tc>
        <w:tc>
          <w:tcPr>
            <w:tcW w:w="3606" w:type="dxa"/>
            <w:gridSpan w:val="2"/>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hint="eastAsia"/>
                <w:kern w:val="0"/>
                <w:sz w:val="24"/>
                <w:szCs w:val="24"/>
              </w:rPr>
              <w:t>（一）予以公开</w:t>
            </w:r>
          </w:p>
        </w:tc>
        <w:tc>
          <w:tcPr>
            <w:tcW w:w="63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7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82" w:type="dxa"/>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r>
      <w:tr>
        <w:tc>
          <w:tcPr>
            <w:tcW w:w="696" w:type="dxa"/>
            <w:vMerge/>
            <w:tcBorders>
              <w:top w:val="nil"/>
              <w:left w:val="single" w:sz="8" w:space="0" w:color="auto"/>
              <w:bottom w:val="single" w:sz="8" w:space="0" w:color="auto"/>
              <w:right w:val="single" w:sz="8" w:space="0" w:color="auto"/>
            </w:tcBorders>
            <w:tcMar>
              <w:left w:w="108" w:type="dxa"/>
              <w:right w:w="108" w:type="dxa"/>
            </w:tcMar>
            <w:vAlign w:val="center"/>
          </w:tcPr>
          <w:p/>
        </w:tc>
        <w:tc>
          <w:tcPr>
            <w:tcW w:w="3606" w:type="dxa"/>
            <w:gridSpan w:val="2"/>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hint="eastAsia"/>
                <w:kern w:val="0"/>
                <w:sz w:val="24"/>
                <w:szCs w:val="24"/>
              </w:rPr>
              <w:t>（二）部分公开（区分处理的，只计这一情形，不计其他情形）</w:t>
            </w:r>
          </w:p>
        </w:tc>
        <w:tc>
          <w:tcPr>
            <w:tcW w:w="63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7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r>
      <w:tr>
        <w:tc>
          <w:tcPr>
            <w:tcW w:w="696" w:type="dxa"/>
            <w:vMerge/>
            <w:tcBorders>
              <w:top w:val="nil"/>
              <w:left w:val="single" w:sz="8" w:space="0" w:color="auto"/>
              <w:bottom w:val="single" w:sz="8" w:space="0" w:color="auto"/>
              <w:right w:val="single" w:sz="8" w:space="0" w:color="auto"/>
            </w:tcBorders>
            <w:tcMar>
              <w:left w:w="108" w:type="dxa"/>
              <w:right w:w="108" w:type="dxa"/>
            </w:tcMar>
            <w:vAlign w:val="center"/>
          </w:tcPr>
          <w:p/>
        </w:tc>
        <w:tc>
          <w:tcPr>
            <w:tcW w:w="936" w:type="dxa"/>
            <w:vMerge w:val="restart"/>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hint="eastAsia"/>
                <w:kern w:val="0"/>
                <w:sz w:val="24"/>
                <w:szCs w:val="24"/>
              </w:rPr>
              <w:t>（三）不予公开</w:t>
            </w:r>
          </w:p>
        </w:tc>
        <w:tc>
          <w:tcPr>
            <w:tcW w:w="2670" w:type="dxa"/>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kern w:val="0"/>
                <w:sz w:val="24"/>
                <w:szCs w:val="24"/>
              </w:rPr>
              <w:t>1.</w:t>
            </w:r>
            <w:r>
              <w:rPr>
                <w:rFonts w:eastAsia="楷体" w:cs="楷体" w:hint="eastAsia"/>
                <w:kern w:val="0"/>
                <w:sz w:val="24"/>
                <w:szCs w:val="24"/>
              </w:rPr>
              <w:t>属于国家秘密</w:t>
            </w:r>
          </w:p>
        </w:tc>
        <w:tc>
          <w:tcPr>
            <w:tcW w:w="63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7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82" w:type="dxa"/>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r>
      <w:tr>
        <w:tc>
          <w:tcPr>
            <w:tcW w:w="696" w:type="dxa"/>
            <w:vMerge/>
            <w:tcBorders>
              <w:top w:val="nil"/>
              <w:left w:val="single" w:sz="8" w:space="0" w:color="auto"/>
              <w:bottom w:val="single" w:sz="8" w:space="0" w:color="auto"/>
              <w:right w:val="single" w:sz="8" w:space="0" w:color="auto"/>
            </w:tcBorders>
            <w:tcMar>
              <w:left w:w="108" w:type="dxa"/>
              <w:right w:w="108" w:type="dxa"/>
            </w:tcMar>
            <w:vAlign w:val="center"/>
          </w:tcPr>
          <w:p/>
        </w:tc>
        <w:tc>
          <w:tcPr>
            <w:tcW w:w="936" w:type="dxa"/>
            <w:vMerge/>
            <w:tcBorders>
              <w:top w:val="nil"/>
              <w:left w:val="nil"/>
              <w:bottom w:val="single" w:sz="8" w:space="0" w:color="auto"/>
              <w:right w:val="single" w:sz="8" w:space="0" w:color="auto"/>
            </w:tcBorders>
            <w:tcMar>
              <w:left w:w="108" w:type="dxa"/>
              <w:right w:w="108" w:type="dxa"/>
            </w:tcMar>
            <w:vAlign w:val="center"/>
          </w:tcPr>
          <w:p/>
        </w:tc>
        <w:tc>
          <w:tcPr>
            <w:tcW w:w="2670" w:type="dxa"/>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kern w:val="0"/>
                <w:sz w:val="24"/>
                <w:szCs w:val="24"/>
              </w:rPr>
              <w:t>2.</w:t>
            </w:r>
            <w:r>
              <w:rPr>
                <w:rFonts w:eastAsia="楷体" w:cs="楷体" w:hint="eastAsia"/>
                <w:kern w:val="0"/>
                <w:sz w:val="24"/>
                <w:szCs w:val="24"/>
              </w:rPr>
              <w:t>其他法律行政法规禁止公开</w:t>
            </w:r>
          </w:p>
        </w:tc>
        <w:tc>
          <w:tcPr>
            <w:tcW w:w="63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7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r>
      <w:tr>
        <w:tc>
          <w:tcPr>
            <w:tcW w:w="696" w:type="dxa"/>
            <w:vMerge/>
            <w:tcBorders>
              <w:top w:val="nil"/>
              <w:left w:val="single" w:sz="8" w:space="0" w:color="auto"/>
              <w:bottom w:val="single" w:sz="8" w:space="0" w:color="auto"/>
              <w:right w:val="single" w:sz="8" w:space="0" w:color="auto"/>
            </w:tcBorders>
            <w:tcMar>
              <w:left w:w="108" w:type="dxa"/>
              <w:right w:w="108" w:type="dxa"/>
            </w:tcMar>
            <w:vAlign w:val="center"/>
          </w:tcPr>
          <w:p/>
        </w:tc>
        <w:tc>
          <w:tcPr>
            <w:tcW w:w="936" w:type="dxa"/>
            <w:vMerge/>
            <w:tcBorders>
              <w:top w:val="nil"/>
              <w:left w:val="nil"/>
              <w:bottom w:val="single" w:sz="8" w:space="0" w:color="auto"/>
              <w:right w:val="single" w:sz="8" w:space="0" w:color="auto"/>
            </w:tcBorders>
            <w:tcMar>
              <w:left w:w="108" w:type="dxa"/>
              <w:right w:w="108" w:type="dxa"/>
            </w:tcMar>
            <w:vAlign w:val="center"/>
          </w:tcPr>
          <w:p/>
        </w:tc>
        <w:tc>
          <w:tcPr>
            <w:tcW w:w="2670" w:type="dxa"/>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kern w:val="0"/>
                <w:sz w:val="24"/>
                <w:szCs w:val="24"/>
              </w:rPr>
              <w:t>3.</w:t>
            </w:r>
            <w:r>
              <w:rPr>
                <w:rFonts w:eastAsia="楷体" w:cs="楷体" w:hint="eastAsia"/>
                <w:kern w:val="0"/>
                <w:sz w:val="24"/>
                <w:szCs w:val="24"/>
              </w:rPr>
              <w:t>危及“三安全一稳定”</w:t>
            </w:r>
          </w:p>
        </w:tc>
        <w:tc>
          <w:tcPr>
            <w:tcW w:w="63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7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r>
      <w:tr>
        <w:tc>
          <w:tcPr>
            <w:tcW w:w="696" w:type="dxa"/>
            <w:vMerge/>
            <w:tcBorders>
              <w:top w:val="nil"/>
              <w:left w:val="single" w:sz="8" w:space="0" w:color="auto"/>
              <w:bottom w:val="single" w:sz="8" w:space="0" w:color="auto"/>
              <w:right w:val="single" w:sz="8" w:space="0" w:color="auto"/>
            </w:tcBorders>
            <w:tcMar>
              <w:left w:w="108" w:type="dxa"/>
              <w:right w:w="108" w:type="dxa"/>
            </w:tcMar>
            <w:vAlign w:val="center"/>
          </w:tcPr>
          <w:p/>
        </w:tc>
        <w:tc>
          <w:tcPr>
            <w:tcW w:w="936" w:type="dxa"/>
            <w:vMerge/>
            <w:tcBorders>
              <w:top w:val="nil"/>
              <w:left w:val="nil"/>
              <w:bottom w:val="single" w:sz="8" w:space="0" w:color="auto"/>
              <w:right w:val="single" w:sz="8" w:space="0" w:color="auto"/>
            </w:tcBorders>
            <w:tcMar>
              <w:left w:w="108" w:type="dxa"/>
              <w:right w:w="108" w:type="dxa"/>
            </w:tcMar>
            <w:vAlign w:val="center"/>
          </w:tcPr>
          <w:p/>
        </w:tc>
        <w:tc>
          <w:tcPr>
            <w:tcW w:w="2670" w:type="dxa"/>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kern w:val="0"/>
                <w:sz w:val="24"/>
                <w:szCs w:val="24"/>
              </w:rPr>
              <w:t>4.</w:t>
            </w:r>
            <w:r>
              <w:rPr>
                <w:rFonts w:eastAsia="楷体" w:cs="楷体" w:hint="eastAsia"/>
                <w:kern w:val="0"/>
                <w:sz w:val="24"/>
                <w:szCs w:val="24"/>
              </w:rPr>
              <w:t>保护第三方合法权益</w:t>
            </w:r>
          </w:p>
        </w:tc>
        <w:tc>
          <w:tcPr>
            <w:tcW w:w="63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7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r>
      <w:tr>
        <w:tc>
          <w:tcPr>
            <w:tcW w:w="696" w:type="dxa"/>
            <w:vMerge/>
            <w:tcBorders>
              <w:top w:val="nil"/>
              <w:left w:val="single" w:sz="8" w:space="0" w:color="auto"/>
              <w:bottom w:val="single" w:sz="8" w:space="0" w:color="auto"/>
              <w:right w:val="single" w:sz="8" w:space="0" w:color="auto"/>
            </w:tcBorders>
            <w:tcMar>
              <w:left w:w="108" w:type="dxa"/>
              <w:right w:w="108" w:type="dxa"/>
            </w:tcMar>
            <w:vAlign w:val="center"/>
          </w:tcPr>
          <w:p/>
        </w:tc>
        <w:tc>
          <w:tcPr>
            <w:tcW w:w="936" w:type="dxa"/>
            <w:vMerge/>
            <w:tcBorders>
              <w:top w:val="nil"/>
              <w:left w:val="nil"/>
              <w:bottom w:val="single" w:sz="8" w:space="0" w:color="auto"/>
              <w:right w:val="single" w:sz="8" w:space="0" w:color="auto"/>
            </w:tcBorders>
            <w:tcMar>
              <w:left w:w="108" w:type="dxa"/>
              <w:right w:w="108" w:type="dxa"/>
            </w:tcMar>
            <w:vAlign w:val="center"/>
          </w:tcPr>
          <w:p/>
        </w:tc>
        <w:tc>
          <w:tcPr>
            <w:tcW w:w="2670" w:type="dxa"/>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kern w:val="0"/>
                <w:sz w:val="24"/>
                <w:szCs w:val="24"/>
              </w:rPr>
              <w:t>5.</w:t>
            </w:r>
            <w:r>
              <w:rPr>
                <w:rFonts w:eastAsia="楷体" w:cs="楷体" w:hint="eastAsia"/>
                <w:kern w:val="0"/>
                <w:sz w:val="24"/>
                <w:szCs w:val="24"/>
              </w:rPr>
              <w:t>属于三类内部事务信息</w:t>
            </w:r>
          </w:p>
        </w:tc>
        <w:tc>
          <w:tcPr>
            <w:tcW w:w="63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7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r>
      <w:tr>
        <w:tc>
          <w:tcPr>
            <w:tcW w:w="696" w:type="dxa"/>
            <w:vMerge/>
            <w:tcBorders>
              <w:top w:val="nil"/>
              <w:left w:val="single" w:sz="8" w:space="0" w:color="auto"/>
              <w:bottom w:val="single" w:sz="8" w:space="0" w:color="auto"/>
              <w:right w:val="single" w:sz="8" w:space="0" w:color="auto"/>
            </w:tcBorders>
            <w:tcMar>
              <w:left w:w="108" w:type="dxa"/>
              <w:right w:w="108" w:type="dxa"/>
            </w:tcMar>
            <w:vAlign w:val="center"/>
          </w:tcPr>
          <w:p/>
        </w:tc>
        <w:tc>
          <w:tcPr>
            <w:tcW w:w="936" w:type="dxa"/>
            <w:vMerge/>
            <w:tcBorders>
              <w:top w:val="nil"/>
              <w:left w:val="nil"/>
              <w:bottom w:val="single" w:sz="8" w:space="0" w:color="auto"/>
              <w:right w:val="single" w:sz="8" w:space="0" w:color="auto"/>
            </w:tcBorders>
            <w:tcMar>
              <w:left w:w="108" w:type="dxa"/>
              <w:right w:w="108" w:type="dxa"/>
            </w:tcMar>
            <w:vAlign w:val="center"/>
          </w:tcPr>
          <w:p/>
        </w:tc>
        <w:tc>
          <w:tcPr>
            <w:tcW w:w="2670" w:type="dxa"/>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kern w:val="0"/>
                <w:sz w:val="24"/>
                <w:szCs w:val="24"/>
              </w:rPr>
              <w:t>6.</w:t>
            </w:r>
            <w:r>
              <w:rPr>
                <w:rFonts w:eastAsia="楷体" w:cs="楷体" w:hint="eastAsia"/>
                <w:kern w:val="0"/>
                <w:sz w:val="24"/>
                <w:szCs w:val="24"/>
              </w:rPr>
              <w:t>属于四类过程性信息</w:t>
            </w:r>
          </w:p>
        </w:tc>
        <w:tc>
          <w:tcPr>
            <w:tcW w:w="63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7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r>
      <w:tr>
        <w:tc>
          <w:tcPr>
            <w:tcW w:w="696" w:type="dxa"/>
            <w:vMerge/>
            <w:tcBorders>
              <w:top w:val="nil"/>
              <w:left w:val="single" w:sz="8" w:space="0" w:color="auto"/>
              <w:bottom w:val="single" w:sz="8" w:space="0" w:color="auto"/>
              <w:right w:val="single" w:sz="8" w:space="0" w:color="auto"/>
            </w:tcBorders>
            <w:tcMar>
              <w:left w:w="108" w:type="dxa"/>
              <w:right w:w="108" w:type="dxa"/>
            </w:tcMar>
            <w:vAlign w:val="center"/>
          </w:tcPr>
          <w:p/>
        </w:tc>
        <w:tc>
          <w:tcPr>
            <w:tcW w:w="936" w:type="dxa"/>
            <w:vMerge/>
            <w:tcBorders>
              <w:top w:val="nil"/>
              <w:left w:val="nil"/>
              <w:bottom w:val="single" w:sz="8" w:space="0" w:color="auto"/>
              <w:right w:val="single" w:sz="8" w:space="0" w:color="auto"/>
            </w:tcBorders>
            <w:tcMar>
              <w:left w:w="108" w:type="dxa"/>
              <w:right w:w="108" w:type="dxa"/>
            </w:tcMar>
            <w:vAlign w:val="center"/>
          </w:tcPr>
          <w:p/>
        </w:tc>
        <w:tc>
          <w:tcPr>
            <w:tcW w:w="2670" w:type="dxa"/>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kern w:val="0"/>
                <w:sz w:val="24"/>
                <w:szCs w:val="24"/>
              </w:rPr>
              <w:t>7.</w:t>
            </w:r>
            <w:r>
              <w:rPr>
                <w:rFonts w:eastAsia="楷体" w:cs="楷体" w:hint="eastAsia"/>
                <w:kern w:val="0"/>
                <w:sz w:val="24"/>
                <w:szCs w:val="24"/>
              </w:rPr>
              <w:t>属于行政执法案卷</w:t>
            </w:r>
          </w:p>
        </w:tc>
        <w:tc>
          <w:tcPr>
            <w:tcW w:w="63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7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r>
      <w:tr>
        <w:tc>
          <w:tcPr>
            <w:tcW w:w="696" w:type="dxa"/>
            <w:vMerge/>
            <w:tcBorders>
              <w:top w:val="nil"/>
              <w:left w:val="single" w:sz="8" w:space="0" w:color="auto"/>
              <w:bottom w:val="single" w:sz="8" w:space="0" w:color="auto"/>
              <w:right w:val="single" w:sz="8" w:space="0" w:color="auto"/>
            </w:tcBorders>
            <w:tcMar>
              <w:left w:w="108" w:type="dxa"/>
              <w:right w:w="108" w:type="dxa"/>
            </w:tcMar>
            <w:vAlign w:val="center"/>
          </w:tcPr>
          <w:p/>
        </w:tc>
        <w:tc>
          <w:tcPr>
            <w:tcW w:w="936" w:type="dxa"/>
            <w:vMerge/>
            <w:tcBorders>
              <w:top w:val="nil"/>
              <w:left w:val="nil"/>
              <w:bottom w:val="single" w:sz="8" w:space="0" w:color="auto"/>
              <w:right w:val="single" w:sz="8" w:space="0" w:color="auto"/>
            </w:tcBorders>
            <w:tcMar>
              <w:left w:w="108" w:type="dxa"/>
              <w:right w:w="108" w:type="dxa"/>
            </w:tcMar>
            <w:vAlign w:val="center"/>
          </w:tcPr>
          <w:p/>
        </w:tc>
        <w:tc>
          <w:tcPr>
            <w:tcW w:w="2670" w:type="dxa"/>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kern w:val="0"/>
                <w:sz w:val="24"/>
                <w:szCs w:val="24"/>
              </w:rPr>
              <w:t>8.</w:t>
            </w:r>
            <w:r>
              <w:rPr>
                <w:rFonts w:eastAsia="楷体" w:cs="楷体" w:hint="eastAsia"/>
                <w:kern w:val="0"/>
                <w:sz w:val="24"/>
                <w:szCs w:val="24"/>
              </w:rPr>
              <w:t>属于行政查询事项</w:t>
            </w:r>
          </w:p>
        </w:tc>
        <w:tc>
          <w:tcPr>
            <w:tcW w:w="63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rFonts w:cs="Calibri"/>
                <w:kern w:val="0"/>
                <w:sz w:val="24"/>
                <w:szCs w:val="24"/>
              </w:rPr>
            </w:pPr>
            <w:r>
              <w:rPr>
                <w:rFonts w:cs="Calibri"/>
                <w:kern w:val="0"/>
                <w:sz w:val="24"/>
                <w:szCs w:val="24"/>
              </w:rPr>
              <w:t>0</w:t>
            </w:r>
          </w:p>
        </w:tc>
        <w:tc>
          <w:tcPr>
            <w:tcW w:w="67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rFonts w:cs="Calibri"/>
                <w:kern w:val="0"/>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rFonts w:cs="Calibri"/>
                <w:kern w:val="0"/>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rFonts w:cs="Calibri"/>
                <w:kern w:val="0"/>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rFonts w:cs="Calibri"/>
                <w:kern w:val="0"/>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rFonts w:cs="Calibri"/>
                <w:kern w:val="0"/>
                <w:sz w:val="24"/>
                <w:szCs w:val="24"/>
              </w:rPr>
            </w:pPr>
            <w:r>
              <w:rPr>
                <w:rFonts w:cs="Calibri"/>
                <w:kern w:val="0"/>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rFonts w:cs="Calibri"/>
                <w:kern w:val="0"/>
                <w:sz w:val="24"/>
                <w:szCs w:val="24"/>
              </w:rPr>
            </w:pPr>
            <w:r>
              <w:rPr>
                <w:rFonts w:cs="Calibri"/>
                <w:kern w:val="0"/>
                <w:sz w:val="24"/>
                <w:szCs w:val="24"/>
              </w:rPr>
              <w:t>0</w:t>
            </w:r>
          </w:p>
        </w:tc>
      </w:tr>
      <w:tr>
        <w:tc>
          <w:tcPr>
            <w:tcW w:w="696" w:type="dxa"/>
            <w:vMerge/>
            <w:tcBorders>
              <w:top w:val="nil"/>
              <w:left w:val="single" w:sz="8" w:space="0" w:color="auto"/>
              <w:bottom w:val="single" w:sz="8" w:space="0" w:color="auto"/>
              <w:right w:val="single" w:sz="8" w:space="0" w:color="auto"/>
            </w:tcBorders>
            <w:tcMar>
              <w:left w:w="108" w:type="dxa"/>
              <w:right w:w="108" w:type="dxa"/>
            </w:tcMar>
            <w:vAlign w:val="center"/>
          </w:tcPr>
          <w:p/>
        </w:tc>
        <w:tc>
          <w:tcPr>
            <w:tcW w:w="936" w:type="dxa"/>
            <w:vMerge w:val="restart"/>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hint="eastAsia"/>
                <w:kern w:val="0"/>
                <w:sz w:val="24"/>
                <w:szCs w:val="24"/>
              </w:rPr>
              <w:t>（四）无法提供</w:t>
            </w:r>
          </w:p>
        </w:tc>
        <w:tc>
          <w:tcPr>
            <w:tcW w:w="2670" w:type="dxa"/>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kern w:val="0"/>
                <w:sz w:val="24"/>
                <w:szCs w:val="24"/>
              </w:rPr>
              <w:t>1.</w:t>
            </w:r>
            <w:r>
              <w:rPr>
                <w:rFonts w:eastAsia="楷体" w:cs="楷体" w:hint="eastAsia"/>
                <w:kern w:val="0"/>
                <w:sz w:val="24"/>
                <w:szCs w:val="24"/>
              </w:rPr>
              <w:t>本机关不掌握相关政府信息</w:t>
            </w:r>
          </w:p>
        </w:tc>
        <w:tc>
          <w:tcPr>
            <w:tcW w:w="63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7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r>
      <w:tr>
        <w:tc>
          <w:tcPr>
            <w:tcW w:w="696" w:type="dxa"/>
            <w:vMerge/>
            <w:tcBorders>
              <w:top w:val="nil"/>
              <w:left w:val="single" w:sz="8" w:space="0" w:color="auto"/>
              <w:bottom w:val="single" w:sz="8" w:space="0" w:color="auto"/>
              <w:right w:val="single" w:sz="8" w:space="0" w:color="auto"/>
            </w:tcBorders>
            <w:tcMar>
              <w:left w:w="108" w:type="dxa"/>
              <w:right w:w="108" w:type="dxa"/>
            </w:tcMar>
            <w:vAlign w:val="center"/>
          </w:tcPr>
          <w:p/>
        </w:tc>
        <w:tc>
          <w:tcPr>
            <w:tcW w:w="936" w:type="dxa"/>
            <w:vMerge/>
            <w:tcBorders>
              <w:top w:val="nil"/>
              <w:left w:val="nil"/>
              <w:bottom w:val="single" w:sz="8" w:space="0" w:color="auto"/>
              <w:right w:val="single" w:sz="8" w:space="0" w:color="auto"/>
            </w:tcBorders>
            <w:tcMar>
              <w:left w:w="108" w:type="dxa"/>
              <w:right w:w="108" w:type="dxa"/>
            </w:tcMar>
            <w:vAlign w:val="center"/>
          </w:tcPr>
          <w:p/>
        </w:tc>
        <w:tc>
          <w:tcPr>
            <w:tcW w:w="2670" w:type="dxa"/>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kern w:val="0"/>
                <w:sz w:val="24"/>
                <w:szCs w:val="24"/>
              </w:rPr>
              <w:t>2.</w:t>
            </w:r>
            <w:r>
              <w:rPr>
                <w:rFonts w:eastAsia="楷体" w:cs="楷体" w:hint="eastAsia"/>
                <w:kern w:val="0"/>
                <w:sz w:val="24"/>
                <w:szCs w:val="24"/>
              </w:rPr>
              <w:t>没有现成信息需要另行制作</w:t>
            </w:r>
          </w:p>
        </w:tc>
        <w:tc>
          <w:tcPr>
            <w:tcW w:w="63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7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r>
      <w:tr>
        <w:tc>
          <w:tcPr>
            <w:tcW w:w="696" w:type="dxa"/>
            <w:vMerge/>
            <w:tcBorders>
              <w:top w:val="nil"/>
              <w:left w:val="single" w:sz="8" w:space="0" w:color="auto"/>
              <w:bottom w:val="single" w:sz="8" w:space="0" w:color="auto"/>
              <w:right w:val="single" w:sz="8" w:space="0" w:color="auto"/>
            </w:tcBorders>
            <w:tcMar>
              <w:left w:w="108" w:type="dxa"/>
              <w:right w:w="108" w:type="dxa"/>
            </w:tcMar>
            <w:vAlign w:val="center"/>
          </w:tcPr>
          <w:p/>
        </w:tc>
        <w:tc>
          <w:tcPr>
            <w:tcW w:w="936" w:type="dxa"/>
            <w:vMerge/>
            <w:tcBorders>
              <w:top w:val="nil"/>
              <w:left w:val="nil"/>
              <w:bottom w:val="single" w:sz="8" w:space="0" w:color="auto"/>
              <w:right w:val="single" w:sz="8" w:space="0" w:color="auto"/>
            </w:tcBorders>
            <w:tcMar>
              <w:left w:w="108" w:type="dxa"/>
              <w:right w:w="108" w:type="dxa"/>
            </w:tcMar>
            <w:vAlign w:val="center"/>
          </w:tcPr>
          <w:p/>
        </w:tc>
        <w:tc>
          <w:tcPr>
            <w:tcW w:w="2670" w:type="dxa"/>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kern w:val="0"/>
                <w:sz w:val="24"/>
                <w:szCs w:val="24"/>
              </w:rPr>
              <w:t>3.</w:t>
            </w:r>
            <w:r>
              <w:rPr>
                <w:rFonts w:eastAsia="楷体" w:cs="楷体" w:hint="eastAsia"/>
                <w:kern w:val="0"/>
                <w:sz w:val="24"/>
                <w:szCs w:val="24"/>
              </w:rPr>
              <w:t>补正后申请内容仍不明确</w:t>
            </w:r>
          </w:p>
        </w:tc>
        <w:tc>
          <w:tcPr>
            <w:tcW w:w="63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7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r>
      <w:tr>
        <w:tc>
          <w:tcPr>
            <w:tcW w:w="696" w:type="dxa"/>
            <w:vMerge/>
            <w:tcBorders>
              <w:top w:val="nil"/>
              <w:left w:val="single" w:sz="8" w:space="0" w:color="auto"/>
              <w:bottom w:val="single" w:sz="8" w:space="0" w:color="auto"/>
              <w:right w:val="single" w:sz="8" w:space="0" w:color="auto"/>
            </w:tcBorders>
            <w:tcMar>
              <w:left w:w="108" w:type="dxa"/>
              <w:right w:w="108" w:type="dxa"/>
            </w:tcMar>
            <w:vAlign w:val="center"/>
          </w:tcPr>
          <w:p/>
        </w:tc>
        <w:tc>
          <w:tcPr>
            <w:tcW w:w="936" w:type="dxa"/>
            <w:vMerge w:val="restart"/>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hint="eastAsia"/>
                <w:kern w:val="0"/>
                <w:sz w:val="24"/>
                <w:szCs w:val="24"/>
              </w:rPr>
              <w:t>（五）不予处理</w:t>
            </w:r>
          </w:p>
        </w:tc>
        <w:tc>
          <w:tcPr>
            <w:tcW w:w="2670" w:type="dxa"/>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kern w:val="0"/>
                <w:sz w:val="24"/>
                <w:szCs w:val="24"/>
              </w:rPr>
              <w:t>1.</w:t>
            </w:r>
            <w:r>
              <w:rPr>
                <w:rFonts w:eastAsia="楷体" w:cs="楷体" w:hint="eastAsia"/>
                <w:kern w:val="0"/>
                <w:sz w:val="24"/>
                <w:szCs w:val="24"/>
              </w:rPr>
              <w:t>信访举报投诉类申请</w:t>
            </w:r>
          </w:p>
        </w:tc>
        <w:tc>
          <w:tcPr>
            <w:tcW w:w="63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7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r>
      <w:tr>
        <w:tc>
          <w:tcPr>
            <w:tcW w:w="696" w:type="dxa"/>
            <w:vMerge/>
            <w:tcBorders>
              <w:top w:val="nil"/>
              <w:left w:val="single" w:sz="8" w:space="0" w:color="auto"/>
              <w:bottom w:val="single" w:sz="8" w:space="0" w:color="auto"/>
              <w:right w:val="single" w:sz="8" w:space="0" w:color="auto"/>
            </w:tcBorders>
            <w:tcMar>
              <w:left w:w="108" w:type="dxa"/>
              <w:right w:w="108" w:type="dxa"/>
            </w:tcMar>
            <w:vAlign w:val="center"/>
          </w:tcPr>
          <w:p/>
        </w:tc>
        <w:tc>
          <w:tcPr>
            <w:tcW w:w="936" w:type="dxa"/>
            <w:vMerge/>
            <w:tcBorders>
              <w:top w:val="nil"/>
              <w:left w:val="nil"/>
              <w:bottom w:val="single" w:sz="8" w:space="0" w:color="auto"/>
              <w:right w:val="single" w:sz="8" w:space="0" w:color="auto"/>
            </w:tcBorders>
            <w:tcMar>
              <w:left w:w="108" w:type="dxa"/>
              <w:right w:w="108" w:type="dxa"/>
            </w:tcMar>
            <w:vAlign w:val="center"/>
          </w:tcPr>
          <w:p/>
        </w:tc>
        <w:tc>
          <w:tcPr>
            <w:tcW w:w="2670" w:type="dxa"/>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kern w:val="0"/>
                <w:sz w:val="24"/>
                <w:szCs w:val="24"/>
              </w:rPr>
              <w:t>2.</w:t>
            </w:r>
            <w:r>
              <w:rPr>
                <w:rFonts w:eastAsia="楷体" w:cs="楷体" w:hint="eastAsia"/>
                <w:kern w:val="0"/>
                <w:sz w:val="24"/>
                <w:szCs w:val="24"/>
              </w:rPr>
              <w:t>重复申请</w:t>
            </w:r>
          </w:p>
        </w:tc>
        <w:tc>
          <w:tcPr>
            <w:tcW w:w="63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7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r>
      <w:tr>
        <w:tc>
          <w:tcPr>
            <w:tcW w:w="696" w:type="dxa"/>
            <w:vMerge/>
            <w:tcBorders>
              <w:top w:val="nil"/>
              <w:left w:val="single" w:sz="8" w:space="0" w:color="auto"/>
              <w:bottom w:val="single" w:sz="8" w:space="0" w:color="auto"/>
              <w:right w:val="single" w:sz="8" w:space="0" w:color="auto"/>
            </w:tcBorders>
            <w:tcMar>
              <w:left w:w="108" w:type="dxa"/>
              <w:right w:w="108" w:type="dxa"/>
            </w:tcMar>
            <w:vAlign w:val="center"/>
          </w:tcPr>
          <w:p/>
        </w:tc>
        <w:tc>
          <w:tcPr>
            <w:tcW w:w="936" w:type="dxa"/>
            <w:vMerge/>
            <w:tcBorders>
              <w:top w:val="nil"/>
              <w:left w:val="nil"/>
              <w:bottom w:val="single" w:sz="8" w:space="0" w:color="auto"/>
              <w:right w:val="single" w:sz="8" w:space="0" w:color="auto"/>
            </w:tcBorders>
            <w:tcMar>
              <w:left w:w="108" w:type="dxa"/>
              <w:right w:w="108" w:type="dxa"/>
            </w:tcMar>
            <w:vAlign w:val="center"/>
          </w:tcPr>
          <w:p/>
        </w:tc>
        <w:tc>
          <w:tcPr>
            <w:tcW w:w="2670" w:type="dxa"/>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kern w:val="0"/>
                <w:sz w:val="24"/>
                <w:szCs w:val="24"/>
              </w:rPr>
              <w:t>3.</w:t>
            </w:r>
            <w:r>
              <w:rPr>
                <w:rFonts w:eastAsia="楷体" w:cs="楷体" w:hint="eastAsia"/>
                <w:kern w:val="0"/>
                <w:sz w:val="24"/>
                <w:szCs w:val="24"/>
              </w:rPr>
              <w:t>要求提供公开出版物</w:t>
            </w:r>
          </w:p>
        </w:tc>
        <w:tc>
          <w:tcPr>
            <w:tcW w:w="63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7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r>
      <w:tr>
        <w:tc>
          <w:tcPr>
            <w:tcW w:w="696" w:type="dxa"/>
            <w:vMerge/>
            <w:tcBorders>
              <w:top w:val="nil"/>
              <w:left w:val="single" w:sz="8" w:space="0" w:color="auto"/>
              <w:bottom w:val="single" w:sz="8" w:space="0" w:color="auto"/>
              <w:right w:val="single" w:sz="8" w:space="0" w:color="auto"/>
            </w:tcBorders>
            <w:tcMar>
              <w:left w:w="108" w:type="dxa"/>
              <w:right w:w="108" w:type="dxa"/>
            </w:tcMar>
            <w:vAlign w:val="center"/>
          </w:tcPr>
          <w:p/>
        </w:tc>
        <w:tc>
          <w:tcPr>
            <w:tcW w:w="936" w:type="dxa"/>
            <w:vMerge/>
            <w:tcBorders>
              <w:top w:val="nil"/>
              <w:left w:val="nil"/>
              <w:bottom w:val="single" w:sz="8" w:space="0" w:color="auto"/>
              <w:right w:val="single" w:sz="8" w:space="0" w:color="auto"/>
            </w:tcBorders>
            <w:tcMar>
              <w:left w:w="108" w:type="dxa"/>
              <w:right w:w="108" w:type="dxa"/>
            </w:tcMar>
            <w:vAlign w:val="center"/>
          </w:tcPr>
          <w:p/>
        </w:tc>
        <w:tc>
          <w:tcPr>
            <w:tcW w:w="2670" w:type="dxa"/>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kern w:val="0"/>
                <w:sz w:val="24"/>
                <w:szCs w:val="24"/>
              </w:rPr>
              <w:t>4.</w:t>
            </w:r>
            <w:r>
              <w:rPr>
                <w:rFonts w:eastAsia="楷体" w:cs="楷体" w:hint="eastAsia"/>
                <w:kern w:val="0"/>
                <w:sz w:val="24"/>
                <w:szCs w:val="24"/>
              </w:rPr>
              <w:t>无正当理由大量反复申请</w:t>
            </w:r>
          </w:p>
        </w:tc>
        <w:tc>
          <w:tcPr>
            <w:tcW w:w="63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7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r>
      <w:tr>
        <w:tc>
          <w:tcPr>
            <w:tcW w:w="696" w:type="dxa"/>
            <w:vMerge/>
            <w:tcBorders>
              <w:top w:val="nil"/>
              <w:left w:val="single" w:sz="8" w:space="0" w:color="auto"/>
              <w:bottom w:val="single" w:sz="8" w:space="0" w:color="auto"/>
              <w:right w:val="single" w:sz="8" w:space="0" w:color="auto"/>
            </w:tcBorders>
            <w:tcMar>
              <w:left w:w="108" w:type="dxa"/>
              <w:right w:w="108" w:type="dxa"/>
            </w:tcMar>
            <w:vAlign w:val="center"/>
          </w:tcPr>
          <w:p/>
        </w:tc>
        <w:tc>
          <w:tcPr>
            <w:tcW w:w="936" w:type="dxa"/>
            <w:vMerge/>
            <w:tcBorders>
              <w:top w:val="nil"/>
              <w:left w:val="nil"/>
              <w:bottom w:val="single" w:sz="8" w:space="0" w:color="auto"/>
              <w:right w:val="single" w:sz="8" w:space="0" w:color="auto"/>
            </w:tcBorders>
            <w:tcMar>
              <w:left w:w="108" w:type="dxa"/>
              <w:right w:w="108" w:type="dxa"/>
            </w:tcMar>
            <w:vAlign w:val="center"/>
          </w:tcPr>
          <w:p/>
        </w:tc>
        <w:tc>
          <w:tcPr>
            <w:tcW w:w="2670" w:type="dxa"/>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kern w:val="0"/>
                <w:sz w:val="24"/>
                <w:szCs w:val="24"/>
              </w:rPr>
              <w:t>5.</w:t>
            </w:r>
            <w:r>
              <w:rPr>
                <w:rFonts w:eastAsia="楷体" w:cs="楷体" w:hint="eastAsia"/>
                <w:kern w:val="0"/>
                <w:sz w:val="24"/>
                <w:szCs w:val="24"/>
              </w:rPr>
              <w:t>要求行政机关确认或重新出具已获取信息</w:t>
            </w:r>
          </w:p>
        </w:tc>
        <w:tc>
          <w:tcPr>
            <w:tcW w:w="63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7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r>
      <w:tr>
        <w:tc>
          <w:tcPr>
            <w:tcW w:w="696" w:type="dxa"/>
            <w:vMerge/>
            <w:tcBorders>
              <w:top w:val="nil"/>
              <w:left w:val="single" w:sz="8" w:space="0" w:color="auto"/>
              <w:bottom w:val="single" w:sz="8" w:space="0" w:color="auto"/>
              <w:right w:val="single" w:sz="8" w:space="0" w:color="auto"/>
            </w:tcBorders>
            <w:tcMar>
              <w:left w:w="108" w:type="dxa"/>
              <w:right w:w="108" w:type="dxa"/>
            </w:tcMar>
            <w:vAlign w:val="center"/>
          </w:tcPr>
          <w:p/>
        </w:tc>
        <w:tc>
          <w:tcPr>
            <w:tcW w:w="3606" w:type="dxa"/>
            <w:gridSpan w:val="2"/>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hint="eastAsia"/>
                <w:kern w:val="0"/>
                <w:sz w:val="24"/>
                <w:szCs w:val="24"/>
              </w:rPr>
              <w:t>（六）其他处理</w:t>
            </w:r>
          </w:p>
        </w:tc>
        <w:tc>
          <w:tcPr>
            <w:tcW w:w="63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7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r>
      <w:tr>
        <w:tc>
          <w:tcPr>
            <w:tcW w:w="696" w:type="dxa"/>
            <w:vMerge/>
            <w:tcBorders>
              <w:top w:val="nil"/>
              <w:left w:val="single" w:sz="8" w:space="0" w:color="auto"/>
              <w:bottom w:val="single" w:sz="8" w:space="0" w:color="auto"/>
              <w:right w:val="single" w:sz="8" w:space="0" w:color="auto"/>
            </w:tcBorders>
            <w:tcMar>
              <w:left w:w="108" w:type="dxa"/>
              <w:right w:w="108" w:type="dxa"/>
            </w:tcMar>
            <w:vAlign w:val="center"/>
          </w:tcPr>
          <w:p/>
        </w:tc>
        <w:tc>
          <w:tcPr>
            <w:tcW w:w="3606" w:type="dxa"/>
            <w:gridSpan w:val="2"/>
            <w:tcBorders>
              <w:top w:val="nil"/>
              <w:left w:val="nil"/>
              <w:bottom w:val="single" w:sz="8" w:space="0" w:color="auto"/>
              <w:right w:val="single" w:sz="8" w:space="0" w:color="auto"/>
            </w:tcBorders>
            <w:tcMar>
              <w:left w:w="108" w:type="dxa"/>
              <w:right w:w="108" w:type="dxa"/>
            </w:tcMar>
            <w:vAlign w:val="center"/>
          </w:tcPr>
          <w:p>
            <w:pPr>
              <w:widowControl/>
              <w:spacing w:after="180"/>
              <w:jc w:val="left"/>
              <w:rPr>
                <w:sz w:val="24"/>
                <w:szCs w:val="24"/>
              </w:rPr>
            </w:pPr>
            <w:r>
              <w:rPr>
                <w:rFonts w:eastAsia="楷体" w:cs="楷体" w:hint="eastAsia"/>
                <w:kern w:val="0"/>
                <w:sz w:val="24"/>
                <w:szCs w:val="24"/>
              </w:rPr>
              <w:t>（七）总计</w:t>
            </w:r>
          </w:p>
        </w:tc>
        <w:tc>
          <w:tcPr>
            <w:tcW w:w="63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7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r>
      <w:tr>
        <w:tc>
          <w:tcPr>
            <w:tcW w:w="4302" w:type="dxa"/>
            <w:gridSpan w:val="3"/>
            <w:tcBorders>
              <w:top w:val="nil"/>
              <w:left w:val="single" w:sz="8" w:space="0" w:color="auto"/>
              <w:bottom w:val="single" w:sz="8" w:space="0" w:color="auto"/>
              <w:right w:val="single" w:sz="8" w:space="0" w:color="auto"/>
            </w:tcBorders>
            <w:tcMar>
              <w:left w:w="108" w:type="dxa"/>
              <w:right w:w="108" w:type="dxa"/>
            </w:tcMar>
            <w:vAlign w:val="center"/>
          </w:tcPr>
          <w:p>
            <w:pPr>
              <w:widowControl/>
              <w:spacing w:after="180"/>
              <w:jc w:val="left"/>
            </w:pPr>
            <w:r>
              <w:rPr>
                <w:rFonts w:cs="宋体" w:hint="eastAsia"/>
                <w:kern w:val="0"/>
                <w:sz w:val="24"/>
                <w:szCs w:val="24"/>
              </w:rPr>
              <w:t>四、结转下年度继续办理</w:t>
            </w:r>
          </w:p>
        </w:tc>
        <w:tc>
          <w:tcPr>
            <w:tcW w:w="63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2</w:t>
            </w:r>
          </w:p>
        </w:tc>
        <w:tc>
          <w:tcPr>
            <w:tcW w:w="67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76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497"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82"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2</w:t>
            </w:r>
          </w:p>
        </w:tc>
      </w:tr>
    </w:tbl>
    <w:p>
      <w:pPr>
        <w:pStyle w:val="16"/>
        <w:widowControl/>
        <w:shd w:val="clear" w:color="auto" w:fill="FFFFFF"/>
        <w:spacing w:beforeAutospacing="0" w:after="240" w:afterAutospacing="0"/>
        <w:ind w:firstLineChars="200" w:firstLine="640"/>
        <w:jc w:val="both"/>
        <w:rPr>
          <w:rFonts w:cs="宋体"/>
          <w:szCs w:val="24"/>
        </w:rPr>
      </w:pPr>
      <w:r>
        <w:rPr>
          <w:rFonts w:eastAsia="方正黑体_GBK" w:cs="楷体_GB2312" w:hint="eastAsia"/>
          <w:bCs/>
          <w:sz w:val="32"/>
          <w:szCs w:val="32"/>
          <w:shd w:val="clear" w:color="auto" w:fill="FFFFFF"/>
        </w:rPr>
        <w:t>四、政府信息公开行政复议、行政诉讼情况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c>
          <w:tcPr>
            <w:tcW w:w="3074" w:type="dxa"/>
            <w:gridSpan w:val="5"/>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行政复议</w:t>
            </w:r>
          </w:p>
        </w:tc>
        <w:tc>
          <w:tcPr>
            <w:tcW w:w="5997" w:type="dxa"/>
            <w:gridSpan w:val="10"/>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行政诉讼</w:t>
            </w:r>
          </w:p>
        </w:tc>
      </w:tr>
      <w:tr>
        <w:tc>
          <w:tcPr>
            <w:tcW w:w="604" w:type="dxa"/>
            <w:vMerge w:val="restart"/>
            <w:tcBorders>
              <w:top w:val="nil"/>
              <w:left w:val="single" w:sz="8" w:space="0" w:color="auto"/>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结果维持</w:t>
            </w:r>
          </w:p>
        </w:tc>
        <w:tc>
          <w:tcPr>
            <w:tcW w:w="604" w:type="dxa"/>
            <w:vMerge w:val="restart"/>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结果纠正</w:t>
            </w:r>
          </w:p>
        </w:tc>
        <w:tc>
          <w:tcPr>
            <w:tcW w:w="604" w:type="dxa"/>
            <w:vMerge w:val="restart"/>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其他结果</w:t>
            </w:r>
          </w:p>
        </w:tc>
        <w:tc>
          <w:tcPr>
            <w:tcW w:w="604" w:type="dxa"/>
            <w:vMerge w:val="restart"/>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尚未审结</w:t>
            </w:r>
          </w:p>
        </w:tc>
        <w:tc>
          <w:tcPr>
            <w:tcW w:w="658" w:type="dxa"/>
            <w:vMerge w:val="restart"/>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总计</w:t>
            </w:r>
          </w:p>
        </w:tc>
        <w:tc>
          <w:tcPr>
            <w:tcW w:w="2970" w:type="dxa"/>
            <w:gridSpan w:val="5"/>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未经复议直接起诉</w:t>
            </w:r>
          </w:p>
        </w:tc>
        <w:tc>
          <w:tcPr>
            <w:tcW w:w="3027" w:type="dxa"/>
            <w:gridSpan w:val="5"/>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复议后起诉</w:t>
            </w:r>
          </w:p>
        </w:tc>
      </w:tr>
      <w:tr>
        <w:tc>
          <w:tcPr>
            <w:tcW w:w="604" w:type="dxa"/>
            <w:vMerge/>
            <w:tcBorders>
              <w:top w:val="nil"/>
              <w:left w:val="single" w:sz="8" w:space="0" w:color="auto"/>
              <w:bottom w:val="single" w:sz="8" w:space="0" w:color="auto"/>
              <w:right w:val="single" w:sz="8" w:space="0" w:color="auto"/>
            </w:tcBorders>
            <w:tcMar>
              <w:left w:w="108" w:type="dxa"/>
              <w:right w:w="108" w:type="dxa"/>
            </w:tcMar>
            <w:vAlign w:val="center"/>
          </w:tcPr>
          <w:p/>
        </w:tc>
        <w:tc>
          <w:tcPr>
            <w:tcW w:w="604" w:type="dxa"/>
            <w:vMerge/>
            <w:tcBorders>
              <w:top w:val="nil"/>
              <w:left w:val="nil"/>
              <w:bottom w:val="single" w:sz="8" w:space="0" w:color="auto"/>
              <w:right w:val="single" w:sz="8" w:space="0" w:color="auto"/>
            </w:tcBorders>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cBorders>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cBorders>
            <w:tcMar>
              <w:left w:w="108" w:type="dxa"/>
              <w:right w:w="108" w:type="dxa"/>
            </w:tcMar>
            <w:vAlign w:val="center"/>
          </w:tcPr>
          <w:p/>
        </w:tc>
        <w:tc>
          <w:tcPr>
            <w:tcW w:w="658" w:type="dxa"/>
            <w:vMerge/>
            <w:tcBorders>
              <w:top w:val="single" w:sz="8" w:space="0" w:color="auto"/>
              <w:left w:val="nil"/>
              <w:bottom w:val="single" w:sz="8" w:space="0" w:color="auto"/>
              <w:right w:val="single" w:sz="8" w:space="0" w:color="auto"/>
            </w:tcBorders>
            <w:tcMar>
              <w:left w:w="108" w:type="dxa"/>
              <w:right w:w="108" w:type="dxa"/>
            </w:tcMar>
            <w:vAlign w:val="center"/>
          </w:tcPr>
          <w:p/>
        </w:tc>
        <w:tc>
          <w:tcPr>
            <w:tcW w:w="5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结果维持</w:t>
            </w:r>
          </w:p>
        </w:tc>
        <w:tc>
          <w:tcPr>
            <w:tcW w:w="60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结果纠正</w:t>
            </w:r>
          </w:p>
        </w:tc>
        <w:tc>
          <w:tcPr>
            <w:tcW w:w="605" w:type="dxa"/>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其他结果</w:t>
            </w:r>
          </w:p>
        </w:tc>
        <w:tc>
          <w:tcPr>
            <w:tcW w:w="605" w:type="dxa"/>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尚未审结</w:t>
            </w:r>
          </w:p>
        </w:tc>
        <w:tc>
          <w:tcPr>
            <w:tcW w:w="605" w:type="dxa"/>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总计</w:t>
            </w:r>
          </w:p>
        </w:tc>
        <w:tc>
          <w:tcPr>
            <w:tcW w:w="605" w:type="dxa"/>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结果维持</w:t>
            </w:r>
          </w:p>
        </w:tc>
        <w:tc>
          <w:tcPr>
            <w:tcW w:w="605" w:type="dxa"/>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结果纠正</w:t>
            </w:r>
          </w:p>
        </w:tc>
        <w:tc>
          <w:tcPr>
            <w:tcW w:w="605" w:type="dxa"/>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其他结果</w:t>
            </w:r>
          </w:p>
        </w:tc>
        <w:tc>
          <w:tcPr>
            <w:tcW w:w="606" w:type="dxa"/>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尚未审结</w:t>
            </w:r>
          </w:p>
        </w:tc>
        <w:tc>
          <w:tcPr>
            <w:tcW w:w="606" w:type="dxa"/>
            <w:tcBorders>
              <w:top w:val="single" w:sz="8" w:space="0" w:color="auto"/>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hint="eastAsia"/>
                <w:kern w:val="0"/>
                <w:sz w:val="24"/>
                <w:szCs w:val="24"/>
              </w:rPr>
              <w:t>总计</w:t>
            </w:r>
          </w:p>
        </w:tc>
      </w:tr>
      <w:tr>
        <w:tc>
          <w:tcPr>
            <w:tcW w:w="604" w:type="dxa"/>
            <w:tcBorders>
              <w:top w:val="nil"/>
              <w:left w:val="single" w:sz="8" w:space="0" w:color="auto"/>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04"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04"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0</w:t>
            </w:r>
          </w:p>
        </w:tc>
        <w:tc>
          <w:tcPr>
            <w:tcW w:w="604"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1</w:t>
            </w:r>
          </w:p>
        </w:tc>
        <w:tc>
          <w:tcPr>
            <w:tcW w:w="658"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Calibri"/>
                <w:kern w:val="0"/>
                <w:sz w:val="24"/>
                <w:szCs w:val="24"/>
              </w:rPr>
              <w:t>1</w:t>
            </w:r>
          </w:p>
        </w:tc>
        <w:tc>
          <w:tcPr>
            <w:tcW w:w="550"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kern w:val="0"/>
                <w:sz w:val="24"/>
                <w:szCs w:val="24"/>
              </w:rPr>
              <w:t>0</w:t>
            </w:r>
          </w:p>
        </w:tc>
        <w:tc>
          <w:tcPr>
            <w:tcW w:w="60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kern w:val="0"/>
                <w:sz w:val="24"/>
                <w:szCs w:val="24"/>
              </w:rPr>
              <w:t>0</w:t>
            </w:r>
          </w:p>
        </w:tc>
        <w:tc>
          <w:tcPr>
            <w:tcW w:w="60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kern w:val="0"/>
                <w:sz w:val="24"/>
                <w:szCs w:val="24"/>
              </w:rPr>
              <w:t>0</w:t>
            </w:r>
          </w:p>
        </w:tc>
        <w:tc>
          <w:tcPr>
            <w:tcW w:w="60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kern w:val="0"/>
                <w:sz w:val="24"/>
                <w:szCs w:val="24"/>
              </w:rPr>
              <w:t>0</w:t>
            </w:r>
          </w:p>
        </w:tc>
        <w:tc>
          <w:tcPr>
            <w:tcW w:w="60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kern w:val="0"/>
                <w:sz w:val="24"/>
                <w:szCs w:val="24"/>
              </w:rPr>
              <w:t>0</w:t>
            </w:r>
          </w:p>
        </w:tc>
        <w:tc>
          <w:tcPr>
            <w:tcW w:w="60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kern w:val="0"/>
                <w:sz w:val="24"/>
                <w:szCs w:val="24"/>
              </w:rPr>
              <w:t>1</w:t>
            </w:r>
          </w:p>
        </w:tc>
        <w:tc>
          <w:tcPr>
            <w:tcW w:w="60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kern w:val="0"/>
                <w:sz w:val="24"/>
                <w:szCs w:val="24"/>
              </w:rPr>
              <w:t>0</w:t>
            </w:r>
          </w:p>
        </w:tc>
        <w:tc>
          <w:tcPr>
            <w:tcW w:w="605"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kern w:val="0"/>
                <w:sz w:val="24"/>
                <w:szCs w:val="24"/>
              </w:rPr>
              <w:t>0</w:t>
            </w:r>
          </w:p>
        </w:tc>
        <w:tc>
          <w:tcPr>
            <w:tcW w:w="606" w:type="dxa"/>
            <w:tcBorders>
              <w:top w:val="nil"/>
              <w:left w:val="nil"/>
              <w:bottom w:val="single" w:sz="8" w:space="0" w:color="auto"/>
              <w:right w:val="single" w:sz="8" w:space="0" w:color="auto"/>
            </w:tcBorders>
            <w:tcMar>
              <w:left w:w="108" w:type="dxa"/>
              <w:right w:w="108" w:type="dxa"/>
            </w:tcMar>
            <w:vAlign w:val="center"/>
          </w:tcPr>
          <w:p>
            <w:pPr>
              <w:widowControl/>
              <w:spacing w:after="180"/>
              <w:jc w:val="center"/>
              <w:rPr>
                <w:sz w:val="24"/>
                <w:szCs w:val="24"/>
              </w:rPr>
            </w:pPr>
            <w:r>
              <w:rPr>
                <w:rFonts w:cs="宋体"/>
                <w:kern w:val="0"/>
                <w:sz w:val="24"/>
                <w:szCs w:val="24"/>
              </w:rPr>
              <w:t>0</w:t>
            </w:r>
          </w:p>
        </w:tc>
        <w:tc>
          <w:tcPr>
            <w:tcW w:w="606" w:type="dxa"/>
            <w:tcBorders>
              <w:top w:val="nil"/>
              <w:left w:val="nil"/>
              <w:bottom w:val="single" w:sz="8" w:space="0" w:color="auto"/>
              <w:right w:val="single" w:sz="8" w:space="0" w:color="auto"/>
            </w:tcBorders>
            <w:tcMar>
              <w:left w:w="108" w:type="dxa"/>
              <w:right w:w="108" w:type="dxa"/>
            </w:tcMar>
            <w:vAlign w:val="center"/>
          </w:tcPr>
          <w:p>
            <w:pPr>
              <w:rPr>
                <w:sz w:val="24"/>
                <w:szCs w:val="24"/>
              </w:rPr>
            </w:pPr>
            <w:r>
              <w:rPr>
                <w:sz w:val="24"/>
                <w:szCs w:val="24"/>
              </w:rPr>
              <w:t>1</w:t>
            </w:r>
          </w:p>
        </w:tc>
      </w:tr>
    </w:tbl>
    <w:p>
      <w:pPr>
        <w:pStyle w:val="16"/>
        <w:widowControl/>
        <w:shd w:val="clear" w:color="auto" w:fill="FFFFFF"/>
        <w:spacing w:beforeAutospacing="0" w:afterAutospacing="0" w:line="560" w:lineRule="exact"/>
        <w:ind w:firstLineChars="200" w:firstLine="640"/>
        <w:jc w:val="both"/>
        <w:rPr>
          <w:rFonts w:eastAsia="方正黑体_GBK" w:cs="楷体_GB2312"/>
          <w:bCs/>
          <w:sz w:val="32"/>
          <w:szCs w:val="32"/>
          <w:shd w:val="clear" w:color="auto" w:fill="FFFFFF"/>
        </w:rPr>
      </w:pPr>
      <w:r>
        <w:rPr>
          <w:rFonts w:eastAsia="方正黑体_GBK" w:cs="楷体_GB2312" w:hint="eastAsia"/>
          <w:bCs/>
          <w:sz w:val="32"/>
          <w:szCs w:val="32"/>
          <w:shd w:val="clear" w:color="auto" w:fill="FFFFFF"/>
        </w:rPr>
        <w:t>五、存在的主要问题及改进方向</w:t>
      </w:r>
    </w:p>
    <w:p>
      <w:pPr>
        <w:pStyle w:val="16"/>
        <w:widowControl/>
        <w:shd w:val="clear" w:color="auto" w:fill="FFFFFF"/>
        <w:spacing w:beforeAutospacing="0" w:afterAutospacing="0" w:line="560" w:lineRule="exact"/>
        <w:ind w:firstLineChars="200" w:firstLine="640"/>
        <w:jc w:val="both"/>
        <w:rPr>
          <w:rFonts w:eastAsia="方正仿宋_GBK" w:cs="楷体_GB2312"/>
          <w:bCs/>
          <w:sz w:val="32"/>
          <w:szCs w:val="32"/>
          <w:shd w:val="clear" w:color="auto" w:fill="FFFFFF"/>
        </w:rPr>
      </w:pPr>
      <w:r>
        <w:rPr>
          <w:rFonts w:eastAsia="方正楷体_GBK" w:cs="楷体_GB2312" w:hint="eastAsia"/>
          <w:b/>
          <w:bCs/>
          <w:sz w:val="32"/>
          <w:szCs w:val="32"/>
          <w:shd w:val="clear" w:color="auto" w:fill="FFFFFF"/>
        </w:rPr>
        <w:t>（一）存在的主要问题。</w:t>
      </w:r>
      <w:r>
        <w:rPr>
          <w:rFonts w:eastAsia="方正仿宋_GBK" w:cs="楷体_GB2312" w:hint="eastAsia"/>
          <w:bCs/>
          <w:sz w:val="32"/>
          <w:szCs w:val="32"/>
          <w:shd w:val="clear" w:color="auto" w:fill="FFFFFF"/>
        </w:rPr>
        <w:t>在海关总署的正确领导下，</w:t>
      </w:r>
      <w:r>
        <w:rPr>
          <w:rFonts w:eastAsia="方正仿宋_GBK" w:cs="楷体_GB2312"/>
          <w:bCs/>
          <w:sz w:val="32"/>
          <w:szCs w:val="32"/>
          <w:shd w:val="clear" w:color="auto" w:fill="FFFFFF"/>
        </w:rPr>
        <w:t>2019</w:t>
      </w:r>
      <w:r>
        <w:rPr>
          <w:rFonts w:eastAsia="方正仿宋_GBK" w:cs="楷体_GB2312" w:hint="eastAsia"/>
          <w:bCs/>
          <w:sz w:val="32"/>
          <w:szCs w:val="32"/>
          <w:shd w:val="clear" w:color="auto" w:fill="FFFFFF"/>
        </w:rPr>
        <w:t>年郑州海关政府信息公开工作取得了一定成效，但与信息公开工作的新形势新要求相比，还存在一些差距。主要表现在：一是信息公开工作的主动性与积极性有待进一步提高，忙业务轻公开的现象依然存在，对社会关注点的分析把握还不够精准。二是依申请公开办理中涉及跨部门、跨业务的综合性较强的申请件答复水平还有待提高。三是网站综合管理、政务公开栏目还不够优化，应对新形势对政府信息公开要求还存在一定差距。</w:t>
      </w:r>
    </w:p>
    <w:p>
      <w:pPr>
        <w:pStyle w:val="16"/>
        <w:widowControl/>
        <w:shd w:val="clear" w:color="auto" w:fill="FFFFFF"/>
        <w:spacing w:beforeAutospacing="0" w:afterAutospacing="0" w:line="560" w:lineRule="exact"/>
        <w:ind w:firstLineChars="200" w:firstLine="640"/>
        <w:jc w:val="both"/>
        <w:rPr>
          <w:rFonts w:eastAsia="方正仿宋_GBK" w:cs="楷体_GB2312"/>
          <w:bCs/>
          <w:sz w:val="32"/>
          <w:szCs w:val="32"/>
          <w:shd w:val="clear" w:color="auto" w:fill="FFFFFF"/>
        </w:rPr>
      </w:pPr>
      <w:r>
        <w:rPr>
          <w:rFonts w:eastAsia="方正楷体_GBK" w:cs="楷体_GB2312" w:hint="eastAsia"/>
          <w:b/>
          <w:bCs/>
          <w:sz w:val="32"/>
          <w:szCs w:val="32"/>
          <w:shd w:val="clear" w:color="auto" w:fill="FFFFFF"/>
        </w:rPr>
        <w:t>（二）下一步改进措施。</w:t>
      </w:r>
      <w:r>
        <w:rPr>
          <w:rFonts w:eastAsia="方正仿宋_GBK" w:cs="楷体_GB2312" w:hint="eastAsia"/>
          <w:bCs/>
          <w:sz w:val="32"/>
          <w:szCs w:val="32"/>
          <w:shd w:val="clear" w:color="auto" w:fill="FFFFFF"/>
        </w:rPr>
        <w:t>郑州海关将以落实新修订《条例》为抓手，全面提高政府信息公开工作质量。一是加强分析研判，把握关键节点，坚持以公开为常态、不公开为例外，继续做好政府信息主动公开工作。二是加强统筹协调，优化联动机制，提升依申请公开工作水平和效率。三是从系统运行、安全保障、机制建设、栏目设置等各个方面提升网站建设水平。四是进一步加强对相关工作人员的业务培训，不断提高政府信息公开意识和服务群众的能力和水平。</w:t>
      </w:r>
    </w:p>
    <w:p/>
    <w:sectPr>
      <w:footerReference w:type="default" r:id="rId2"/>
      <w:footerReference w:type="even" r:id="rId3"/>
      <w:pgSz w:w="11906" w:h="16838"/>
      <w:pgMar w:top="2098" w:right="1474" w:bottom="1871" w:left="1588" w:header="851" w:footer="992" w:gutter="0"/>
      <w:pgNumType w:fmt="numberInDash"/>
      <w:docGrid w:type="lines" w:linePitch="408" w:charSpace="0"/>
    </w:sectPr>
  </w:body>
</w:document>
</file>

<file path=word/fontTable.xml><?xml version="1.0" encoding="utf-8"?>
<w:fonts xmlns:w="http://schemas.openxmlformats.org/wordprocessingml/2006/main" xmlns:r="http://schemas.openxmlformats.org/officeDocument/2006/relationships">
  <w:font w:name="宋体">
    <w:altName w:val="SimSun"/>
    <w:panose1 w:val="02010600030101010101"/>
    <w:charset w:val="86"/>
    <w:family w:val="auto"/>
    <w:pitch w:val="variable"/>
    <w:sig w:usb0="00000003" w:usb1="288F0000" w:usb2="00000016" w:usb3="00000000" w:csb0="00040001" w:csb1="00000000"/>
  </w:font>
  <w:font w:name="??_GB2312">
    <w:altName w:val="Times New Roman"/>
    <w:panose1 w:val="00000000000000000000"/>
    <w:charset w:val="00"/>
    <w:family w:val="auto"/>
    <w:pitch w:val="variable"/>
    <w:sig w:usb0="00000003" w:usb1="00000000" w:usb2="00000000" w:usb3="00000000" w:csb0="00000001" w:csb1="00000000"/>
  </w:font>
  <w:font w:name="方正小标宋_GBK">
    <w:altName w:val="方正仿宋_GBK"/>
    <w:panose1 w:val="03000509000000000000"/>
    <w:charset w:val="86"/>
    <w:family w:val="script"/>
    <w:pitch w:val="variable"/>
    <w:sig w:usb0="00000001" w:usb1="080E0000" w:usb2="00000010" w:usb3="00000000" w:csb0="00040000" w:csb1="00000000"/>
  </w:font>
  <w:font w:name="方正仿宋_GBK">
    <w:altName w:val="Noto Sans Syriac Eastern"/>
    <w:panose1 w:val="03000509000000000000"/>
    <w:charset w:val="86"/>
    <w:family w:val="script"/>
    <w:pitch w:val="variable"/>
    <w:sig w:usb0="00000001" w:usb1="080E0000" w:usb2="00000010" w:usb3="00000000" w:csb0="00040000" w:csb1="00000000"/>
  </w:font>
  <w:font w:name="楷体_GB2312">
    <w:altName w:val="楷体"/>
    <w:panose1 w:val="00000000000000000000"/>
    <w:charset w:val="86"/>
    <w:family w:val="modern"/>
    <w:pitch w:val="variable"/>
    <w:sig w:usb0="00000001" w:usb1="080E0000" w:usb2="00000010" w:usb3="00000000" w:csb0="00040000" w:csb1="00000000"/>
  </w:font>
  <w:font w:name="方正黑体_GBK">
    <w:altName w:val="Noto Sans Syriac Eastern"/>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楷体">
    <w:altName w:val="Noto Sans Syriac Western"/>
    <w:panose1 w:val="02010609060101010101"/>
    <w:charset w:val="86"/>
    <w:family w:val="modern"/>
    <w:pitch w:val="variable"/>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auto"/>
    <w:pitch w:val="variable"/>
    <w:sig w:usb0="00007A87" w:usb1="80000000" w:usb2="00000008" w:usb3="00000000" w:csb0="400001FF" w:csb1="FFFF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5"/>
      <w:tabs>
        <w:tab w:val="center" w:pos="4153"/>
        <w:tab w:val="right" w:pos="8306"/>
      </w:tabs>
      <w:jc w:val="center"/>
      <w:rPr>
        <w:rFonts w:ascii="宋体"/>
        <w:sz w:val="28"/>
        <w:szCs w:val="28"/>
      </w:rPr>
    </w:pPr>
    <w:r>
      <w:rPr>
        <w:rFonts w:ascii="宋体"/>
        <w:sz w:val="28"/>
        <w:szCs w:val="28"/>
      </w:rPr>
      <w:fldChar w:fldCharType="begin"/>
    </w:r>
    <w:r>
      <w:rPr>
        <w:rFonts w:ascii="宋体"/>
        <w:sz w:val="28"/>
        <w:szCs w:val="28"/>
      </w:rPr>
      <w:instrText xml:space="preserve"> PAGE   \* MERGEFORMAT </w:instrText>
    </w:r>
    <w:r>
      <w:rPr>
        <w:rFonts w:ascii="宋体"/>
        <w:sz w:val="28"/>
        <w:szCs w:val="28"/>
      </w:rPr>
      <w:fldChar w:fldCharType="separate"/>
    </w:r>
    <w:r>
      <w:rPr>
        <w:rFonts w:ascii="宋体"/>
        <w:sz w:val="28"/>
        <w:szCs w:val="28"/>
        <w:lang w:val="zh-CN"/>
      </w:rPr>
      <w:t>-</w:t>
    </w:r>
    <w:r>
      <w:rPr>
        <w:rFonts w:ascii="宋体"/>
        <w:sz w:val="28"/>
        <w:szCs w:val="28"/>
      </w:rPr>
      <w:t xml:space="preserve"> 1 -</w:t>
    </w:r>
    <w:r>
      <w:rPr>
        <w:rFonts w:ascii="宋体"/>
        <w:sz w:val="28"/>
        <w:szCs w:val="28"/>
      </w:rPr>
      <w:fldChar w:fldCharType="end"/>
    </w:r>
  </w:p>
  <w:p>
    <w:pPr>
      <w:pStyle w:val="15"/>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5"/>
      <w:tabs>
        <w:tab w:val="center" w:pos="4153"/>
        <w:tab w:val="right" w:pos="8306"/>
      </w:tabs>
    </w:pPr>
    <w:r>
      <w:rPr>
        <w:rFonts w:ascii="??_GB2312" w:hAnsi="??_GB2312"/>
        <w:sz w:val="30"/>
        <w:szCs w:val="30"/>
      </w:rPr>
      <w:t>—</w:t>
    </w:r>
    <w:r>
      <w:rPr>
        <w:rFonts w:ascii="??_GB2312" w:hAnsi="??_GB2312"/>
        <w:sz w:val="30"/>
        <w:szCs w:val="30"/>
      </w:rPr>
      <w:fldChar w:fldCharType="begin"/>
    </w:r>
    <w:r>
      <w:rPr>
        <w:rFonts w:ascii="??_GB2312" w:hAnsi="??_GB2312"/>
        <w:sz w:val="30"/>
        <w:szCs w:val="30"/>
      </w:rPr>
      <w:instrText xml:space="preserve"> PAGE   \* MERGEFORMAT </w:instrText>
    </w:r>
    <w:r>
      <w:rPr>
        <w:rFonts w:ascii="??_GB2312" w:hAnsi="??_GB2312"/>
        <w:sz w:val="30"/>
        <w:szCs w:val="30"/>
      </w:rPr>
      <w:fldChar w:fldCharType="separate"/>
    </w:r>
    <w:r>
      <w:rPr>
        <w:rFonts w:ascii="??_GB2312" w:hAnsi="??_GB2312"/>
        <w:sz w:val="30"/>
        <w:szCs w:val="30"/>
        <w:lang w:val="zh-CN"/>
      </w:rPr>
      <w:t>2</w:t>
    </w:r>
    <w:r>
      <w:rPr>
        <w:rFonts w:ascii="??_GB2312" w:hAnsi="??_GB2312"/>
        <w:sz w:val="30"/>
        <w:szCs w:val="30"/>
      </w:rPr>
      <w:fldChar w:fldCharType="end"/>
    </w:r>
    <w:r>
      <w:rPr>
        <w:rFonts w:ascii="??_GB2312" w:hAnsi="??_GB2312"/>
        <w:sz w:val="30"/>
        <w:szCs w:val="30"/>
      </w:rPr>
      <w:t>—</w:t>
    </w:r>
  </w:p>
  <w:p>
    <w:pPr>
      <w:pStyle w:val="15"/>
      <w:tabs>
        <w:tab w:val="center" w:pos="4153"/>
        <w:tab w:val="right" w:pos="8306"/>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oNotDisplayPageBoundaries/>
  <w:bordersDoNotSurroundHeader/>
  <w:bordersDoNotSurroundFooter/>
  <w:trackRevisions/>
  <w:defaultTabStop w:val="420"/>
  <w:drawingGridHorizontalSpacing w:val="150"/>
  <w:drawingGridVerticalSpacing w:val="204"/>
  <w:displayHorizontalDrawingGridEvery w:val="0"/>
  <w:displayVerticalDrawingGridEvery w:val="2"/>
  <w:characterSpacingControl w:val="compressPunctuation"/>
  <w:noLineBreaksAfter w:lang="zh-CN" w:val="$([{£¥·‘“〈《「『【〔〖〝﹙﹛﹝＄（．［｛￡￥"/>
  <w:noLineBreaksBefore w:lang="zh-CN" w:val="!%),.:;&gt;?]}¢¨°·ˇˉ―‖’”…‰′″›℃∶、。〃〉》」』】〕〗〞︶︺︾﹀﹄﹚﹜﹞！＂％＇），．：；？］｀｜｝～￠"/>
  <w:compat>
    <w:spaceForUL/>
    <w:balanceSingleByteDoubleByteWidth/>
    <w:ulTrailSpace/>
    <w:doNotExpandShiftReturn/>
    <w:adjustLineHeightInTable/>
    <w:growAutofit/>
    <w:doNotUseIndentAsNumberingTabStop/>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30"/>
      <w:szCs w:val="30"/>
      <w:lang w:val="en-US" w:eastAsia="zh-CN" w:bidi="ar-SA"/>
    </w:rPr>
  </w:style>
  <w:style w:type="character" w:default="1" w:styleId="10">
    <w:name w:val="Default Paragraph Font"/>
  </w:style>
  <w:style w:type="paragraph" w:styleId="15">
    <w:name w:val="footer"/>
    <w:basedOn w:val="0"/>
    <w:pPr>
      <w:tabs>
        <w:tab w:val="center" w:pos="4153"/>
        <w:tab w:val="right" w:pos="8306"/>
      </w:tabs>
      <w:snapToGrid w:val="0"/>
      <w:jc w:val="left"/>
    </w:pPr>
    <w:rPr>
      <w:sz w:val="18"/>
      <w:szCs w:val="18"/>
    </w:rPr>
  </w:style>
  <w:style w:type="paragraph" w:styleId="16">
    <w:name w:val="Normal (Web)"/>
    <w:basedOn w:val="0"/>
    <w:pPr>
      <w:spacing w:beforeAutospacing="1" w:afterAutospacing="1"/>
      <w:jc w:val="left"/>
    </w:pPr>
    <w:rPr>
      <w:kern w:val="0"/>
      <w:sz w:val="24"/>
    </w:rPr>
  </w:style>
  <w:style w:type="character" w:styleId="17">
    <w:name w:val="Strong"/>
    <w:basedOn w:val="10"/>
    <w:rPr>
      <w:rFonts w:cs="Times New Roman"/>
      <w:b/>
      <w:bCs/>
    </w:rPr>
  </w:style>
  <w:style w:type="paragraph" w:styleId="18">
    <w:name w:val="header"/>
    <w:basedOn w:val="0"/>
    <w:pPr>
      <w:pBdr>
        <w:bottom w:val="single" w:sz="6" w:space="1" w:color="auto"/>
      </w:pBdr>
      <w:tabs>
        <w:tab w:val="center" w:pos="4153"/>
        <w:tab w:val="right" w:pos="8306"/>
      </w:tabs>
      <w:snapToGrid w:val="0"/>
      <w:jc w:val="center"/>
    </w:pPr>
    <w:rPr>
      <w:sz w:val="18"/>
      <w:szCs w:val="18"/>
    </w:rPr>
  </w:style>
  <w:style w:type="paragraph" w:styleId="19">
    <w:name w:val="Balloon Text"/>
    <w:basedOn w:val="0"/>
    <w:rPr>
      <w:sz w:val="18"/>
      <w:szCs w:val="18"/>
    </w:rPr>
  </w:style>
  <w:style w:type="paragraph" w:customStyle="1" w:styleId="20">
    <w:name w:val="样式 10 磅"/>
    <w:next w:val="17"/>
    <w:pPr>
      <w:widowControl w:val="0"/>
      <w:jc w:val="both"/>
    </w:pPr>
    <w:rPr>
      <w:rFonts w:ascii="Calibri" w:eastAsia="宋体" w:cs="Arial" w:hAnsi="Calibri"/>
      <w:kern w:val="2"/>
      <w:sz w:val="21"/>
      <w:szCs w:val="22"/>
      <w:lang w:val="en-US" w:eastAsia="zh-CN" w:bidi="ar-SA"/>
    </w:rPr>
  </w:style>
  <w:style w:type="paragraph" w:customStyle="1" w:styleId="21">
    <w:name w:val="样式 1 10 磅"/>
    <w:pPr>
      <w:widowControl w:val="0"/>
      <w:jc w:val="both"/>
    </w:pPr>
    <w:rPr>
      <w:rFonts w:ascii="Calibri" w:eastAsia="宋体" w:cs="Arial" w:hAnsi="Calibri"/>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480</TotalTime>
  <Application>Yozo_Office</Application>
  <Pages>6</Pages>
  <Words>2565</Words>
  <Characters>2682</Characters>
  <Lines>423</Lines>
  <Paragraphs>298</Paragraphs>
  <CharactersWithSpaces>2688</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ldd</dc:creator>
  <cp:lastModifiedBy>菅永伟</cp:lastModifiedBy>
  <cp:revision>20</cp:revision>
  <dcterms:created xsi:type="dcterms:W3CDTF">2020-01-14T07:30:00Z</dcterms:created>
  <dcterms:modified xsi:type="dcterms:W3CDTF">2021-04-30T02:23:32Z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2052-10.8.2.6990</vt:lpwstr>
  </property>
</Properties>
</file>