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pStyle w:val="29"/>
        <w:spacing w:line="560" w:lineRule="exact"/>
        <w:jc w:val="center"/>
        <w:rPr>
          <w:rFonts w:ascii="方正小标宋_GBK" w:eastAsia="方正小标宋_GBK" w:cs="方正小标宋_GBK"/>
          <w:sz w:val="44"/>
          <w:szCs w:val="44"/>
        </w:rPr>
      </w:pPr>
      <w:bookmarkStart w:id="0" w:name="_GoBack"/>
      <w:bookmarkEnd w:id="0"/>
    </w:p>
    <w:p>
      <w:pPr>
        <w:pStyle w:val="29"/>
        <w:spacing w:line="560" w:lineRule="exact"/>
        <w:jc w:val="center"/>
        <w:rPr>
          <w:rFonts w:ascii="方正小标宋_GBK" w:eastAsia="方正小标宋_GBK" w:cs="方正小标宋_GBK"/>
          <w:sz w:val="44"/>
          <w:szCs w:val="44"/>
        </w:rPr>
      </w:pPr>
      <w:r>
        <w:rPr>
          <w:rFonts w:ascii="方正小标宋_GBK" w:eastAsia="方正小标宋_GBK" w:cs="方正小标宋_GBK" w:hint="eastAsia"/>
          <w:sz w:val="44"/>
          <w:szCs w:val="44"/>
        </w:rPr>
        <w:t>郑州</w:t>
      </w:r>
      <w:r>
        <w:rPr>
          <w:rFonts w:ascii="方正小标宋_GBK" w:eastAsia="方正小标宋_GBK" w:cs="方正小标宋_GBK"/>
          <w:sz w:val="44"/>
          <w:szCs w:val="44"/>
        </w:rPr>
        <w:t>海关</w:t>
      </w:r>
      <w:r>
        <w:rPr>
          <w:rFonts w:ascii="方正小标宋_GBK" w:eastAsia="方正小标宋_GBK" w:cs="方正小标宋_GBK" w:hint="eastAsia"/>
          <w:sz w:val="44"/>
          <w:szCs w:val="44"/>
        </w:rPr>
        <w:t>关区2020年政府信息公开工作</w:t>
      </w:r>
    </w:p>
    <w:p>
      <w:pPr>
        <w:pStyle w:val="29"/>
        <w:spacing w:line="560" w:lineRule="exact"/>
        <w:jc w:val="center"/>
        <w:rPr>
          <w:rFonts w:ascii="方正小标宋_GBK" w:eastAsia="方正小标宋_GBK" w:cs="方正小标宋_GBK"/>
          <w:sz w:val="44"/>
          <w:szCs w:val="44"/>
        </w:rPr>
      </w:pPr>
      <w:r>
        <w:rPr>
          <w:rFonts w:ascii="方正小标宋_GBK" w:eastAsia="方正小标宋_GBK" w:cs="方正小标宋_GBK" w:hint="eastAsia"/>
          <w:sz w:val="44"/>
          <w:szCs w:val="44"/>
        </w:rPr>
        <w:t>年度报告</w:t>
      </w:r>
    </w:p>
    <w:p>
      <w:pPr>
        <w:pStyle w:val="29"/>
        <w:widowControl/>
        <w:shd w:val="clear" w:color="auto" w:fill="FFFFFF"/>
        <w:adjustRightInd w:val="0"/>
        <w:snapToGrid w:val="0"/>
        <w:spacing w:line="560" w:lineRule="exact"/>
        <w:rPr>
          <w:rFonts w:ascii="楷体_GB2312" w:eastAsia="楷体_GB2312" w:cs="楷体_GB2312"/>
          <w:bCs/>
          <w:sz w:val="32"/>
          <w:szCs w:val="32"/>
          <w:shd w:val="clear" w:color="auto" w:fill="FFFFFF"/>
        </w:rPr>
      </w:pPr>
    </w:p>
    <w:p>
      <w:pPr>
        <w:pStyle w:val="19"/>
        <w:adjustRightInd w:val="0"/>
        <w:snapToGrid w:val="0"/>
        <w:spacing w:line="560" w:lineRule="exact"/>
        <w:ind w:firstLineChars="200" w:firstLine="640"/>
        <w:jc w:val="both"/>
        <w:rPr>
          <w:rFonts w:ascii="Times New Roman" w:eastAsia="方正仿宋_GBK" w:hAnsi="Times New Roman"/>
          <w:sz w:val="32"/>
          <w:szCs w:val="32"/>
        </w:rPr>
      </w:pPr>
      <w:r>
        <w:rPr>
          <w:rFonts w:ascii="Times New Roman" w:eastAsia="方正仿宋_GBK" w:hAnsi="Times New Roman" w:hint="eastAsia"/>
          <w:sz w:val="32"/>
          <w:szCs w:val="32"/>
        </w:rPr>
        <w:t>本报告</w:t>
      </w:r>
      <w:r>
        <w:rPr>
          <w:rFonts w:ascii="Times New Roman" w:eastAsia="方正仿宋_GBK" w:hAnsi="Times New Roman"/>
          <w:sz w:val="32"/>
          <w:szCs w:val="32"/>
        </w:rPr>
        <w:t>根据《中华人民共和国政府信息公开条例》《</w:t>
      </w:r>
      <w:r>
        <w:rPr>
          <w:rFonts w:ascii="Times New Roman" w:eastAsia="方正仿宋_GBK" w:hAnsi="Times New Roman" w:hint="eastAsia"/>
          <w:sz w:val="32"/>
          <w:szCs w:val="32"/>
        </w:rPr>
        <w:t>国务院办公厅政府信息与政务公开办公室关于政府信息公开工作年度报告有关事项的通知</w:t>
      </w:r>
      <w:r>
        <w:rPr>
          <w:rFonts w:ascii="Times New Roman" w:eastAsia="方正仿宋_GBK" w:hAnsi="Times New Roman"/>
          <w:sz w:val="32"/>
          <w:szCs w:val="32"/>
        </w:rPr>
        <w:t>》，</w:t>
      </w:r>
      <w:r>
        <w:rPr>
          <w:rFonts w:ascii="Times New Roman" w:eastAsia="方正仿宋_GBK" w:hAnsi="Times New Roman" w:hint="eastAsia"/>
          <w:sz w:val="32"/>
          <w:szCs w:val="32"/>
        </w:rPr>
        <w:t>梳理2020年度郑州海关关区政府信息公开工作情况编制而成。</w:t>
      </w:r>
      <w:r>
        <w:rPr>
          <w:rFonts w:ascii="Times New Roman" w:eastAsia="方正仿宋_GBK" w:hAnsi="Times New Roman"/>
          <w:sz w:val="32"/>
          <w:szCs w:val="32"/>
        </w:rPr>
        <w:t>报</w:t>
      </w:r>
      <w:r>
        <w:rPr>
          <w:rFonts w:ascii="Times New Roman" w:eastAsia="方正仿宋_GBK" w:hAnsi="Times New Roman" w:hint="eastAsia"/>
          <w:sz w:val="32"/>
          <w:szCs w:val="32"/>
        </w:rPr>
        <w:t>告</w:t>
      </w:r>
      <w:r>
        <w:rPr>
          <w:rFonts w:ascii="Times New Roman" w:eastAsia="方正仿宋_GBK" w:hAnsi="Times New Roman"/>
          <w:sz w:val="32"/>
          <w:szCs w:val="32"/>
        </w:rPr>
        <w:t>中所列数据的统计期限</w:t>
      </w:r>
      <w:r>
        <w:rPr>
          <w:rFonts w:ascii="Times New Roman" w:eastAsia="方正仿宋_GBK" w:hAnsi="Times New Roman" w:hint="eastAsia"/>
          <w:sz w:val="32"/>
          <w:szCs w:val="32"/>
        </w:rPr>
        <w:t>，</w:t>
      </w:r>
      <w:r>
        <w:rPr>
          <w:rFonts w:ascii="Times New Roman" w:eastAsia="方正仿宋_GBK" w:hAnsi="Times New Roman"/>
          <w:sz w:val="32"/>
          <w:szCs w:val="32"/>
        </w:rPr>
        <w:t>自20</w:t>
      </w:r>
      <w:r>
        <w:rPr>
          <w:rFonts w:ascii="Times New Roman" w:eastAsia="方正仿宋_GBK" w:hAnsi="Times New Roman" w:hint="eastAsia"/>
          <w:sz w:val="32"/>
          <w:szCs w:val="32"/>
        </w:rPr>
        <w:t>20</w:t>
      </w:r>
      <w:r>
        <w:rPr>
          <w:rFonts w:ascii="Times New Roman" w:eastAsia="方正仿宋_GBK" w:hAnsi="Times New Roman"/>
          <w:sz w:val="32"/>
          <w:szCs w:val="32"/>
        </w:rPr>
        <w:t>年1月1日起至20</w:t>
      </w:r>
      <w:r>
        <w:rPr>
          <w:rFonts w:ascii="Times New Roman" w:eastAsia="方正仿宋_GBK" w:hAnsi="Times New Roman" w:hint="eastAsia"/>
          <w:sz w:val="32"/>
          <w:szCs w:val="32"/>
        </w:rPr>
        <w:t>20</w:t>
      </w:r>
      <w:r>
        <w:rPr>
          <w:rFonts w:ascii="Times New Roman" w:eastAsia="方正仿宋_GBK" w:hAnsi="Times New Roman"/>
          <w:sz w:val="32"/>
          <w:szCs w:val="32"/>
        </w:rPr>
        <w:t>年12月31日止。如对报</w:t>
      </w:r>
      <w:r>
        <w:rPr>
          <w:rFonts w:ascii="Times New Roman" w:eastAsia="方正仿宋_GBK" w:hAnsi="Times New Roman" w:hint="eastAsia"/>
          <w:sz w:val="32"/>
          <w:szCs w:val="32"/>
        </w:rPr>
        <w:t>告</w:t>
      </w:r>
      <w:r>
        <w:rPr>
          <w:rFonts w:ascii="Times New Roman" w:eastAsia="方正仿宋_GBK" w:hAnsi="Times New Roman"/>
          <w:sz w:val="32"/>
          <w:szCs w:val="32"/>
        </w:rPr>
        <w:t>有疑问</w:t>
      </w:r>
      <w:r>
        <w:rPr>
          <w:rFonts w:ascii="Times New Roman" w:eastAsia="方正仿宋_GBK" w:hAnsi="Times New Roman" w:hint="eastAsia"/>
          <w:sz w:val="32"/>
          <w:szCs w:val="32"/>
        </w:rPr>
        <w:t>或有任何意见建议</w:t>
      </w:r>
      <w:r>
        <w:rPr>
          <w:rFonts w:ascii="Times New Roman" w:eastAsia="方正仿宋_GBK" w:hAnsi="Times New Roman"/>
          <w:sz w:val="32"/>
          <w:szCs w:val="32"/>
        </w:rPr>
        <w:t>，请联系</w:t>
      </w:r>
      <w:r>
        <w:rPr>
          <w:rFonts w:ascii="Times New Roman" w:eastAsia="方正仿宋_GBK" w:hAnsi="Times New Roman" w:hint="eastAsia"/>
          <w:sz w:val="32"/>
          <w:szCs w:val="32"/>
        </w:rPr>
        <w:t>郑州</w:t>
      </w:r>
      <w:r>
        <w:rPr>
          <w:rFonts w:ascii="Times New Roman" w:eastAsia="方正仿宋_GBK" w:hAnsi="Times New Roman"/>
          <w:sz w:val="32"/>
          <w:szCs w:val="32"/>
        </w:rPr>
        <w:t>海关办公室</w:t>
      </w:r>
      <w:r>
        <w:rPr>
          <w:rFonts w:ascii="Times New Roman" w:eastAsia="方正仿宋_GBK" w:hAnsi="Times New Roman" w:hint="eastAsia"/>
          <w:sz w:val="32"/>
          <w:szCs w:val="32"/>
        </w:rPr>
        <w:t>，</w:t>
      </w:r>
      <w:r>
        <w:rPr>
          <w:rFonts w:ascii="Times New Roman" w:eastAsia="方正仿宋_GBK" w:hAnsi="Times New Roman"/>
          <w:sz w:val="32"/>
          <w:szCs w:val="32"/>
        </w:rPr>
        <w:t>地址：河南省</w:t>
      </w:r>
      <w:r>
        <w:rPr>
          <w:rFonts w:ascii="Times New Roman" w:eastAsia="方正仿宋_GBK" w:hAnsi="Times New Roman" w:hint="eastAsia"/>
          <w:sz w:val="32"/>
          <w:szCs w:val="32"/>
        </w:rPr>
        <w:t>郑州市金水区农业路东30号，</w:t>
      </w:r>
      <w:r>
        <w:rPr>
          <w:rFonts w:ascii="Times New Roman" w:eastAsia="方正仿宋_GBK" w:hAnsi="Times New Roman"/>
          <w:sz w:val="32"/>
          <w:szCs w:val="32"/>
        </w:rPr>
        <w:t>邮编：4</w:t>
      </w:r>
      <w:r>
        <w:rPr>
          <w:rFonts w:ascii="Times New Roman" w:eastAsia="方正仿宋_GBK" w:hAnsi="Times New Roman" w:hint="eastAsia"/>
          <w:sz w:val="32"/>
          <w:szCs w:val="32"/>
        </w:rPr>
        <w:t>50008，</w:t>
      </w:r>
      <w:r>
        <w:rPr>
          <w:rFonts w:ascii="Times New Roman" w:eastAsia="方正仿宋_GBK" w:hAnsi="Times New Roman"/>
          <w:sz w:val="32"/>
          <w:szCs w:val="32"/>
        </w:rPr>
        <w:t>电话：03</w:t>
      </w:r>
      <w:r>
        <w:rPr>
          <w:rFonts w:ascii="Times New Roman" w:eastAsia="方正仿宋_GBK" w:hAnsi="Times New Roman" w:hint="eastAsia"/>
          <w:sz w:val="32"/>
          <w:szCs w:val="32"/>
        </w:rPr>
        <w:t>71</w:t>
      </w:r>
      <w:r>
        <w:rPr>
          <w:rFonts w:ascii="Times New Roman" w:eastAsia="方正仿宋_GBK" w:hAnsi="Times New Roman"/>
          <w:sz w:val="32"/>
          <w:szCs w:val="32"/>
        </w:rPr>
        <w:t>-</w:t>
      </w:r>
      <w:r>
        <w:rPr>
          <w:rFonts w:ascii="Times New Roman" w:eastAsia="方正仿宋_GBK" w:hAnsi="Times New Roman" w:hint="eastAsia"/>
          <w:sz w:val="32"/>
          <w:szCs w:val="32"/>
        </w:rPr>
        <w:t>65599126</w:t>
      </w:r>
      <w:r>
        <w:rPr>
          <w:rFonts w:ascii="Times New Roman" w:eastAsia="方正仿宋_GBK" w:hAnsi="Times New Roman"/>
          <w:sz w:val="32"/>
          <w:szCs w:val="32"/>
        </w:rPr>
        <w:t>。</w:t>
      </w:r>
    </w:p>
    <w:p>
      <w:pPr>
        <w:pStyle w:val="29"/>
        <w:spacing w:line="560" w:lineRule="exact"/>
        <w:ind w:firstLineChars="200" w:firstLine="640"/>
        <w:rPr>
          <w:rFonts w:ascii="方正黑体_GBK" w:eastAsia="方正黑体_GBK"/>
          <w:sz w:val="32"/>
          <w:szCs w:val="32"/>
        </w:rPr>
      </w:pPr>
      <w:r>
        <w:rPr>
          <w:rFonts w:ascii="方正黑体_GBK" w:eastAsia="方正黑体_GBK" w:hint="eastAsia"/>
          <w:sz w:val="32"/>
          <w:szCs w:val="32"/>
        </w:rPr>
        <w:t>一、总体情况</w:t>
      </w:r>
    </w:p>
    <w:p>
      <w:pPr>
        <w:pStyle w:val="29"/>
        <w:spacing w:line="560" w:lineRule="exact"/>
        <w:ind w:firstLineChars="200" w:firstLine="640"/>
        <w:rPr>
          <w:rFonts w:ascii="Times New Roman" w:eastAsia="方正仿宋_GBK" w:hAnsi="Times New Roman"/>
          <w:sz w:val="32"/>
          <w:szCs w:val="32"/>
        </w:rPr>
      </w:pPr>
      <w:r>
        <w:rPr>
          <w:rFonts w:ascii="Times New Roman" w:eastAsia="方正仿宋_GBK" w:hAnsi="Times New Roman"/>
          <w:sz w:val="32"/>
          <w:szCs w:val="32"/>
        </w:rPr>
        <w:t>2020</w:t>
      </w:r>
      <w:r>
        <w:rPr>
          <w:rFonts w:ascii="Times New Roman" w:eastAsia="方正仿宋_GBK" w:hAnsi="Times New Roman" w:hint="eastAsia"/>
          <w:sz w:val="32"/>
          <w:szCs w:val="32"/>
        </w:rPr>
        <w:t>年，郑州海关以习近平新时代中国特色社会主义思想为指导，深入学习贯彻党的十九大和十九届二中、三中、四中、五中全会精神，全面落实党中央、国务院关于全面推进政务公开工作的系列</w:t>
      </w:r>
      <w:r>
        <w:rPr>
          <w:rFonts w:ascii="Times New Roman" w:eastAsia="方正仿宋_GBK" w:hAnsi="Times New Roman" w:hint="eastAsia"/>
          <w:color w:val="000000"/>
          <w:sz w:val="32"/>
          <w:szCs w:val="32"/>
        </w:rPr>
        <w:t>决策部署，</w:t>
      </w:r>
      <w:r>
        <w:rPr>
          <w:rFonts w:ascii="Times New Roman" w:eastAsia="方正仿宋_GBK" w:hAnsi="Times New Roman" w:hint="eastAsia"/>
          <w:sz w:val="32"/>
          <w:szCs w:val="32"/>
        </w:rPr>
        <w:t>准确执行新修订的《中华人民共和国政府信息公开条例》（以下简称《条例》），认真落实《</w:t>
      </w:r>
      <w:r>
        <w:rPr>
          <w:rFonts w:ascii="Times New Roman" w:eastAsia="方正仿宋_GBK" w:hAnsi="Times New Roman"/>
          <w:sz w:val="32"/>
          <w:szCs w:val="32"/>
        </w:rPr>
        <w:t>2020</w:t>
      </w:r>
      <w:r>
        <w:rPr>
          <w:rFonts w:ascii="Times New Roman" w:eastAsia="方正仿宋_GBK" w:hAnsi="Times New Roman" w:hint="eastAsia"/>
          <w:sz w:val="32"/>
          <w:szCs w:val="32"/>
        </w:rPr>
        <w:t>年政务公开工作要点》《</w:t>
      </w:r>
      <w:r>
        <w:rPr>
          <w:rFonts w:ascii="Times New Roman" w:eastAsia="方正仿宋_GBK" w:hAnsi="Times New Roman"/>
          <w:sz w:val="32"/>
          <w:szCs w:val="32"/>
        </w:rPr>
        <w:t>2020</w:t>
      </w:r>
      <w:r>
        <w:rPr>
          <w:rFonts w:ascii="Times New Roman" w:eastAsia="方正仿宋_GBK" w:hAnsi="Times New Roman" w:hint="eastAsia"/>
          <w:sz w:val="32"/>
          <w:szCs w:val="32"/>
        </w:rPr>
        <w:t>年海关政务公开工作要点》要求，推动关区政务公开工作不断提质增效，以公开促落实、促服务、促规范。</w:t>
      </w:r>
    </w:p>
    <w:p>
      <w:pPr>
        <w:pStyle w:val="29"/>
        <w:spacing w:line="560" w:lineRule="exact"/>
        <w:ind w:firstLineChars="200" w:firstLine="640"/>
        <w:rPr>
          <w:rFonts w:ascii="Times New Roman" w:eastAsia="方正仿宋_GBK" w:hAnsi="Times New Roman"/>
          <w:sz w:val="32"/>
          <w:szCs w:val="32"/>
        </w:rPr>
      </w:pPr>
      <w:r>
        <w:rPr>
          <w:rFonts w:ascii="方正楷体_GBK" w:eastAsia="方正楷体_GBK" w:hint="eastAsia"/>
          <w:b/>
          <w:sz w:val="32"/>
          <w:szCs w:val="32"/>
        </w:rPr>
        <w:t>（一）围绕重点领域加大主动公开力度。</w:t>
      </w:r>
      <w:r>
        <w:rPr>
          <w:rFonts w:ascii="方正仿宋_GBK" w:eastAsia="方正仿宋_GBK" w:hint="eastAsia"/>
          <w:sz w:val="32"/>
          <w:szCs w:val="32"/>
        </w:rPr>
        <w:t>围绕统筹推进口岸疫情防控和促进外贸稳增长，在</w:t>
      </w:r>
      <w:r>
        <w:rPr>
          <w:rFonts w:ascii="Times New Roman" w:eastAsia="方正仿宋_GBK" w:hAnsi="Times New Roman" w:hint="eastAsia"/>
          <w:sz w:val="32"/>
          <w:szCs w:val="32"/>
        </w:rPr>
        <w:t>我关</w:t>
      </w:r>
      <w:r>
        <w:rPr>
          <w:rFonts w:ascii="方正仿宋_GBK" w:eastAsia="方正仿宋_GBK" w:hint="eastAsia"/>
          <w:sz w:val="32"/>
          <w:szCs w:val="32"/>
        </w:rPr>
        <w:t>互联网门户网站</w:t>
      </w:r>
      <w:r>
        <w:rPr>
          <w:rFonts w:ascii="Times New Roman" w:eastAsia="方正仿宋_GBK" w:hAnsi="Times New Roman" w:hint="eastAsia"/>
          <w:sz w:val="32"/>
          <w:szCs w:val="32"/>
        </w:rPr>
        <w:t>增设“统筹推进口岸疫情防控和促进外贸稳增长”专栏</w:t>
      </w:r>
      <w:r>
        <w:rPr>
          <w:rFonts w:ascii="方正仿宋_GBK" w:eastAsia="方正仿宋_GBK" w:hint="eastAsia"/>
          <w:sz w:val="32"/>
          <w:szCs w:val="32"/>
        </w:rPr>
        <w:t>，</w:t>
      </w:r>
      <w:r>
        <w:rPr>
          <w:rFonts w:ascii="Times New Roman" w:eastAsia="方正仿宋_GBK" w:hAnsi="Times New Roman" w:hint="eastAsia"/>
          <w:sz w:val="32"/>
          <w:szCs w:val="32"/>
        </w:rPr>
        <w:t>及时向社会发布稳外贸有关政策措施和疫情防控相关信息</w:t>
      </w:r>
      <w:r>
        <w:rPr>
          <w:rFonts w:ascii="Times New Roman" w:eastAsia="方正仿宋_GBK" w:hAnsi="Times New Roman"/>
          <w:sz w:val="32"/>
          <w:szCs w:val="32"/>
        </w:rPr>
        <w:t>110</w:t>
      </w:r>
      <w:r>
        <w:rPr>
          <w:rFonts w:ascii="Times New Roman" w:eastAsia="方正仿宋_GBK" w:hAnsi="Times New Roman" w:hint="eastAsia"/>
          <w:sz w:val="32"/>
          <w:szCs w:val="32"/>
        </w:rPr>
        <w:t>条。加大政策解读力度，针对减免税、滞纳金减免等减税降费措施和医疗物资通关、口岸疫情防控措施等热点问题，加大政策发布解读力度，在我关互联网门户网站发布专题政策解读信息</w:t>
      </w:r>
      <w:r>
        <w:rPr>
          <w:rFonts w:ascii="Times New Roman" w:eastAsia="方正仿宋_GBK" w:hAnsi="Times New Roman"/>
          <w:sz w:val="32"/>
          <w:szCs w:val="32"/>
        </w:rPr>
        <w:t>16</w:t>
      </w:r>
      <w:r>
        <w:rPr>
          <w:rFonts w:ascii="Times New Roman" w:eastAsia="方正仿宋_GBK" w:hAnsi="Times New Roman" w:hint="eastAsia"/>
          <w:sz w:val="32"/>
          <w:szCs w:val="32"/>
        </w:rPr>
        <w:t>篇、开展在线访谈</w:t>
      </w:r>
      <w:r>
        <w:rPr>
          <w:rFonts w:ascii="Times New Roman" w:eastAsia="方正仿宋_GBK" w:hAnsi="Times New Roman"/>
          <w:sz w:val="32"/>
          <w:szCs w:val="32"/>
        </w:rPr>
        <w:t>6期</w:t>
      </w:r>
      <w:r>
        <w:rPr>
          <w:rFonts w:ascii="Times New Roman" w:eastAsia="方正仿宋_GBK" w:hAnsi="Times New Roman" w:hint="eastAsia"/>
          <w:sz w:val="32"/>
          <w:szCs w:val="32"/>
        </w:rPr>
        <w:t>，向总署</w:t>
      </w:r>
      <w:r>
        <w:rPr>
          <w:rFonts w:ascii="Times New Roman" w:eastAsia="方正仿宋_GBK" w:hAnsi="Times New Roman"/>
          <w:sz w:val="32"/>
          <w:szCs w:val="32"/>
        </w:rPr>
        <w:t>12360</w:t>
      </w:r>
      <w:r>
        <w:rPr>
          <w:rFonts w:ascii="Times New Roman" w:eastAsia="方正仿宋_GBK" w:hAnsi="Times New Roman" w:hint="eastAsia"/>
          <w:sz w:val="32"/>
          <w:szCs w:val="32"/>
        </w:rPr>
        <w:t>热线推荐报送政策解读新媒体稿件</w:t>
      </w:r>
      <w:r>
        <w:rPr>
          <w:rFonts w:ascii="Times New Roman" w:eastAsia="方正仿宋_GBK" w:hAnsi="Times New Roman"/>
          <w:sz w:val="32"/>
          <w:szCs w:val="32"/>
        </w:rPr>
        <w:t>20</w:t>
      </w:r>
      <w:r>
        <w:rPr>
          <w:rFonts w:ascii="Times New Roman" w:eastAsia="方正仿宋_GBK" w:hAnsi="Times New Roman" w:hint="eastAsia"/>
          <w:sz w:val="32"/>
          <w:szCs w:val="32"/>
        </w:rPr>
        <w:t>篇。加强用权公开，组织相关部门系统梳理本级机关行政处罚事项，公开走私违规、知识产权和检验检疫三大类</w:t>
      </w:r>
      <w:r>
        <w:rPr>
          <w:rFonts w:ascii="Times New Roman" w:eastAsia="方正仿宋_GBK" w:hAnsi="Times New Roman"/>
          <w:sz w:val="32"/>
          <w:szCs w:val="32"/>
        </w:rPr>
        <w:t>142</w:t>
      </w:r>
      <w:r>
        <w:rPr>
          <w:rFonts w:ascii="Times New Roman" w:eastAsia="方正仿宋_GBK" w:hAnsi="Times New Roman" w:hint="eastAsia"/>
          <w:sz w:val="32"/>
          <w:szCs w:val="32"/>
        </w:rPr>
        <w:t>项行政处罚事项的执法依据、条件和程序。加强各类应急预案公开，主动公开缉私突发事件、网络安全事件和进出口食品安全突发事件应急预案。坚决执行《条例》和</w:t>
      </w:r>
      <w:r>
        <w:rPr>
          <w:rFonts w:ascii="Times New Roman" w:eastAsia="方正仿宋_GBK" w:hAnsi="Times New Roman"/>
          <w:sz w:val="32"/>
          <w:szCs w:val="32"/>
        </w:rPr>
        <w:t>海关</w:t>
      </w:r>
      <w:r>
        <w:rPr>
          <w:rFonts w:ascii="Times New Roman" w:eastAsia="方正仿宋_GBK" w:hAnsi="Times New Roman" w:hint="eastAsia"/>
          <w:sz w:val="32"/>
          <w:szCs w:val="32"/>
        </w:rPr>
        <w:t>总署有关部署要求，全面公开关区两级海关机关职能、机构设置、办公地址、办公时间和联系方式等信息。</w:t>
      </w:r>
      <w:r>
        <w:rPr>
          <w:rFonts w:ascii="Times New Roman" w:eastAsia="方正仿宋_GBK" w:hAnsi="Times New Roman"/>
          <w:sz w:val="32"/>
          <w:szCs w:val="32"/>
        </w:rPr>
        <w:t>2020</w:t>
      </w:r>
      <w:r>
        <w:rPr>
          <w:rFonts w:ascii="Times New Roman" w:eastAsia="方正仿宋_GBK" w:hAnsi="Times New Roman" w:hint="eastAsia"/>
          <w:sz w:val="32"/>
          <w:szCs w:val="32"/>
        </w:rPr>
        <w:t>年，</w:t>
      </w:r>
      <w:r>
        <w:rPr>
          <w:rFonts w:ascii="Times New Roman" w:eastAsia="方正仿宋_GBK" w:hAnsi="Times New Roman" w:hint="eastAsia"/>
          <w:color w:val="000000"/>
          <w:sz w:val="32"/>
          <w:szCs w:val="32"/>
        </w:rPr>
        <w:t>关区两级海关共主动公开各类政府信息</w:t>
      </w:r>
      <w:r>
        <w:rPr>
          <w:rFonts w:ascii="Times New Roman" w:eastAsia="方正仿宋_GBK" w:hAnsi="Times New Roman"/>
          <w:color w:val="000000"/>
          <w:sz w:val="32"/>
          <w:szCs w:val="32"/>
        </w:rPr>
        <w:t>3873</w:t>
      </w:r>
      <w:r>
        <w:rPr>
          <w:rFonts w:ascii="Times New Roman" w:eastAsia="方正仿宋_GBK" w:hAnsi="Times New Roman" w:hint="eastAsia"/>
          <w:color w:val="000000"/>
          <w:sz w:val="32"/>
          <w:szCs w:val="32"/>
        </w:rPr>
        <w:t>条。</w:t>
      </w:r>
    </w:p>
    <w:p>
      <w:pPr>
        <w:pStyle w:val="29"/>
        <w:spacing w:line="560" w:lineRule="exact"/>
        <w:ind w:firstLineChars="200" w:firstLine="640"/>
        <w:rPr>
          <w:rFonts w:ascii="Times New Roman" w:eastAsia="方正仿宋_GBK" w:hAnsi="Times New Roman"/>
          <w:sz w:val="32"/>
          <w:szCs w:val="32"/>
        </w:rPr>
      </w:pPr>
      <w:r>
        <w:rPr>
          <w:rFonts w:ascii="方正楷体_GBK" w:eastAsia="方正楷体_GBK" w:hint="eastAsia"/>
          <w:b/>
          <w:sz w:val="32"/>
          <w:szCs w:val="32"/>
        </w:rPr>
        <w:t>（二）规范政府信息公开申请办理。</w:t>
      </w:r>
      <w:r>
        <w:rPr>
          <w:rFonts w:ascii="方正仿宋_GBK" w:eastAsia="方正仿宋_GBK" w:hint="eastAsia"/>
          <w:sz w:val="32"/>
          <w:szCs w:val="32"/>
        </w:rPr>
        <w:t>畅通政府信息公开申请渠道，</w:t>
      </w:r>
      <w:r>
        <w:rPr>
          <w:rFonts w:ascii="Times New Roman" w:eastAsia="方正仿宋_GBK" w:hAnsi="Times New Roman" w:hint="eastAsia"/>
          <w:sz w:val="32"/>
          <w:szCs w:val="32"/>
        </w:rPr>
        <w:t>在我关互联网门户网站发布关区两级海关受理依申请公开渠道信息，切实保障公众依法获取政府信息权利。完善依申请公开内部工作制度，完善接收、登记、审核、办理、答复工作流程，参照</w:t>
      </w:r>
      <w:r>
        <w:rPr>
          <w:rFonts w:ascii="Times New Roman" w:eastAsia="方正仿宋_GBK" w:hAnsi="Times New Roman"/>
          <w:sz w:val="32"/>
          <w:szCs w:val="32"/>
        </w:rPr>
        <w:t>海关</w:t>
      </w:r>
      <w:r>
        <w:rPr>
          <w:rFonts w:ascii="Times New Roman" w:eastAsia="方正仿宋_GBK" w:hAnsi="Times New Roman" w:hint="eastAsia"/>
          <w:sz w:val="32"/>
          <w:szCs w:val="32"/>
        </w:rPr>
        <w:t>总署模版制定关区依申请公开答复格式文书</w:t>
      </w:r>
      <w:r>
        <w:rPr>
          <w:rFonts w:ascii="Times New Roman" w:eastAsia="方正仿宋_GBK" w:hAnsi="Times New Roman"/>
          <w:sz w:val="32"/>
          <w:szCs w:val="32"/>
        </w:rPr>
        <w:t>6</w:t>
      </w:r>
      <w:r>
        <w:rPr>
          <w:rFonts w:ascii="Times New Roman" w:eastAsia="方正仿宋_GBK" w:hAnsi="Times New Roman" w:hint="eastAsia"/>
          <w:sz w:val="32"/>
          <w:szCs w:val="32"/>
        </w:rPr>
        <w:t>种。全年郑州关区</w:t>
      </w:r>
      <w:r>
        <w:rPr>
          <w:rFonts w:ascii="Times New Roman" w:eastAsia="方正仿宋_GBK" w:hAnsi="Times New Roman"/>
          <w:sz w:val="32"/>
          <w:szCs w:val="32"/>
        </w:rPr>
        <w:t>共</w:t>
      </w:r>
      <w:r>
        <w:rPr>
          <w:rFonts w:ascii="Times New Roman" w:eastAsia="方正仿宋_GBK" w:hAnsi="Times New Roman" w:hint="eastAsia"/>
          <w:sz w:val="32"/>
          <w:szCs w:val="32"/>
        </w:rPr>
        <w:t>办理依申请公开</w:t>
      </w:r>
      <w:r>
        <w:rPr>
          <w:rFonts w:ascii="Times New Roman" w:eastAsia="方正仿宋_GBK" w:hAnsi="Times New Roman"/>
          <w:sz w:val="32"/>
          <w:szCs w:val="32"/>
        </w:rPr>
        <w:t>5</w:t>
      </w:r>
      <w:r>
        <w:rPr>
          <w:rFonts w:ascii="Times New Roman" w:eastAsia="方正仿宋_GBK" w:hAnsi="Times New Roman" w:hint="eastAsia"/>
          <w:sz w:val="32"/>
          <w:szCs w:val="32"/>
        </w:rPr>
        <w:t>件，</w:t>
      </w:r>
      <w:r>
        <w:rPr>
          <w:rFonts w:ascii="Times New Roman" w:eastAsia="方正仿宋_GBK" w:hAnsi="Times New Roman"/>
          <w:sz w:val="32"/>
          <w:szCs w:val="32"/>
        </w:rPr>
        <w:t>无</w:t>
      </w:r>
      <w:r>
        <w:rPr>
          <w:rFonts w:ascii="Times New Roman" w:eastAsia="方正仿宋_GBK" w:hAnsi="Times New Roman" w:hint="eastAsia"/>
          <w:sz w:val="32"/>
          <w:szCs w:val="32"/>
        </w:rPr>
        <w:t>因申请信息公开导致行政复议、行政诉讼等情事发生。</w:t>
      </w:r>
    </w:p>
    <w:p>
      <w:pPr>
        <w:pStyle w:val="29"/>
        <w:spacing w:line="560" w:lineRule="exact"/>
        <w:ind w:firstLineChars="200" w:firstLine="640"/>
        <w:rPr>
          <w:rFonts w:ascii="Times New Roman" w:eastAsia="方正仿宋_GBK" w:hAnsi="Times New Roman"/>
          <w:sz w:val="32"/>
          <w:szCs w:val="32"/>
        </w:rPr>
      </w:pPr>
      <w:r>
        <w:rPr>
          <w:rFonts w:ascii="方正楷体_GBK" w:eastAsia="方正楷体_GBK" w:hint="eastAsia"/>
          <w:b/>
          <w:sz w:val="32"/>
          <w:szCs w:val="32"/>
        </w:rPr>
        <w:t>（三）优化政府信息公开平台建设。</w:t>
      </w:r>
      <w:r>
        <w:rPr>
          <w:rFonts w:ascii="Times New Roman" w:eastAsia="方正仿宋_GBK" w:hAnsi="Times New Roman" w:hint="eastAsia"/>
          <w:sz w:val="32"/>
          <w:szCs w:val="32"/>
        </w:rPr>
        <w:t>坚持把互联网门户网站作为政务公开的第一平台和主战场，按照</w:t>
      </w:r>
      <w:r>
        <w:rPr>
          <w:rFonts w:ascii="Times New Roman" w:eastAsia="方正仿宋_GBK" w:hAnsi="Times New Roman"/>
          <w:sz w:val="32"/>
          <w:szCs w:val="32"/>
        </w:rPr>
        <w:t>海关</w:t>
      </w:r>
      <w:r>
        <w:rPr>
          <w:rFonts w:ascii="Times New Roman" w:eastAsia="方正仿宋_GBK" w:hAnsi="Times New Roman" w:hint="eastAsia"/>
          <w:sz w:val="32"/>
          <w:szCs w:val="32"/>
        </w:rPr>
        <w:t>总署部署要求，年内两次对我关互联网门户网站进行规范和优化，统一栏目名称、规范发布内容、优化使用功能，对</w:t>
      </w:r>
      <w:r>
        <w:rPr>
          <w:rFonts w:ascii="Times New Roman" w:eastAsia="方正仿宋_GBK" w:hAnsi="Times New Roman"/>
          <w:sz w:val="32"/>
          <w:szCs w:val="32"/>
        </w:rPr>
        <w:t>10</w:t>
      </w:r>
      <w:r>
        <w:rPr>
          <w:rFonts w:ascii="Times New Roman" w:eastAsia="方正仿宋_GBK" w:hAnsi="Times New Roman" w:hint="eastAsia"/>
          <w:sz w:val="32"/>
          <w:szCs w:val="32"/>
        </w:rPr>
        <w:t>个模块</w:t>
      </w:r>
      <w:r>
        <w:rPr>
          <w:rFonts w:ascii="Times New Roman" w:eastAsia="方正仿宋_GBK" w:hAnsi="Times New Roman"/>
          <w:sz w:val="32"/>
          <w:szCs w:val="32"/>
        </w:rPr>
        <w:t>29</w:t>
      </w:r>
      <w:r>
        <w:rPr>
          <w:rFonts w:ascii="Times New Roman" w:eastAsia="方正仿宋_GBK" w:hAnsi="Times New Roman" w:hint="eastAsia"/>
          <w:sz w:val="32"/>
          <w:szCs w:val="32"/>
        </w:rPr>
        <w:t>个子项进行优化调整，多次在网站建设检查中取得满分成绩。加强隶属海关政务公开平台管理，建立职能部门协助隶属海关在郑州海关互联网门户网站发布有关政府信息的机制，在深入调研的基础上统一规范各隶属海关实体政务公开栏的模版，在确保隶属海关有关政府信息及时发布的基础上提升政务公开标准化规范化水平。</w:t>
      </w:r>
    </w:p>
    <w:p>
      <w:pPr>
        <w:pStyle w:val="29"/>
        <w:spacing w:line="560" w:lineRule="exact"/>
        <w:ind w:firstLineChars="200" w:firstLine="640"/>
        <w:rPr>
          <w:rFonts w:ascii="Times New Roman" w:eastAsia="方正仿宋_GBK" w:hAnsi="Times New Roman"/>
          <w:sz w:val="32"/>
          <w:szCs w:val="32"/>
        </w:rPr>
      </w:pPr>
      <w:r>
        <w:rPr>
          <w:rFonts w:ascii="方正楷体_GBK" w:eastAsia="方正楷体_GBK" w:hint="eastAsia"/>
          <w:b/>
          <w:sz w:val="32"/>
          <w:szCs w:val="32"/>
        </w:rPr>
        <w:t>（四）完善政务公开制度规范。</w:t>
      </w:r>
      <w:r>
        <w:rPr>
          <w:rFonts w:ascii="方正仿宋_GBK" w:eastAsia="方正仿宋_GBK" w:hint="eastAsia"/>
          <w:sz w:val="32"/>
          <w:szCs w:val="32"/>
        </w:rPr>
        <w:t>根据</w:t>
      </w:r>
      <w:r>
        <w:rPr>
          <w:rFonts w:ascii="Times New Roman" w:eastAsia="方正仿宋_GBK" w:hAnsi="Times New Roman" w:hint="eastAsia"/>
          <w:sz w:val="32"/>
          <w:szCs w:val="32"/>
        </w:rPr>
        <w:t>《条例》修订并正式发文印发《郑州海关政府信息公开管理规定》，全面明确关区政府信息公开的组织领导、公开的主体和范围、主动公开、依申请公开、政府信息公开审查和监督保障等事项，规范依申请公开工作规程、信息公开审查规程，细化文书模版，进一步规范关区两级海关政务公开工作，从制度层面加快推进关区两级海关政务公开规范化建设。从实际操作的角度，制定发布《郑州海关政府信息公开工作指引》，为政府信息公开岗位工作人员规范开展相关工作提供全面详细的指引。</w:t>
      </w:r>
    </w:p>
    <w:p>
      <w:pPr>
        <w:pStyle w:val="29"/>
        <w:spacing w:line="560" w:lineRule="exact"/>
        <w:ind w:firstLineChars="200" w:firstLine="640"/>
        <w:rPr>
          <w:rFonts w:ascii="Times New Roman" w:eastAsia="方正仿宋_GBK" w:hAnsi="Times New Roman"/>
          <w:sz w:val="32"/>
          <w:szCs w:val="32"/>
        </w:rPr>
      </w:pPr>
      <w:r>
        <w:rPr>
          <w:rFonts w:ascii="方正楷体_GBK" w:eastAsia="方正楷体_GBK" w:hint="eastAsia"/>
          <w:b/>
          <w:sz w:val="32"/>
          <w:szCs w:val="32"/>
        </w:rPr>
        <w:t>（五）加强政民互动交流。</w:t>
      </w:r>
      <w:r>
        <w:rPr>
          <w:rFonts w:ascii="方正仿宋_GBK" w:eastAsia="方正仿宋_GBK" w:hint="eastAsia"/>
          <w:sz w:val="32"/>
          <w:szCs w:val="32"/>
        </w:rPr>
        <w:t>加强</w:t>
      </w:r>
      <w:r>
        <w:rPr>
          <w:rFonts w:ascii="Times New Roman" w:eastAsia="方正仿宋_GBK" w:hAnsi="Times New Roman"/>
          <w:sz w:val="32"/>
          <w:szCs w:val="32"/>
        </w:rPr>
        <w:t>12360</w:t>
      </w:r>
      <w:r>
        <w:rPr>
          <w:rFonts w:ascii="Times New Roman" w:eastAsia="方正仿宋_GBK" w:hAnsi="Times New Roman" w:hint="eastAsia"/>
          <w:sz w:val="32"/>
          <w:szCs w:val="32"/>
        </w:rPr>
        <w:t>热线建设，保持接通率稳定的基础上，着力提升答复准确率，全年人工接听话务量</w:t>
      </w:r>
      <w:r>
        <w:rPr>
          <w:rFonts w:ascii="Times New Roman" w:eastAsia="方正仿宋_GBK" w:hAnsi="Times New Roman"/>
          <w:sz w:val="32"/>
          <w:szCs w:val="32"/>
        </w:rPr>
        <w:t>22305</w:t>
      </w:r>
      <w:r>
        <w:rPr>
          <w:rFonts w:ascii="Times New Roman" w:eastAsia="方正仿宋_GBK" w:hAnsi="Times New Roman" w:hint="eastAsia"/>
          <w:sz w:val="32"/>
          <w:szCs w:val="32"/>
        </w:rPr>
        <w:t>次，在全国直属海关中居第</w:t>
      </w:r>
      <w:r>
        <w:rPr>
          <w:rFonts w:ascii="Times New Roman" w:eastAsia="方正仿宋_GBK" w:hAnsi="Times New Roman"/>
          <w:sz w:val="32"/>
          <w:szCs w:val="32"/>
        </w:rPr>
        <w:t>16</w:t>
      </w:r>
      <w:r>
        <w:rPr>
          <w:rFonts w:ascii="Times New Roman" w:eastAsia="方正仿宋_GBK" w:hAnsi="Times New Roman" w:hint="eastAsia"/>
          <w:sz w:val="32"/>
          <w:szCs w:val="32"/>
        </w:rPr>
        <w:t>位，接通率、抽查合格率均符合</w:t>
      </w:r>
      <w:r>
        <w:rPr>
          <w:rFonts w:ascii="Times New Roman" w:eastAsia="方正仿宋_GBK" w:hAnsi="Times New Roman"/>
          <w:sz w:val="32"/>
          <w:szCs w:val="32"/>
        </w:rPr>
        <w:t>海关</w:t>
      </w:r>
      <w:r>
        <w:rPr>
          <w:rFonts w:ascii="Times New Roman" w:eastAsia="方正仿宋_GBK" w:hAnsi="Times New Roman" w:hint="eastAsia"/>
          <w:sz w:val="32"/>
          <w:szCs w:val="32"/>
        </w:rPr>
        <w:t>总署考核要求。发挥我关互联网门户网站交流互动栏目作用，对内外网办理栏目进行优化改版，</w:t>
      </w:r>
      <w:r>
        <w:rPr>
          <w:rFonts w:ascii="Times New Roman" w:eastAsia="方正仿宋_GBK" w:hAnsi="Times New Roman"/>
          <w:sz w:val="32"/>
          <w:szCs w:val="32"/>
        </w:rPr>
        <w:t>12360</w:t>
      </w:r>
      <w:r>
        <w:rPr>
          <w:rFonts w:ascii="Times New Roman" w:eastAsia="方正仿宋_GBK" w:hAnsi="Times New Roman" w:hint="eastAsia"/>
          <w:sz w:val="32"/>
          <w:szCs w:val="32"/>
        </w:rPr>
        <w:t>热线牵头负责业务咨询栏目的受理答复工作，全年共办理“业务咨询”“关长信箱”“信访留言”等留言咨询</w:t>
      </w:r>
      <w:r>
        <w:rPr>
          <w:rFonts w:ascii="Times New Roman" w:eastAsia="方正仿宋_GBK" w:hAnsi="Times New Roman"/>
          <w:sz w:val="32"/>
          <w:szCs w:val="32"/>
        </w:rPr>
        <w:t>196</w:t>
      </w:r>
      <w:r>
        <w:rPr>
          <w:rFonts w:ascii="Times New Roman" w:eastAsia="方正仿宋_GBK" w:hAnsi="Times New Roman" w:hint="eastAsia"/>
          <w:sz w:val="32"/>
          <w:szCs w:val="32"/>
        </w:rPr>
        <w:t>件次，及时回应解决企业群众诉求。抓住《条例》实施一周年、</w:t>
      </w:r>
      <w:r>
        <w:rPr>
          <w:rFonts w:ascii="Times New Roman" w:eastAsia="方正仿宋_GBK" w:hAnsi="Times New Roman"/>
          <w:sz w:val="32"/>
          <w:szCs w:val="32"/>
        </w:rPr>
        <w:t>12360</w:t>
      </w:r>
      <w:r>
        <w:rPr>
          <w:rFonts w:ascii="Times New Roman" w:eastAsia="方正仿宋_GBK" w:hAnsi="Times New Roman" w:hint="eastAsia"/>
          <w:sz w:val="32"/>
          <w:szCs w:val="32"/>
        </w:rPr>
        <w:t>热线开通十周年等时间节点，开展问卷调查活动，以问题为导向，持续改进政务公开薄弱环节。</w:t>
      </w:r>
    </w:p>
    <w:p>
      <w:pPr>
        <w:pStyle w:val="29"/>
        <w:spacing w:line="560" w:lineRule="exact"/>
        <w:ind w:firstLineChars="200" w:firstLine="640"/>
        <w:rPr>
          <w:rFonts w:ascii="方正楷体_GBK" w:eastAsia="方正楷体_GBK"/>
          <w:b/>
          <w:sz w:val="32"/>
          <w:szCs w:val="32"/>
        </w:rPr>
      </w:pPr>
      <w:r>
        <w:rPr>
          <w:rFonts w:ascii="方正楷体_GBK" w:eastAsia="方正楷体_GBK" w:hint="eastAsia"/>
          <w:b/>
          <w:sz w:val="32"/>
          <w:szCs w:val="32"/>
        </w:rPr>
        <w:t>（六）规范编制并发布政府信息公开年报。</w:t>
      </w:r>
      <w:r>
        <w:rPr>
          <w:rFonts w:ascii="方正仿宋_GBK" w:eastAsia="方正仿宋_GBK" w:hint="eastAsia"/>
          <w:sz w:val="32"/>
          <w:szCs w:val="32"/>
        </w:rPr>
        <w:t>组织完成郑州海关本级机关、各隶属海关和全关区年度政府信息公开工作报告的编制和对外公开，确保报告数据可靠、内容全面、填报准确。</w:t>
      </w:r>
    </w:p>
    <w:p>
      <w:pPr>
        <w:pStyle w:val="29"/>
        <w:spacing w:line="560" w:lineRule="exact"/>
        <w:ind w:firstLineChars="200" w:firstLine="640"/>
        <w:rPr>
          <w:rFonts w:ascii="方正楷体_GBK" w:eastAsia="方正楷体_GBK"/>
          <w:b/>
          <w:sz w:val="32"/>
          <w:szCs w:val="32"/>
        </w:rPr>
      </w:pPr>
      <w:r>
        <w:rPr>
          <w:rFonts w:ascii="方正楷体_GBK" w:eastAsia="方正楷体_GBK" w:hint="eastAsia"/>
          <w:b/>
          <w:sz w:val="32"/>
          <w:szCs w:val="32"/>
        </w:rPr>
        <w:t>（七）强化政务公开监督保障。</w:t>
      </w:r>
      <w:r>
        <w:rPr>
          <w:rFonts w:ascii="方正仿宋_GBK" w:eastAsia="方正仿宋_GBK" w:hint="eastAsia"/>
          <w:sz w:val="32"/>
          <w:szCs w:val="32"/>
        </w:rPr>
        <w:t>明确领导责任，重新明确关区政务公开领导小组及其办公室组成和职责，关长、党委书记任领导小组组长，重新确定关区两级海关政务公开工作分管领导并将有关信息向办公厅报备。加强组织领导，发挥关区两级办公室政府信息公开主管部门作用，推进、指导、协调和监督关区政府信息公开工作开展，其中总关办公室根据</w:t>
      </w:r>
      <w:r>
        <w:rPr>
          <w:rFonts w:ascii="Times New Roman" w:eastAsia="方正仿宋_GBK" w:hAnsi="Times New Roman" w:hint="eastAsia"/>
          <w:sz w:val="32"/>
          <w:szCs w:val="32"/>
        </w:rPr>
        <w:t>《</w:t>
      </w:r>
      <w:r>
        <w:rPr>
          <w:rFonts w:ascii="Times New Roman" w:eastAsia="方正仿宋_GBK" w:hAnsi="Times New Roman"/>
          <w:sz w:val="32"/>
          <w:szCs w:val="32"/>
        </w:rPr>
        <w:t>2020</w:t>
      </w:r>
      <w:r>
        <w:rPr>
          <w:rFonts w:ascii="Times New Roman" w:eastAsia="方正仿宋_GBK" w:hAnsi="Times New Roman" w:hint="eastAsia"/>
          <w:sz w:val="32"/>
          <w:szCs w:val="32"/>
        </w:rPr>
        <w:t>年海关政务公开工作要点》细化明确关区政务公开工作任务</w:t>
      </w:r>
      <w:r>
        <w:rPr>
          <w:rFonts w:ascii="Times New Roman" w:eastAsia="方正仿宋_GBK" w:hAnsi="Times New Roman"/>
          <w:sz w:val="32"/>
          <w:szCs w:val="32"/>
        </w:rPr>
        <w:t>29</w:t>
      </w:r>
      <w:r>
        <w:rPr>
          <w:rFonts w:ascii="Times New Roman" w:eastAsia="方正仿宋_GBK" w:hAnsi="Times New Roman" w:hint="eastAsia"/>
          <w:sz w:val="32"/>
          <w:szCs w:val="32"/>
        </w:rPr>
        <w:t>项并跟踪</w:t>
      </w:r>
      <w:r>
        <w:rPr>
          <w:rFonts w:ascii="Times New Roman" w:eastAsia="方正仿宋_GBK" w:hAnsi="Times New Roman"/>
          <w:sz w:val="32"/>
          <w:szCs w:val="32"/>
        </w:rPr>
        <w:t>督促</w:t>
      </w:r>
      <w:r>
        <w:rPr>
          <w:rFonts w:ascii="Times New Roman" w:eastAsia="方正仿宋_GBK" w:hAnsi="Times New Roman" w:hint="eastAsia"/>
          <w:sz w:val="32"/>
          <w:szCs w:val="32"/>
        </w:rPr>
        <w:t>落实，到隶属海关现场调研指导</w:t>
      </w:r>
      <w:r>
        <w:rPr>
          <w:rFonts w:ascii="Times New Roman" w:eastAsia="方正仿宋_GBK" w:hAnsi="Times New Roman"/>
          <w:sz w:val="32"/>
          <w:szCs w:val="32"/>
        </w:rPr>
        <w:t>3</w:t>
      </w:r>
      <w:r>
        <w:rPr>
          <w:rFonts w:ascii="Times New Roman" w:eastAsia="方正仿宋_GBK" w:hAnsi="Times New Roman" w:hint="eastAsia"/>
          <w:sz w:val="32"/>
          <w:szCs w:val="32"/>
        </w:rPr>
        <w:t>次。加强业务培训指导，通过关区综合政务暨</w:t>
      </w:r>
      <w:r>
        <w:rPr>
          <w:rFonts w:ascii="Times New Roman" w:eastAsia="方正仿宋_GBK" w:hAnsi="Times New Roman"/>
          <w:sz w:val="32"/>
          <w:szCs w:val="32"/>
        </w:rPr>
        <w:t>12360</w:t>
      </w:r>
      <w:r>
        <w:rPr>
          <w:rFonts w:ascii="Times New Roman" w:eastAsia="方正仿宋_GBK" w:hAnsi="Times New Roman" w:hint="eastAsia"/>
          <w:sz w:val="32"/>
          <w:szCs w:val="32"/>
        </w:rPr>
        <w:t>热线联络员培训班、隶属海关政务公开岗位工作人员依申请公开集中研讨等多种形式，提升政务公开业务能力水平。加强监督检查，建立互联网门户网站日常巡网机制，对加强日常检查，确保对外发布主动公开信息准确，并将政务公开工作纳入</w:t>
      </w:r>
      <w:r>
        <w:rPr>
          <w:rFonts w:ascii="Times New Roman" w:eastAsia="方正仿宋_GBK" w:hAnsi="Times New Roman"/>
          <w:sz w:val="32"/>
          <w:szCs w:val="32"/>
        </w:rPr>
        <w:t>2020</w:t>
      </w:r>
      <w:r>
        <w:rPr>
          <w:rFonts w:ascii="Times New Roman" w:eastAsia="方正仿宋_GBK" w:hAnsi="Times New Roman" w:hint="eastAsia"/>
          <w:sz w:val="32"/>
          <w:szCs w:val="32"/>
        </w:rPr>
        <w:t>年郑州海关综合性检查，对</w:t>
      </w:r>
      <w:r>
        <w:rPr>
          <w:rFonts w:ascii="Times New Roman" w:eastAsia="方正仿宋_GBK" w:hAnsi="Times New Roman"/>
          <w:sz w:val="32"/>
          <w:szCs w:val="32"/>
        </w:rPr>
        <w:t>8</w:t>
      </w:r>
      <w:r>
        <w:rPr>
          <w:rFonts w:ascii="Times New Roman" w:eastAsia="方正仿宋_GBK" w:hAnsi="Times New Roman" w:hint="eastAsia"/>
          <w:sz w:val="32"/>
          <w:szCs w:val="32"/>
        </w:rPr>
        <w:t>个隶属海关单位进行了实地抽查，举一反三，狠抓问题整改落实，切实提升关区政务</w:t>
      </w:r>
      <w:r>
        <w:rPr>
          <w:rFonts w:ascii="Times New Roman" w:eastAsia="方正仿宋_GBK" w:hAnsi="Times New Roman"/>
          <w:sz w:val="32"/>
          <w:szCs w:val="32"/>
        </w:rPr>
        <w:t>公开</w:t>
      </w:r>
      <w:r>
        <w:rPr>
          <w:rFonts w:ascii="Times New Roman" w:eastAsia="方正仿宋_GBK" w:hAnsi="Times New Roman" w:hint="eastAsia"/>
          <w:sz w:val="32"/>
          <w:szCs w:val="32"/>
        </w:rPr>
        <w:t>工作规范化水平。</w:t>
      </w:r>
    </w:p>
    <w:p>
      <w:pPr>
        <w:pStyle w:val="29"/>
        <w:adjustRightInd w:val="0"/>
        <w:snapToGrid w:val="0"/>
        <w:spacing w:line="560" w:lineRule="exact"/>
        <w:ind w:firstLineChars="200" w:firstLine="640"/>
        <w:rPr>
          <w:rFonts w:ascii="方正黑体_GBK" w:eastAsia="方正黑体_GBK" w:cs="楷体_GB2312"/>
          <w:bCs/>
          <w:sz w:val="32"/>
          <w:szCs w:val="32"/>
          <w:shd w:val="clear" w:color="auto" w:fill="FFFFFF"/>
        </w:rPr>
      </w:pPr>
      <w:r>
        <w:rPr>
          <w:rFonts w:ascii="方正黑体_GBK" w:eastAsia="方正黑体_GBK" w:cs="楷体_GB2312" w:hint="eastAsia"/>
          <w:bCs/>
          <w:sz w:val="32"/>
          <w:szCs w:val="32"/>
          <w:shd w:val="clear" w:color="auto" w:fill="FFFFFF"/>
        </w:rPr>
        <w:t>二、主动公开政府信息情况</w:t>
      </w:r>
    </w:p>
    <w:tbl>
      <w:tblPr>
        <w:jc w:val="center"/>
        <w:tblW w:w="9000" w:type="dxa"/>
        <w:tblBorders>
          <w:top w:val="none" w:sz="0" w:space="0" w:color="auto"/>
          <w:left w:val="none" w:sz="0" w:space="0" w:color="auto"/>
          <w:bottom w:val="none" w:sz="0" w:space="0" w:color="auto"/>
          <w:right w:val="none" w:sz="0" w:space="0" w:color="auto"/>
        </w:tblBorders>
        <w:tblLayout w:type="fixed"/>
        <w:tblCellMar>
          <w:top w:w="0" w:type="dxa"/>
          <w:left w:w="0" w:type="dxa"/>
          <w:bottom w:w="0" w:type="dxa"/>
          <w:right w:w="0" w:type="dxa"/>
        </w:tblCellMar>
      </w:tblPr>
      <w:tblGrid>
        <w:gridCol w:w="2720"/>
        <w:gridCol w:w="2183"/>
        <w:gridCol w:w="1936"/>
        <w:gridCol w:w="2156"/>
      </w:tblGrid>
      <w:tr>
        <w:trPr>
          <w:trHeight w:val="495"/>
        </w:trPr>
        <w:tc>
          <w:tcPr>
            <w:tcW w:w="8995" w:type="dxa"/>
            <w:gridSpan w:val="4"/>
            <w:tcBorders>
              <w:top w:val="single" w:sz="8" w:space="0" w:color="auto"/>
              <w:left w:val="single" w:sz="8" w:space="0" w:color="auto"/>
              <w:bottom w:val="single" w:sz="8" w:space="0" w:color="auto"/>
              <w:right w:val="single" w:sz="8" w:space="0" w:color="auto"/>
              <w:tl2br w:val="nil"/>
              <w:tr2bl w:val="nil"/>
            </w:tcBorders>
            <w:shd w:val="clear" w:color="auto" w:fill="C6D9F1"/>
            <w:tcMar>
              <w:left w:w="108" w:type="dxa"/>
              <w:right w:w="108" w:type="dxa"/>
            </w:tcMar>
            <w:vAlign w:val="center"/>
          </w:tcPr>
          <w:p>
            <w:pPr>
              <w:pStyle w:val="29"/>
              <w:widowControl/>
              <w:jc w:val="center"/>
              <w:rPr>
                <w:sz w:val="24"/>
                <w:szCs w:val="24"/>
              </w:rPr>
            </w:pPr>
            <w:r>
              <w:rPr>
                <w:rFonts w:ascii="宋体" w:cs="宋体" w:hint="eastAsia"/>
                <w:kern w:val="0"/>
                <w:sz w:val="24"/>
                <w:szCs w:val="24"/>
              </w:rPr>
              <w:t>第二十条第（一）项</w:t>
            </w:r>
          </w:p>
        </w:tc>
      </w:tr>
      <w:tr>
        <w:trPr>
          <w:trHeight w:val="680"/>
        </w:trPr>
        <w:tc>
          <w:tcPr>
            <w:tcW w:w="2720" w:type="dxa"/>
            <w:tcBorders>
              <w:top w:val="nil"/>
              <w:left w:val="single" w:sz="8" w:space="0" w:color="auto"/>
              <w:bottom w:val="single" w:sz="8" w:space="0" w:color="auto"/>
              <w:right w:val="single" w:sz="8" w:space="0" w:color="auto"/>
              <w:tl2br w:val="nil"/>
              <w:tr2bl w:val="nil"/>
            </w:tcBorders>
            <w:tcMar>
              <w:left w:w="108" w:type="dxa"/>
              <w:right w:w="108" w:type="dxa"/>
            </w:tcMar>
            <w:vAlign w:val="center"/>
          </w:tcPr>
          <w:p>
            <w:pPr>
              <w:pStyle w:val="29"/>
              <w:widowControl/>
              <w:jc w:val="center"/>
              <w:rPr>
                <w:sz w:val="24"/>
                <w:szCs w:val="24"/>
              </w:rPr>
            </w:pPr>
            <w:r>
              <w:rPr>
                <w:rFonts w:ascii="宋体" w:cs="宋体" w:hint="eastAsia"/>
                <w:kern w:val="0"/>
                <w:sz w:val="24"/>
                <w:szCs w:val="24"/>
              </w:rPr>
              <w:t>信息内容</w:t>
            </w:r>
          </w:p>
        </w:tc>
        <w:tc>
          <w:tcPr>
            <w:tcW w:w="2183" w:type="dxa"/>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29"/>
              <w:widowControl/>
              <w:jc w:val="center"/>
              <w:rPr>
                <w:sz w:val="24"/>
                <w:szCs w:val="24"/>
              </w:rPr>
            </w:pPr>
            <w:r>
              <w:rPr>
                <w:rFonts w:ascii="宋体" w:cs="宋体" w:hint="eastAsia"/>
                <w:kern w:val="0"/>
                <w:sz w:val="24"/>
                <w:szCs w:val="24"/>
              </w:rPr>
              <w:t>本年新</w:t>
            </w:r>
            <w:r>
              <w:rPr>
                <w:rFonts w:hint="eastAsia"/>
                <w:kern w:val="0"/>
                <w:sz w:val="24"/>
                <w:szCs w:val="24"/>
              </w:rPr>
              <w:t>制作数量</w:t>
            </w:r>
          </w:p>
        </w:tc>
        <w:tc>
          <w:tcPr>
            <w:tcW w:w="1936" w:type="dxa"/>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29"/>
              <w:widowControl/>
              <w:jc w:val="center"/>
              <w:rPr>
                <w:sz w:val="24"/>
                <w:szCs w:val="24"/>
              </w:rPr>
            </w:pPr>
            <w:r>
              <w:rPr>
                <w:rFonts w:ascii="宋体" w:cs="宋体" w:hint="eastAsia"/>
                <w:kern w:val="0"/>
                <w:sz w:val="24"/>
                <w:szCs w:val="24"/>
              </w:rPr>
              <w:t>本年新</w:t>
            </w:r>
            <w:r>
              <w:rPr>
                <w:rFonts w:hint="eastAsia"/>
                <w:kern w:val="0"/>
                <w:sz w:val="24"/>
                <w:szCs w:val="24"/>
              </w:rPr>
              <w:t>公开数量</w:t>
            </w:r>
          </w:p>
        </w:tc>
        <w:tc>
          <w:tcPr>
            <w:tcW w:w="2156" w:type="dxa"/>
            <w:tcBorders>
              <w:top w:val="nil"/>
              <w:left w:val="nil"/>
              <w:bottom w:val="single" w:sz="8" w:space="0" w:color="auto"/>
              <w:right w:val="single" w:sz="8" w:space="0" w:color="auto"/>
              <w:tl2br w:val="nil"/>
              <w:tr2bl w:val="nil"/>
            </w:tcBorders>
            <w:vAlign w:val="center"/>
          </w:tcPr>
          <w:p>
            <w:pPr>
              <w:pStyle w:val="29"/>
              <w:widowControl/>
              <w:jc w:val="center"/>
              <w:rPr>
                <w:sz w:val="24"/>
                <w:szCs w:val="24"/>
              </w:rPr>
            </w:pPr>
            <w:r>
              <w:rPr>
                <w:rFonts w:ascii="宋体" w:cs="宋体" w:hint="eastAsia"/>
                <w:kern w:val="0"/>
                <w:sz w:val="24"/>
                <w:szCs w:val="24"/>
              </w:rPr>
              <w:t>对外公开总数量</w:t>
            </w:r>
          </w:p>
        </w:tc>
      </w:tr>
      <w:tr>
        <w:trPr>
          <w:trHeight w:val="510"/>
        </w:trPr>
        <w:tc>
          <w:tcPr>
            <w:tcW w:w="2720" w:type="dxa"/>
            <w:tcBorders>
              <w:top w:val="nil"/>
              <w:left w:val="single" w:sz="8" w:space="0" w:color="auto"/>
              <w:bottom w:val="single" w:sz="8" w:space="0" w:color="auto"/>
              <w:right w:val="single" w:sz="8" w:space="0" w:color="auto"/>
              <w:tl2br w:val="nil"/>
              <w:tr2bl w:val="nil"/>
            </w:tcBorders>
            <w:tcMar>
              <w:left w:w="108" w:type="dxa"/>
              <w:right w:w="108" w:type="dxa"/>
            </w:tcMar>
            <w:vAlign w:val="center"/>
          </w:tcPr>
          <w:p>
            <w:pPr>
              <w:pStyle w:val="29"/>
              <w:widowControl/>
              <w:adjustRightInd w:val="0"/>
              <w:snapToGrid w:val="0"/>
              <w:spacing w:line="260" w:lineRule="exact"/>
              <w:jc w:val="left"/>
              <w:rPr>
                <w:sz w:val="24"/>
                <w:szCs w:val="24"/>
              </w:rPr>
            </w:pPr>
            <w:r>
              <w:rPr>
                <w:rFonts w:ascii="宋体" w:cs="宋体" w:hint="eastAsia"/>
                <w:kern w:val="0"/>
                <w:sz w:val="24"/>
                <w:szCs w:val="24"/>
              </w:rPr>
              <w:t>规章</w:t>
            </w:r>
          </w:p>
        </w:tc>
        <w:tc>
          <w:tcPr>
            <w:tcW w:w="2183"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1936"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2156" w:type="dxa"/>
            <w:tcBorders>
              <w:top w:val="nil"/>
              <w:left w:val="nil"/>
              <w:bottom w:val="single" w:sz="8" w:space="0" w:color="auto"/>
              <w:right w:val="single" w:sz="8" w:space="0" w:color="auto"/>
              <w:tl2br w:val="nil"/>
              <w:tr2bl w:val="nil"/>
            </w:tcBorders>
            <w:vAlign w:val="center"/>
          </w:tcPr>
          <w:p>
            <w:pPr>
              <w:pStyle w:val="29"/>
              <w:jc w:val="center"/>
              <w:rPr>
                <w:rFonts w:eastAsia="方正仿宋_GBK"/>
                <w:sz w:val="24"/>
                <w:szCs w:val="24"/>
              </w:rPr>
            </w:pPr>
            <w:r>
              <w:rPr>
                <w:rFonts w:eastAsia="方正仿宋_GBK"/>
                <w:sz w:val="24"/>
                <w:szCs w:val="24"/>
              </w:rPr>
              <w:t>0</w:t>
            </w:r>
          </w:p>
        </w:tc>
      </w:tr>
      <w:tr>
        <w:trPr>
          <w:trHeight w:val="510"/>
        </w:trPr>
        <w:tc>
          <w:tcPr>
            <w:tcW w:w="2720" w:type="dxa"/>
            <w:tcBorders>
              <w:top w:val="nil"/>
              <w:left w:val="single" w:sz="8" w:space="0" w:color="auto"/>
              <w:bottom w:val="single" w:sz="8" w:space="0" w:color="auto"/>
              <w:right w:val="single" w:sz="8" w:space="0" w:color="auto"/>
              <w:tl2br w:val="nil"/>
              <w:tr2bl w:val="nil"/>
            </w:tcBorders>
            <w:tcMar>
              <w:left w:w="108" w:type="dxa"/>
              <w:right w:w="108" w:type="dxa"/>
            </w:tcMar>
            <w:vAlign w:val="center"/>
          </w:tcPr>
          <w:p>
            <w:pPr>
              <w:pStyle w:val="29"/>
              <w:widowControl/>
              <w:adjustRightInd w:val="0"/>
              <w:snapToGrid w:val="0"/>
              <w:spacing w:line="260" w:lineRule="exact"/>
              <w:jc w:val="left"/>
              <w:rPr>
                <w:sz w:val="24"/>
                <w:szCs w:val="24"/>
              </w:rPr>
            </w:pPr>
            <w:r>
              <w:rPr>
                <w:rFonts w:ascii="宋体" w:cs="宋体" w:hint="eastAsia"/>
                <w:kern w:val="0"/>
                <w:sz w:val="24"/>
                <w:szCs w:val="24"/>
              </w:rPr>
              <w:t>规范性文件</w:t>
            </w:r>
          </w:p>
        </w:tc>
        <w:tc>
          <w:tcPr>
            <w:tcW w:w="2183"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2</w:t>
            </w:r>
          </w:p>
        </w:tc>
        <w:tc>
          <w:tcPr>
            <w:tcW w:w="1936"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2</w:t>
            </w:r>
          </w:p>
        </w:tc>
        <w:tc>
          <w:tcPr>
            <w:tcW w:w="2156" w:type="dxa"/>
            <w:tcBorders>
              <w:top w:val="nil"/>
              <w:left w:val="nil"/>
              <w:bottom w:val="single" w:sz="8" w:space="0" w:color="auto"/>
              <w:right w:val="single" w:sz="8" w:space="0" w:color="auto"/>
              <w:tl2br w:val="nil"/>
              <w:tr2bl w:val="nil"/>
            </w:tcBorders>
            <w:vAlign w:val="center"/>
          </w:tcPr>
          <w:p>
            <w:pPr>
              <w:pStyle w:val="29"/>
              <w:jc w:val="center"/>
              <w:rPr>
                <w:rFonts w:eastAsia="方正仿宋_GBK"/>
                <w:sz w:val="24"/>
                <w:szCs w:val="24"/>
              </w:rPr>
            </w:pPr>
            <w:r>
              <w:rPr>
                <w:rFonts w:eastAsia="方正仿宋_GBK"/>
                <w:sz w:val="24"/>
                <w:szCs w:val="24"/>
              </w:rPr>
              <w:t>11</w:t>
            </w:r>
          </w:p>
        </w:tc>
      </w:tr>
      <w:tr>
        <w:trPr>
          <w:trHeight w:val="435"/>
        </w:trPr>
        <w:tc>
          <w:tcPr>
            <w:tcW w:w="8995" w:type="dxa"/>
            <w:gridSpan w:val="4"/>
            <w:tcBorders>
              <w:top w:val="nil"/>
              <w:left w:val="single" w:sz="8" w:space="0" w:color="auto"/>
              <w:bottom w:val="single" w:sz="8" w:space="0" w:color="auto"/>
              <w:right w:val="single" w:sz="8" w:space="0" w:color="auto"/>
              <w:tl2br w:val="nil"/>
              <w:tr2bl w:val="nil"/>
            </w:tcBorders>
            <w:shd w:val="clear" w:color="auto" w:fill="C6D9F1"/>
            <w:tcMar>
              <w:left w:w="108" w:type="dxa"/>
              <w:right w:w="108" w:type="dxa"/>
            </w:tcMar>
            <w:vAlign w:val="center"/>
          </w:tcPr>
          <w:p>
            <w:pPr>
              <w:pStyle w:val="29"/>
              <w:widowControl/>
              <w:jc w:val="center"/>
              <w:rPr>
                <w:sz w:val="24"/>
                <w:szCs w:val="24"/>
              </w:rPr>
            </w:pPr>
            <w:r>
              <w:rPr>
                <w:rFonts w:ascii="宋体" w:cs="宋体" w:hint="eastAsia"/>
                <w:kern w:val="0"/>
                <w:sz w:val="24"/>
                <w:szCs w:val="24"/>
              </w:rPr>
              <w:t>第二十条第（五）项</w:t>
            </w:r>
          </w:p>
        </w:tc>
      </w:tr>
      <w:tr>
        <w:trPr>
          <w:trHeight w:val="680"/>
        </w:trPr>
        <w:tc>
          <w:tcPr>
            <w:tcW w:w="2720" w:type="dxa"/>
            <w:tcBorders>
              <w:top w:val="nil"/>
              <w:left w:val="single" w:sz="8" w:space="0" w:color="auto"/>
              <w:bottom w:val="single" w:sz="8" w:space="0" w:color="auto"/>
              <w:right w:val="single" w:sz="8" w:space="0" w:color="auto"/>
              <w:tl2br w:val="nil"/>
              <w:tr2bl w:val="nil"/>
            </w:tcBorders>
            <w:tcMar>
              <w:left w:w="108" w:type="dxa"/>
              <w:right w:w="108" w:type="dxa"/>
            </w:tcMar>
            <w:vAlign w:val="center"/>
          </w:tcPr>
          <w:p>
            <w:pPr>
              <w:pStyle w:val="29"/>
              <w:widowControl/>
              <w:adjustRightInd w:val="0"/>
              <w:snapToGrid w:val="0"/>
              <w:spacing w:line="260" w:lineRule="exact"/>
              <w:jc w:val="center"/>
              <w:rPr>
                <w:sz w:val="24"/>
                <w:szCs w:val="24"/>
              </w:rPr>
            </w:pPr>
            <w:r>
              <w:rPr>
                <w:rFonts w:ascii="宋体" w:cs="宋体" w:hint="eastAsia"/>
                <w:kern w:val="0"/>
                <w:sz w:val="24"/>
                <w:szCs w:val="24"/>
              </w:rPr>
              <w:t>信息内容</w:t>
            </w:r>
          </w:p>
        </w:tc>
        <w:tc>
          <w:tcPr>
            <w:tcW w:w="2183" w:type="dxa"/>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29"/>
              <w:widowControl/>
              <w:adjustRightInd w:val="0"/>
              <w:snapToGrid w:val="0"/>
              <w:spacing w:line="260" w:lineRule="exact"/>
              <w:jc w:val="center"/>
              <w:rPr>
                <w:sz w:val="24"/>
                <w:szCs w:val="24"/>
              </w:rPr>
            </w:pPr>
            <w:r>
              <w:rPr>
                <w:rFonts w:ascii="宋体" w:cs="宋体" w:hint="eastAsia"/>
                <w:kern w:val="0"/>
                <w:sz w:val="24"/>
                <w:szCs w:val="24"/>
              </w:rPr>
              <w:t>本年项目数量</w:t>
            </w:r>
          </w:p>
        </w:tc>
        <w:tc>
          <w:tcPr>
            <w:tcW w:w="1936" w:type="dxa"/>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29"/>
              <w:widowControl/>
              <w:adjustRightInd w:val="0"/>
              <w:snapToGrid w:val="0"/>
              <w:spacing w:line="260" w:lineRule="exact"/>
              <w:jc w:val="center"/>
              <w:rPr>
                <w:sz w:val="24"/>
                <w:szCs w:val="24"/>
              </w:rPr>
            </w:pPr>
            <w:r>
              <w:rPr>
                <w:rFonts w:ascii="宋体" w:cs="宋体" w:hint="eastAsia"/>
                <w:kern w:val="0"/>
                <w:sz w:val="24"/>
                <w:szCs w:val="24"/>
              </w:rPr>
              <w:t>相比上年增/减</w:t>
            </w:r>
          </w:p>
        </w:tc>
        <w:tc>
          <w:tcPr>
            <w:tcW w:w="2156" w:type="dxa"/>
            <w:tcBorders>
              <w:top w:val="nil"/>
              <w:left w:val="nil"/>
              <w:bottom w:val="single" w:sz="8" w:space="0" w:color="auto"/>
              <w:right w:val="single" w:sz="8" w:space="0" w:color="auto"/>
              <w:tl2br w:val="nil"/>
              <w:tr2bl w:val="nil"/>
            </w:tcBorders>
            <w:vAlign w:val="center"/>
          </w:tcPr>
          <w:p>
            <w:pPr>
              <w:pStyle w:val="29"/>
              <w:widowControl/>
              <w:adjustRightInd w:val="0"/>
              <w:snapToGrid w:val="0"/>
              <w:spacing w:line="260" w:lineRule="exact"/>
              <w:jc w:val="center"/>
              <w:rPr>
                <w:sz w:val="24"/>
                <w:szCs w:val="24"/>
              </w:rPr>
            </w:pPr>
            <w:r>
              <w:rPr>
                <w:rFonts w:ascii="宋体" w:cs="宋体" w:hint="eastAsia"/>
                <w:kern w:val="0"/>
                <w:sz w:val="24"/>
                <w:szCs w:val="24"/>
              </w:rPr>
              <w:t>处理决定数量</w:t>
            </w:r>
          </w:p>
        </w:tc>
      </w:tr>
      <w:tr>
        <w:trPr>
          <w:trHeight w:val="510"/>
        </w:trPr>
        <w:tc>
          <w:tcPr>
            <w:tcW w:w="2720" w:type="dxa"/>
            <w:tcBorders>
              <w:top w:val="nil"/>
              <w:left w:val="single" w:sz="8" w:space="0" w:color="auto"/>
              <w:bottom w:val="single" w:sz="8" w:space="0" w:color="auto"/>
              <w:right w:val="single" w:sz="8" w:space="0" w:color="auto"/>
              <w:tl2br w:val="nil"/>
              <w:tr2bl w:val="nil"/>
            </w:tcBorders>
            <w:tcMar>
              <w:left w:w="108" w:type="dxa"/>
              <w:right w:w="108" w:type="dxa"/>
            </w:tcMar>
            <w:vAlign w:val="center"/>
          </w:tcPr>
          <w:p>
            <w:pPr>
              <w:pStyle w:val="29"/>
              <w:widowControl/>
              <w:adjustRightInd w:val="0"/>
              <w:snapToGrid w:val="0"/>
              <w:spacing w:line="260" w:lineRule="exact"/>
              <w:jc w:val="left"/>
              <w:rPr>
                <w:sz w:val="24"/>
                <w:szCs w:val="24"/>
              </w:rPr>
            </w:pPr>
            <w:r>
              <w:rPr>
                <w:rFonts w:ascii="宋体" w:cs="宋体" w:hint="eastAsia"/>
                <w:kern w:val="0"/>
                <w:sz w:val="24"/>
                <w:szCs w:val="24"/>
              </w:rPr>
              <w:t>行政许可</w:t>
            </w:r>
          </w:p>
        </w:tc>
        <w:tc>
          <w:tcPr>
            <w:tcW w:w="2183"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cs="宋体"/>
                <w:sz w:val="24"/>
                <w:szCs w:val="24"/>
              </w:rPr>
            </w:pPr>
            <w:r>
              <w:rPr>
                <w:rFonts w:eastAsia="方正仿宋_GBK" w:cs="宋体"/>
                <w:sz w:val="24"/>
                <w:szCs w:val="24"/>
              </w:rPr>
              <w:t>1</w:t>
            </w:r>
            <w:r>
              <w:rPr>
                <w:rFonts w:eastAsia="方正仿宋_GBK" w:cs="宋体" w:hint="eastAsia"/>
                <w:sz w:val="24"/>
                <w:szCs w:val="24"/>
              </w:rPr>
              <w:t>0</w:t>
            </w:r>
          </w:p>
        </w:tc>
        <w:tc>
          <w:tcPr>
            <w:tcW w:w="1936"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cs="宋体"/>
                <w:sz w:val="24"/>
                <w:szCs w:val="24"/>
              </w:rPr>
            </w:pPr>
            <w:r>
              <w:rPr>
                <w:rFonts w:eastAsia="方正仿宋_GBK" w:cs="宋体" w:hint="eastAsia"/>
                <w:sz w:val="24"/>
                <w:szCs w:val="24"/>
              </w:rPr>
              <w:t>0</w:t>
            </w:r>
          </w:p>
        </w:tc>
        <w:tc>
          <w:tcPr>
            <w:tcW w:w="2156" w:type="dxa"/>
            <w:tcBorders>
              <w:top w:val="nil"/>
              <w:left w:val="nil"/>
              <w:bottom w:val="single" w:sz="8" w:space="0" w:color="auto"/>
              <w:right w:val="single" w:sz="8" w:space="0" w:color="auto"/>
              <w:tl2br w:val="nil"/>
              <w:tr2bl w:val="nil"/>
            </w:tcBorders>
            <w:vAlign w:val="center"/>
          </w:tcPr>
          <w:p>
            <w:pPr>
              <w:pStyle w:val="29"/>
              <w:jc w:val="center"/>
              <w:rPr>
                <w:rFonts w:eastAsia="方正仿宋_GBK" w:cs="宋体"/>
                <w:sz w:val="24"/>
                <w:szCs w:val="24"/>
              </w:rPr>
            </w:pPr>
            <w:r>
              <w:rPr>
                <w:rFonts w:eastAsia="方正仿宋_GBK" w:cs="宋体"/>
                <w:sz w:val="24"/>
                <w:szCs w:val="24"/>
              </w:rPr>
              <w:t>1</w:t>
            </w:r>
            <w:r>
              <w:rPr>
                <w:rFonts w:eastAsia="方正仿宋_GBK" w:cs="宋体" w:hint="eastAsia"/>
                <w:sz w:val="24"/>
                <w:szCs w:val="24"/>
              </w:rPr>
              <w:t>06</w:t>
            </w:r>
            <w:r>
              <w:rPr>
                <w:rFonts w:eastAsia="方正仿宋_GBK" w:cs="宋体"/>
                <w:sz w:val="24"/>
                <w:szCs w:val="24"/>
              </w:rPr>
              <w:t>7</w:t>
            </w:r>
          </w:p>
        </w:tc>
      </w:tr>
      <w:tr>
        <w:trPr>
          <w:trHeight w:val="406"/>
        </w:trPr>
        <w:tc>
          <w:tcPr>
            <w:tcW w:w="8995" w:type="dxa"/>
            <w:gridSpan w:val="4"/>
            <w:tcBorders>
              <w:top w:val="nil"/>
              <w:left w:val="single" w:sz="8" w:space="0" w:color="auto"/>
              <w:bottom w:val="single" w:sz="8" w:space="0" w:color="auto"/>
              <w:right w:val="single" w:sz="8" w:space="0" w:color="auto"/>
              <w:tl2br w:val="nil"/>
              <w:tr2bl w:val="nil"/>
            </w:tcBorders>
            <w:shd w:val="clear" w:color="auto" w:fill="C6D9F1"/>
            <w:tcMar>
              <w:left w:w="108" w:type="dxa"/>
              <w:right w:w="108" w:type="dxa"/>
            </w:tcMar>
            <w:vAlign w:val="center"/>
          </w:tcPr>
          <w:p>
            <w:pPr>
              <w:pStyle w:val="29"/>
              <w:widowControl/>
              <w:jc w:val="center"/>
              <w:rPr>
                <w:sz w:val="24"/>
                <w:szCs w:val="24"/>
              </w:rPr>
            </w:pPr>
            <w:r>
              <w:rPr>
                <w:rFonts w:ascii="宋体" w:cs="宋体" w:hint="eastAsia"/>
                <w:kern w:val="0"/>
                <w:sz w:val="24"/>
                <w:szCs w:val="24"/>
              </w:rPr>
              <w:t>第二十条第（六）项</w:t>
            </w:r>
          </w:p>
        </w:tc>
      </w:tr>
      <w:tr>
        <w:trPr>
          <w:trHeight w:val="680"/>
        </w:trPr>
        <w:tc>
          <w:tcPr>
            <w:tcW w:w="2720" w:type="dxa"/>
            <w:tcBorders>
              <w:top w:val="nil"/>
              <w:left w:val="single" w:sz="8" w:space="0" w:color="auto"/>
              <w:bottom w:val="single" w:sz="8" w:space="0" w:color="auto"/>
              <w:right w:val="single" w:sz="8" w:space="0" w:color="auto"/>
              <w:tl2br w:val="nil"/>
              <w:tr2bl w:val="nil"/>
            </w:tcBorders>
            <w:tcMar>
              <w:left w:w="108" w:type="dxa"/>
              <w:right w:w="108" w:type="dxa"/>
            </w:tcMar>
            <w:vAlign w:val="center"/>
          </w:tcPr>
          <w:p>
            <w:pPr>
              <w:pStyle w:val="29"/>
              <w:widowControl/>
              <w:adjustRightInd w:val="0"/>
              <w:snapToGrid w:val="0"/>
              <w:spacing w:line="260" w:lineRule="exact"/>
              <w:jc w:val="center"/>
              <w:rPr>
                <w:sz w:val="24"/>
                <w:szCs w:val="24"/>
              </w:rPr>
            </w:pPr>
            <w:r>
              <w:rPr>
                <w:rFonts w:ascii="宋体" w:cs="宋体" w:hint="eastAsia"/>
                <w:kern w:val="0"/>
                <w:sz w:val="24"/>
                <w:szCs w:val="24"/>
              </w:rPr>
              <w:t>信息内容</w:t>
            </w:r>
          </w:p>
        </w:tc>
        <w:tc>
          <w:tcPr>
            <w:tcW w:w="2183" w:type="dxa"/>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29"/>
              <w:widowControl/>
              <w:adjustRightInd w:val="0"/>
              <w:snapToGrid w:val="0"/>
              <w:spacing w:line="260" w:lineRule="exact"/>
              <w:jc w:val="center"/>
              <w:rPr>
                <w:sz w:val="24"/>
                <w:szCs w:val="24"/>
              </w:rPr>
            </w:pPr>
            <w:r>
              <w:rPr>
                <w:rFonts w:ascii="宋体" w:cs="宋体" w:hint="eastAsia"/>
                <w:kern w:val="0"/>
                <w:sz w:val="24"/>
                <w:szCs w:val="24"/>
              </w:rPr>
              <w:t>本年项目数量</w:t>
            </w:r>
          </w:p>
        </w:tc>
        <w:tc>
          <w:tcPr>
            <w:tcW w:w="1936" w:type="dxa"/>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29"/>
              <w:widowControl/>
              <w:adjustRightInd w:val="0"/>
              <w:snapToGrid w:val="0"/>
              <w:spacing w:line="260" w:lineRule="exact"/>
              <w:jc w:val="center"/>
              <w:rPr>
                <w:sz w:val="24"/>
                <w:szCs w:val="24"/>
              </w:rPr>
            </w:pPr>
            <w:r>
              <w:rPr>
                <w:rFonts w:ascii="宋体" w:cs="宋体" w:hint="eastAsia"/>
                <w:kern w:val="0"/>
                <w:sz w:val="24"/>
                <w:szCs w:val="24"/>
              </w:rPr>
              <w:t>相比上年增/减</w:t>
            </w:r>
          </w:p>
        </w:tc>
        <w:tc>
          <w:tcPr>
            <w:tcW w:w="2156" w:type="dxa"/>
            <w:tcBorders>
              <w:top w:val="nil"/>
              <w:left w:val="nil"/>
              <w:bottom w:val="single" w:sz="8" w:space="0" w:color="auto"/>
              <w:right w:val="single" w:sz="8" w:space="0" w:color="auto"/>
              <w:tl2br w:val="nil"/>
              <w:tr2bl w:val="nil"/>
            </w:tcBorders>
            <w:vAlign w:val="center"/>
          </w:tcPr>
          <w:p>
            <w:pPr>
              <w:pStyle w:val="29"/>
              <w:widowControl/>
              <w:adjustRightInd w:val="0"/>
              <w:snapToGrid w:val="0"/>
              <w:spacing w:line="260" w:lineRule="exact"/>
              <w:jc w:val="center"/>
              <w:rPr>
                <w:sz w:val="24"/>
                <w:szCs w:val="24"/>
              </w:rPr>
            </w:pPr>
            <w:r>
              <w:rPr>
                <w:rFonts w:ascii="宋体" w:cs="宋体" w:hint="eastAsia"/>
                <w:kern w:val="0"/>
                <w:sz w:val="24"/>
                <w:szCs w:val="24"/>
              </w:rPr>
              <w:t>处理决定数量</w:t>
            </w:r>
          </w:p>
        </w:tc>
      </w:tr>
      <w:tr>
        <w:trPr>
          <w:trHeight w:val="510"/>
        </w:trPr>
        <w:tc>
          <w:tcPr>
            <w:tcW w:w="2720" w:type="dxa"/>
            <w:tcBorders>
              <w:top w:val="nil"/>
              <w:left w:val="single" w:sz="8" w:space="0" w:color="auto"/>
              <w:bottom w:val="single" w:sz="8" w:space="0" w:color="auto"/>
              <w:right w:val="single" w:sz="8" w:space="0" w:color="auto"/>
              <w:tl2br w:val="nil"/>
              <w:tr2bl w:val="nil"/>
            </w:tcBorders>
            <w:tcMar>
              <w:left w:w="108" w:type="dxa"/>
              <w:right w:w="108" w:type="dxa"/>
            </w:tcMar>
            <w:vAlign w:val="center"/>
          </w:tcPr>
          <w:p>
            <w:pPr>
              <w:pStyle w:val="29"/>
              <w:widowControl/>
              <w:adjustRightInd w:val="0"/>
              <w:snapToGrid w:val="0"/>
              <w:spacing w:line="260" w:lineRule="exact"/>
              <w:jc w:val="left"/>
              <w:rPr>
                <w:sz w:val="24"/>
                <w:szCs w:val="24"/>
              </w:rPr>
            </w:pPr>
            <w:r>
              <w:rPr>
                <w:rFonts w:ascii="宋体" w:cs="宋体" w:hint="eastAsia"/>
                <w:kern w:val="0"/>
                <w:sz w:val="24"/>
                <w:szCs w:val="24"/>
              </w:rPr>
              <w:t>行政处罚</w:t>
            </w:r>
          </w:p>
        </w:tc>
        <w:tc>
          <w:tcPr>
            <w:tcW w:w="2183"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cs="宋体"/>
                <w:sz w:val="24"/>
                <w:szCs w:val="24"/>
              </w:rPr>
            </w:pPr>
            <w:r>
              <w:rPr>
                <w:rFonts w:eastAsia="方正仿宋_GBK" w:cs="宋体" w:hint="eastAsia"/>
                <w:sz w:val="24"/>
                <w:szCs w:val="24"/>
              </w:rPr>
              <w:t>7</w:t>
            </w:r>
          </w:p>
        </w:tc>
        <w:tc>
          <w:tcPr>
            <w:tcW w:w="1936"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cs="宋体"/>
                <w:sz w:val="24"/>
                <w:szCs w:val="24"/>
              </w:rPr>
            </w:pPr>
            <w:r>
              <w:rPr>
                <w:rFonts w:eastAsia="方正仿宋_GBK" w:cs="宋体"/>
                <w:sz w:val="24"/>
                <w:szCs w:val="24"/>
              </w:rPr>
              <w:t>0</w:t>
            </w:r>
          </w:p>
        </w:tc>
        <w:tc>
          <w:tcPr>
            <w:tcW w:w="2156" w:type="dxa"/>
            <w:tcBorders>
              <w:top w:val="nil"/>
              <w:left w:val="nil"/>
              <w:bottom w:val="single" w:sz="8" w:space="0" w:color="auto"/>
              <w:right w:val="single" w:sz="8" w:space="0" w:color="auto"/>
              <w:tl2br w:val="nil"/>
              <w:tr2bl w:val="nil"/>
            </w:tcBorders>
            <w:vAlign w:val="center"/>
          </w:tcPr>
          <w:p>
            <w:pPr>
              <w:pStyle w:val="29"/>
              <w:jc w:val="center"/>
              <w:rPr>
                <w:rFonts w:eastAsia="方正仿宋_GBK" w:cs="宋体"/>
                <w:sz w:val="24"/>
                <w:szCs w:val="24"/>
              </w:rPr>
            </w:pPr>
            <w:r>
              <w:rPr>
                <w:rFonts w:eastAsia="方正仿宋_GBK" w:cs="宋体" w:hint="eastAsia"/>
                <w:sz w:val="24"/>
                <w:szCs w:val="24"/>
              </w:rPr>
              <w:t>180</w:t>
            </w:r>
          </w:p>
        </w:tc>
      </w:tr>
      <w:tr>
        <w:trPr>
          <w:trHeight w:val="510"/>
        </w:trPr>
        <w:tc>
          <w:tcPr>
            <w:tcW w:w="2720" w:type="dxa"/>
            <w:tcBorders>
              <w:top w:val="nil"/>
              <w:left w:val="single" w:sz="8" w:space="0" w:color="auto"/>
              <w:bottom w:val="single" w:sz="8" w:space="0" w:color="auto"/>
              <w:right w:val="single" w:sz="8" w:space="0" w:color="auto"/>
              <w:tl2br w:val="nil"/>
              <w:tr2bl w:val="nil"/>
            </w:tcBorders>
            <w:tcMar>
              <w:left w:w="108" w:type="dxa"/>
              <w:right w:w="108" w:type="dxa"/>
            </w:tcMar>
            <w:vAlign w:val="center"/>
          </w:tcPr>
          <w:p>
            <w:pPr>
              <w:pStyle w:val="29"/>
              <w:widowControl/>
              <w:adjustRightInd w:val="0"/>
              <w:snapToGrid w:val="0"/>
              <w:spacing w:line="260" w:lineRule="exact"/>
              <w:jc w:val="left"/>
              <w:rPr>
                <w:sz w:val="24"/>
                <w:szCs w:val="24"/>
              </w:rPr>
            </w:pPr>
            <w:r>
              <w:rPr>
                <w:rFonts w:ascii="宋体" w:cs="宋体" w:hint="eastAsia"/>
                <w:kern w:val="0"/>
                <w:sz w:val="24"/>
                <w:szCs w:val="24"/>
              </w:rPr>
              <w:t>行政强制</w:t>
            </w:r>
          </w:p>
        </w:tc>
        <w:tc>
          <w:tcPr>
            <w:tcW w:w="2183"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cs="宋体"/>
                <w:sz w:val="24"/>
                <w:szCs w:val="24"/>
              </w:rPr>
            </w:pPr>
            <w:r>
              <w:rPr>
                <w:rFonts w:eastAsia="方正仿宋_GBK" w:cs="宋体"/>
                <w:sz w:val="24"/>
                <w:szCs w:val="24"/>
              </w:rPr>
              <w:t>16</w:t>
            </w:r>
          </w:p>
        </w:tc>
        <w:tc>
          <w:tcPr>
            <w:tcW w:w="1936"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cs="宋体"/>
                <w:sz w:val="24"/>
                <w:szCs w:val="24"/>
              </w:rPr>
            </w:pPr>
            <w:r>
              <w:rPr>
                <w:rFonts w:eastAsia="方正仿宋_GBK" w:cs="宋体"/>
                <w:sz w:val="24"/>
                <w:szCs w:val="24"/>
              </w:rPr>
              <w:t>0</w:t>
            </w:r>
          </w:p>
        </w:tc>
        <w:tc>
          <w:tcPr>
            <w:tcW w:w="2156" w:type="dxa"/>
            <w:tcBorders>
              <w:top w:val="nil"/>
              <w:left w:val="nil"/>
              <w:bottom w:val="single" w:sz="8" w:space="0" w:color="auto"/>
              <w:right w:val="single" w:sz="8" w:space="0" w:color="auto"/>
              <w:tl2br w:val="nil"/>
              <w:tr2bl w:val="nil"/>
            </w:tcBorders>
            <w:vAlign w:val="center"/>
          </w:tcPr>
          <w:p>
            <w:pPr>
              <w:pStyle w:val="29"/>
              <w:jc w:val="center"/>
              <w:rPr>
                <w:rFonts w:eastAsia="方正仿宋_GBK" w:cs="宋体"/>
                <w:sz w:val="24"/>
                <w:szCs w:val="24"/>
              </w:rPr>
            </w:pPr>
            <w:r>
              <w:rPr>
                <w:rFonts w:eastAsia="方正仿宋_GBK" w:cs="宋体" w:hint="eastAsia"/>
                <w:sz w:val="24"/>
                <w:szCs w:val="24"/>
              </w:rPr>
              <w:t>26</w:t>
            </w:r>
          </w:p>
        </w:tc>
      </w:tr>
      <w:tr>
        <w:trPr>
          <w:trHeight w:val="474"/>
        </w:trPr>
        <w:tc>
          <w:tcPr>
            <w:tcW w:w="8995" w:type="dxa"/>
            <w:gridSpan w:val="4"/>
            <w:tcBorders>
              <w:top w:val="nil"/>
              <w:left w:val="single" w:sz="8" w:space="0" w:color="auto"/>
              <w:bottom w:val="single" w:sz="8" w:space="0" w:color="auto"/>
              <w:right w:val="single" w:sz="8" w:space="0" w:color="auto"/>
              <w:tl2br w:val="nil"/>
              <w:tr2bl w:val="nil"/>
            </w:tcBorders>
            <w:shd w:val="clear" w:color="auto" w:fill="C6D9F1"/>
            <w:tcMar>
              <w:left w:w="108" w:type="dxa"/>
              <w:right w:w="108" w:type="dxa"/>
            </w:tcMar>
            <w:vAlign w:val="center"/>
          </w:tcPr>
          <w:p>
            <w:pPr>
              <w:pStyle w:val="29"/>
              <w:widowControl/>
              <w:jc w:val="center"/>
              <w:rPr>
                <w:sz w:val="24"/>
                <w:szCs w:val="24"/>
              </w:rPr>
            </w:pPr>
            <w:r>
              <w:rPr>
                <w:rFonts w:ascii="宋体" w:cs="宋体" w:hint="eastAsia"/>
                <w:kern w:val="0"/>
                <w:sz w:val="24"/>
                <w:szCs w:val="24"/>
              </w:rPr>
              <w:t>第二十条第（八）项</w:t>
            </w:r>
          </w:p>
        </w:tc>
      </w:tr>
      <w:tr>
        <w:trPr>
          <w:trHeight w:val="680"/>
        </w:trPr>
        <w:tc>
          <w:tcPr>
            <w:tcW w:w="2720" w:type="dxa"/>
            <w:tcBorders>
              <w:top w:val="nil"/>
              <w:left w:val="single" w:sz="8" w:space="0" w:color="auto"/>
              <w:bottom w:val="single" w:sz="8" w:space="0" w:color="auto"/>
              <w:right w:val="single" w:sz="8" w:space="0" w:color="auto"/>
              <w:tl2br w:val="nil"/>
              <w:tr2bl w:val="nil"/>
            </w:tcBorders>
            <w:tcMar>
              <w:left w:w="108" w:type="dxa"/>
              <w:right w:w="108" w:type="dxa"/>
            </w:tcMar>
            <w:vAlign w:val="center"/>
          </w:tcPr>
          <w:p>
            <w:pPr>
              <w:pStyle w:val="29"/>
              <w:widowControl/>
              <w:adjustRightInd w:val="0"/>
              <w:snapToGrid w:val="0"/>
              <w:spacing w:line="260" w:lineRule="exact"/>
              <w:jc w:val="center"/>
              <w:rPr>
                <w:sz w:val="24"/>
                <w:szCs w:val="24"/>
              </w:rPr>
            </w:pPr>
            <w:r>
              <w:rPr>
                <w:rFonts w:ascii="宋体" w:cs="宋体" w:hint="eastAsia"/>
                <w:kern w:val="0"/>
                <w:sz w:val="24"/>
                <w:szCs w:val="24"/>
              </w:rPr>
              <w:t>信息内容</w:t>
            </w:r>
          </w:p>
        </w:tc>
        <w:tc>
          <w:tcPr>
            <w:tcW w:w="2183"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widowControl/>
              <w:adjustRightInd w:val="0"/>
              <w:snapToGrid w:val="0"/>
              <w:spacing w:line="260" w:lineRule="exact"/>
              <w:jc w:val="center"/>
              <w:rPr>
                <w:sz w:val="24"/>
                <w:szCs w:val="24"/>
              </w:rPr>
            </w:pPr>
            <w:r>
              <w:rPr>
                <w:rFonts w:ascii="宋体" w:cs="宋体" w:hint="eastAsia"/>
                <w:kern w:val="0"/>
                <w:sz w:val="24"/>
                <w:szCs w:val="24"/>
              </w:rPr>
              <w:t>本年项目数量</w:t>
            </w:r>
          </w:p>
        </w:tc>
        <w:tc>
          <w:tcPr>
            <w:tcW w:w="4092" w:type="dxa"/>
            <w:gridSpan w:val="2"/>
            <w:tcBorders>
              <w:top w:val="single" w:sz="8" w:space="0" w:color="auto"/>
              <w:left w:val="nil"/>
              <w:bottom w:val="single" w:sz="8" w:space="0" w:color="auto"/>
              <w:right w:val="single" w:sz="8" w:space="0" w:color="000000"/>
              <w:tl2br w:val="nil"/>
              <w:tr2bl w:val="nil"/>
            </w:tcBorders>
            <w:tcMar>
              <w:left w:w="108" w:type="dxa"/>
              <w:right w:w="108" w:type="dxa"/>
            </w:tcMar>
            <w:vAlign w:val="center"/>
          </w:tcPr>
          <w:p>
            <w:pPr>
              <w:pStyle w:val="29"/>
              <w:widowControl/>
              <w:adjustRightInd w:val="0"/>
              <w:snapToGrid w:val="0"/>
              <w:spacing w:line="260" w:lineRule="exact"/>
              <w:jc w:val="center"/>
              <w:rPr>
                <w:sz w:val="24"/>
                <w:szCs w:val="24"/>
              </w:rPr>
            </w:pPr>
            <w:r>
              <w:rPr>
                <w:rFonts w:ascii="宋体" w:cs="宋体" w:hint="eastAsia"/>
                <w:kern w:val="0"/>
                <w:sz w:val="24"/>
                <w:szCs w:val="24"/>
              </w:rPr>
              <w:t>相比上年增/减</w:t>
            </w:r>
          </w:p>
        </w:tc>
      </w:tr>
      <w:tr>
        <w:trPr>
          <w:trHeight w:val="510"/>
        </w:trPr>
        <w:tc>
          <w:tcPr>
            <w:tcW w:w="2720" w:type="dxa"/>
            <w:tcBorders>
              <w:top w:val="nil"/>
              <w:left w:val="single" w:sz="8" w:space="0" w:color="auto"/>
              <w:bottom w:val="single" w:sz="8" w:space="0" w:color="auto"/>
              <w:right w:val="single" w:sz="8" w:space="0" w:color="auto"/>
              <w:tl2br w:val="nil"/>
              <w:tr2bl w:val="nil"/>
            </w:tcBorders>
            <w:tcMar>
              <w:left w:w="108" w:type="dxa"/>
              <w:right w:w="108" w:type="dxa"/>
            </w:tcMar>
            <w:vAlign w:val="center"/>
          </w:tcPr>
          <w:p>
            <w:pPr>
              <w:pStyle w:val="29"/>
              <w:widowControl/>
              <w:adjustRightInd w:val="0"/>
              <w:snapToGrid w:val="0"/>
              <w:spacing w:line="260" w:lineRule="exact"/>
              <w:jc w:val="left"/>
            </w:pPr>
            <w:r>
              <w:rPr>
                <w:rFonts w:ascii="宋体" w:cs="宋体" w:hint="eastAsia"/>
                <w:kern w:val="0"/>
                <w:sz w:val="24"/>
                <w:szCs w:val="24"/>
              </w:rPr>
              <w:t>行政事业性收费</w:t>
            </w:r>
          </w:p>
        </w:tc>
        <w:tc>
          <w:tcPr>
            <w:tcW w:w="2183"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cs="宋体"/>
                <w:sz w:val="24"/>
                <w:szCs w:val="24"/>
              </w:rPr>
            </w:pPr>
            <w:r>
              <w:rPr>
                <w:rFonts w:eastAsia="方正仿宋_GBK" w:cs="宋体"/>
                <w:sz w:val="24"/>
                <w:szCs w:val="24"/>
              </w:rPr>
              <w:t>0</w:t>
            </w:r>
          </w:p>
        </w:tc>
        <w:tc>
          <w:tcPr>
            <w:tcW w:w="4092" w:type="dxa"/>
            <w:gridSpan w:val="2"/>
            <w:tcBorders>
              <w:top w:val="nil"/>
              <w:left w:val="nil"/>
              <w:bottom w:val="single" w:sz="8" w:space="0" w:color="auto"/>
              <w:right w:val="single" w:sz="8" w:space="0" w:color="000000"/>
              <w:tl2br w:val="nil"/>
              <w:tr2bl w:val="nil"/>
            </w:tcBorders>
            <w:tcMar>
              <w:left w:w="108" w:type="dxa"/>
              <w:right w:w="108" w:type="dxa"/>
            </w:tcMar>
            <w:vAlign w:val="center"/>
          </w:tcPr>
          <w:p>
            <w:pPr>
              <w:pStyle w:val="29"/>
              <w:jc w:val="center"/>
              <w:rPr>
                <w:rFonts w:eastAsia="方正仿宋_GBK" w:cs="宋体"/>
                <w:sz w:val="24"/>
                <w:szCs w:val="24"/>
              </w:rPr>
            </w:pPr>
            <w:r>
              <w:rPr>
                <w:rFonts w:eastAsia="方正仿宋_GBK" w:cs="宋体"/>
                <w:sz w:val="24"/>
                <w:szCs w:val="24"/>
              </w:rPr>
              <w:t>0</w:t>
            </w:r>
          </w:p>
        </w:tc>
      </w:tr>
      <w:tr>
        <w:trPr>
          <w:trHeight w:val="476"/>
        </w:trPr>
        <w:tc>
          <w:tcPr>
            <w:tcW w:w="8995" w:type="dxa"/>
            <w:gridSpan w:val="4"/>
            <w:tcBorders>
              <w:top w:val="nil"/>
              <w:left w:val="single" w:sz="8" w:space="0" w:color="auto"/>
              <w:bottom w:val="single" w:sz="8" w:space="0" w:color="auto"/>
              <w:right w:val="single" w:sz="8" w:space="0" w:color="auto"/>
              <w:tl2br w:val="nil"/>
              <w:tr2bl w:val="nil"/>
            </w:tcBorders>
            <w:shd w:val="clear" w:color="auto" w:fill="C6D9F1"/>
            <w:tcMar>
              <w:left w:w="108" w:type="dxa"/>
              <w:right w:w="108" w:type="dxa"/>
            </w:tcMar>
            <w:vAlign w:val="center"/>
          </w:tcPr>
          <w:p>
            <w:pPr>
              <w:pStyle w:val="29"/>
              <w:widowControl/>
              <w:jc w:val="center"/>
              <w:rPr>
                <w:sz w:val="24"/>
                <w:szCs w:val="24"/>
              </w:rPr>
            </w:pPr>
            <w:r>
              <w:rPr>
                <w:rFonts w:ascii="宋体" w:cs="宋体" w:hint="eastAsia"/>
                <w:kern w:val="0"/>
                <w:sz w:val="24"/>
                <w:szCs w:val="24"/>
              </w:rPr>
              <w:t>第二十条第（九）项</w:t>
            </w:r>
          </w:p>
        </w:tc>
      </w:tr>
      <w:tr>
        <w:trPr>
          <w:trHeight w:val="680"/>
        </w:trPr>
        <w:tc>
          <w:tcPr>
            <w:tcW w:w="2720" w:type="dxa"/>
            <w:tcBorders>
              <w:top w:val="nil"/>
              <w:left w:val="single" w:sz="8" w:space="0" w:color="auto"/>
              <w:bottom w:val="single" w:sz="8" w:space="0" w:color="auto"/>
              <w:right w:val="single" w:sz="8" w:space="0" w:color="auto"/>
              <w:tl2br w:val="nil"/>
              <w:tr2bl w:val="nil"/>
            </w:tcBorders>
            <w:tcMar>
              <w:left w:w="108" w:type="dxa"/>
              <w:right w:w="108" w:type="dxa"/>
            </w:tcMar>
            <w:vAlign w:val="center"/>
          </w:tcPr>
          <w:p>
            <w:pPr>
              <w:pStyle w:val="29"/>
              <w:widowControl/>
              <w:adjustRightInd w:val="0"/>
              <w:snapToGrid w:val="0"/>
              <w:spacing w:line="260" w:lineRule="exact"/>
              <w:jc w:val="center"/>
              <w:rPr>
                <w:sz w:val="24"/>
                <w:szCs w:val="24"/>
              </w:rPr>
            </w:pPr>
            <w:r>
              <w:rPr>
                <w:rFonts w:ascii="宋体" w:cs="宋体" w:hint="eastAsia"/>
                <w:kern w:val="0"/>
                <w:sz w:val="24"/>
                <w:szCs w:val="24"/>
              </w:rPr>
              <w:t>信息内容</w:t>
            </w:r>
          </w:p>
        </w:tc>
        <w:tc>
          <w:tcPr>
            <w:tcW w:w="2183"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widowControl/>
              <w:adjustRightInd w:val="0"/>
              <w:snapToGrid w:val="0"/>
              <w:spacing w:line="260" w:lineRule="exact"/>
              <w:jc w:val="center"/>
              <w:rPr>
                <w:sz w:val="24"/>
                <w:szCs w:val="24"/>
              </w:rPr>
            </w:pPr>
            <w:r>
              <w:rPr>
                <w:rFonts w:ascii="宋体" w:cs="宋体" w:hint="eastAsia"/>
                <w:kern w:val="0"/>
                <w:sz w:val="24"/>
                <w:szCs w:val="24"/>
              </w:rPr>
              <w:t>采购项目数量</w:t>
            </w:r>
          </w:p>
        </w:tc>
        <w:tc>
          <w:tcPr>
            <w:tcW w:w="4092" w:type="dxa"/>
            <w:gridSpan w:val="2"/>
            <w:tcBorders>
              <w:top w:val="single" w:sz="8" w:space="0" w:color="auto"/>
              <w:left w:val="nil"/>
              <w:bottom w:val="single" w:sz="8" w:space="0" w:color="auto"/>
              <w:right w:val="single" w:sz="8" w:space="0" w:color="000000"/>
              <w:tl2br w:val="nil"/>
              <w:tr2bl w:val="nil"/>
            </w:tcBorders>
            <w:tcMar>
              <w:left w:w="108" w:type="dxa"/>
              <w:right w:w="108" w:type="dxa"/>
            </w:tcMar>
            <w:vAlign w:val="center"/>
          </w:tcPr>
          <w:p>
            <w:pPr>
              <w:pStyle w:val="29"/>
              <w:widowControl/>
              <w:adjustRightInd w:val="0"/>
              <w:snapToGrid w:val="0"/>
              <w:spacing w:line="260" w:lineRule="exact"/>
              <w:jc w:val="center"/>
              <w:rPr>
                <w:sz w:val="24"/>
                <w:szCs w:val="24"/>
              </w:rPr>
            </w:pPr>
            <w:r>
              <w:rPr>
                <w:rFonts w:ascii="宋体" w:cs="宋体" w:hint="eastAsia"/>
                <w:kern w:val="0"/>
                <w:sz w:val="24"/>
                <w:szCs w:val="24"/>
              </w:rPr>
              <w:t>采购总金额（万元）</w:t>
            </w:r>
          </w:p>
        </w:tc>
      </w:tr>
      <w:tr>
        <w:trPr>
          <w:trHeight w:val="510"/>
        </w:trPr>
        <w:tc>
          <w:tcPr>
            <w:tcW w:w="2720" w:type="dxa"/>
            <w:tcBorders>
              <w:top w:val="nil"/>
              <w:left w:val="single" w:sz="8" w:space="0" w:color="auto"/>
              <w:bottom w:val="single" w:sz="8" w:space="0" w:color="auto"/>
              <w:right w:val="single" w:sz="8" w:space="0" w:color="auto"/>
              <w:tl2br w:val="nil"/>
              <w:tr2bl w:val="nil"/>
            </w:tcBorders>
            <w:tcMar>
              <w:left w:w="108" w:type="dxa"/>
              <w:right w:w="108" w:type="dxa"/>
            </w:tcMar>
            <w:vAlign w:val="center"/>
          </w:tcPr>
          <w:p>
            <w:pPr>
              <w:pStyle w:val="29"/>
              <w:widowControl/>
              <w:adjustRightInd w:val="0"/>
              <w:snapToGrid w:val="0"/>
              <w:spacing w:line="260" w:lineRule="exact"/>
              <w:jc w:val="left"/>
              <w:rPr>
                <w:sz w:val="24"/>
                <w:szCs w:val="24"/>
                <w:highlight w:val="yellow"/>
              </w:rPr>
            </w:pPr>
            <w:r>
              <w:rPr>
                <w:rFonts w:ascii="宋体" w:cs="宋体" w:hint="eastAsia"/>
                <w:kern w:val="0"/>
                <w:sz w:val="24"/>
                <w:szCs w:val="24"/>
              </w:rPr>
              <w:t>政府集中采购</w:t>
            </w:r>
          </w:p>
        </w:tc>
        <w:tc>
          <w:tcPr>
            <w:tcW w:w="2183"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cs="宋体"/>
                <w:sz w:val="24"/>
                <w:szCs w:val="24"/>
              </w:rPr>
            </w:pPr>
            <w:r>
              <w:rPr>
                <w:rFonts w:eastAsia="方正仿宋_GBK" w:cs="宋体"/>
                <w:sz w:val="24"/>
                <w:szCs w:val="24"/>
              </w:rPr>
              <w:t>38</w:t>
            </w:r>
          </w:p>
        </w:tc>
        <w:tc>
          <w:tcPr>
            <w:tcW w:w="4092" w:type="dxa"/>
            <w:gridSpan w:val="2"/>
            <w:tcBorders>
              <w:top w:val="nil"/>
              <w:left w:val="nil"/>
              <w:bottom w:val="single" w:sz="8" w:space="0" w:color="auto"/>
              <w:right w:val="single" w:sz="8" w:space="0" w:color="000000"/>
              <w:tl2br w:val="nil"/>
              <w:tr2bl w:val="nil"/>
            </w:tcBorders>
            <w:tcMar>
              <w:left w:w="108" w:type="dxa"/>
              <w:right w:w="108" w:type="dxa"/>
            </w:tcMar>
            <w:vAlign w:val="center"/>
          </w:tcPr>
          <w:p>
            <w:pPr>
              <w:pStyle w:val="29"/>
              <w:jc w:val="center"/>
              <w:rPr>
                <w:rFonts w:eastAsia="方正仿宋_GBK" w:cs="宋体"/>
                <w:sz w:val="24"/>
                <w:szCs w:val="24"/>
              </w:rPr>
            </w:pPr>
            <w:r>
              <w:rPr>
                <w:rFonts w:eastAsia="方正仿宋_GBK" w:cs="宋体"/>
                <w:sz w:val="24"/>
                <w:szCs w:val="24"/>
              </w:rPr>
              <w:t>5537.97</w:t>
            </w:r>
          </w:p>
        </w:tc>
      </w:tr>
    </w:tbl>
    <w:p>
      <w:pPr>
        <w:pStyle w:val="29"/>
        <w:tabs>
          <w:tab w:val="center" w:pos="4153"/>
          <w:tab w:val="right" w:pos="8306"/>
        </w:tabs>
      </w:pPr>
    </w:p>
    <w:p>
      <w:pPr>
        <w:pStyle w:val="29"/>
        <w:widowControl/>
        <w:shd w:val="clear" w:color="auto" w:fill="FFFFFF"/>
        <w:adjustRightInd w:val="0"/>
        <w:snapToGrid w:val="0"/>
        <w:spacing w:afterLines="50" w:after="218" w:line="560" w:lineRule="exact"/>
        <w:ind w:firstLineChars="200" w:firstLine="640"/>
        <w:rPr>
          <w:rFonts w:ascii="方正黑体_GBK" w:eastAsia="方正黑体_GBK" w:cs="楷体_GB2312"/>
          <w:bCs/>
          <w:sz w:val="32"/>
          <w:szCs w:val="32"/>
          <w:shd w:val="clear" w:color="auto" w:fill="FFFFFF"/>
        </w:rPr>
      </w:pPr>
      <w:r>
        <w:rPr>
          <w:rFonts w:ascii="方正黑体_GBK" w:eastAsia="方正黑体_GBK" w:cs="楷体_GB2312" w:hint="eastAsia"/>
          <w:bCs/>
          <w:sz w:val="32"/>
          <w:szCs w:val="32"/>
          <w:shd w:val="clear" w:color="auto" w:fill="FFFFFF"/>
        </w:rPr>
        <w:t>三、收到和处理政府信息公开申请情况</w:t>
      </w:r>
    </w:p>
    <w:tbl>
      <w:tblPr>
        <w:jc w:val="center"/>
        <w:tblW w:w="9072" w:type="dxa"/>
        <w:tblBorders>
          <w:top w:val="none" w:sz="0" w:space="0" w:color="auto"/>
          <w:left w:val="none" w:sz="0" w:space="0" w:color="auto"/>
          <w:bottom w:val="none" w:sz="0" w:space="0" w:color="auto"/>
          <w:right w:val="none" w:sz="0" w:space="0" w:color="auto"/>
        </w:tblBorders>
        <w:tblLayout w:type="fixed"/>
        <w:tblCellMar>
          <w:top w:w="0" w:type="dxa"/>
          <w:left w:w="0" w:type="dxa"/>
          <w:bottom w:w="0" w:type="dxa"/>
          <w:right w:w="0" w:type="dxa"/>
        </w:tblCellMar>
      </w:tblPr>
      <w:tblGrid>
        <w:gridCol w:w="696"/>
        <w:gridCol w:w="936"/>
        <w:gridCol w:w="2670"/>
        <w:gridCol w:w="635"/>
        <w:gridCol w:w="675"/>
        <w:gridCol w:w="750"/>
        <w:gridCol w:w="765"/>
        <w:gridCol w:w="765"/>
        <w:gridCol w:w="497"/>
        <w:gridCol w:w="682"/>
      </w:tblGrid>
      <w:tr>
        <w:trPr>
          <w:tblHeader/>
        </w:trPr>
        <w:tc>
          <w:tcPr>
            <w:tcW w:w="4302" w:type="dxa"/>
            <w:gridSpan w:val="3"/>
            <w:vMerge w:val="restart"/>
            <w:tcBorders>
              <w:top w:val="single" w:sz="8" w:space="0" w:color="auto"/>
              <w:left w:val="single" w:sz="8" w:space="0" w:color="auto"/>
              <w:bottom w:val="single" w:sz="8" w:space="0" w:color="auto"/>
              <w:right w:val="single" w:sz="8" w:space="0" w:color="auto"/>
              <w:tl2br w:val="nil"/>
              <w:tr2bl w:val="nil"/>
            </w:tcBorders>
            <w:tcMar>
              <w:left w:w="108" w:type="dxa"/>
              <w:right w:w="108" w:type="dxa"/>
            </w:tcMar>
            <w:vAlign w:val="center"/>
          </w:tcPr>
          <w:p>
            <w:pPr>
              <w:pStyle w:val="29"/>
              <w:widowControl/>
              <w:spacing w:after="180"/>
              <w:jc w:val="center"/>
            </w:pPr>
            <w:r>
              <w:rPr>
                <w:rFonts w:ascii="宋体" w:cs="宋体" w:hint="eastAsia"/>
                <w:kern w:val="0"/>
                <w:sz w:val="20"/>
                <w:szCs w:val="20"/>
              </w:rPr>
              <w:t>（本列数据的勾稽关系为：第一项加第二项之和，等于第三项加第四项之和）</w:t>
            </w:r>
          </w:p>
        </w:tc>
        <w:tc>
          <w:tcPr>
            <w:tcW w:w="4769" w:type="dxa"/>
            <w:gridSpan w:val="7"/>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29"/>
              <w:widowControl/>
              <w:spacing w:after="180"/>
              <w:jc w:val="center"/>
            </w:pPr>
            <w:r>
              <w:rPr>
                <w:rFonts w:ascii="宋体" w:cs="宋体" w:hint="eastAsia"/>
                <w:kern w:val="0"/>
                <w:sz w:val="20"/>
                <w:szCs w:val="20"/>
              </w:rPr>
              <w:t>申请人情况</w:t>
            </w:r>
          </w:p>
        </w:tc>
      </w:tr>
      <w:tr>
        <w:trPr>
          <w:tblHeader/>
        </w:trPr>
        <w:tc>
          <w:tcPr>
            <w:tcW w:w="4302" w:type="dxa"/>
            <w:gridSpan w:val="3"/>
            <w:vMerge/>
            <w:tcBorders>
              <w:top w:val="single" w:sz="8" w:space="0" w:color="auto"/>
              <w:left w:val="single" w:sz="8" w:space="0" w:color="auto"/>
              <w:bottom w:val="single" w:sz="8" w:space="0" w:color="auto"/>
              <w:right w:val="single" w:sz="8" w:space="0" w:color="auto"/>
              <w:tl2br w:val="nil"/>
              <w:tr2bl w:val="nil"/>
            </w:tcBorders>
            <w:vAlign w:val="center"/>
          </w:tcPr>
          <w:p/>
        </w:tc>
        <w:tc>
          <w:tcPr>
            <w:tcW w:w="635" w:type="dxa"/>
            <w:vMerge w:val="restart"/>
            <w:tcBorders>
              <w:top w:val="nil"/>
              <w:left w:val="nil"/>
              <w:bottom w:val="single" w:sz="8" w:space="0" w:color="auto"/>
              <w:right w:val="single" w:sz="8" w:space="0" w:color="auto"/>
              <w:tl2br w:val="nil"/>
              <w:tr2bl w:val="nil"/>
            </w:tcBorders>
            <w:tcMar>
              <w:left w:w="108" w:type="dxa"/>
              <w:right w:w="108" w:type="dxa"/>
            </w:tcMar>
            <w:vAlign w:val="center"/>
          </w:tcPr>
          <w:p>
            <w:pPr>
              <w:pStyle w:val="29"/>
              <w:widowControl/>
              <w:spacing w:after="180"/>
              <w:jc w:val="center"/>
            </w:pPr>
            <w:r>
              <w:rPr>
                <w:rFonts w:ascii="宋体" w:cs="宋体" w:hint="eastAsia"/>
                <w:kern w:val="0"/>
                <w:sz w:val="20"/>
                <w:szCs w:val="20"/>
              </w:rPr>
              <w:t>自然人</w:t>
            </w:r>
          </w:p>
        </w:tc>
        <w:tc>
          <w:tcPr>
            <w:tcW w:w="3452" w:type="dxa"/>
            <w:gridSpan w:val="5"/>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29"/>
              <w:widowControl/>
              <w:spacing w:after="180"/>
              <w:jc w:val="center"/>
            </w:pPr>
            <w:r>
              <w:rPr>
                <w:rFonts w:ascii="宋体" w:cs="宋体" w:hint="eastAsia"/>
                <w:kern w:val="0"/>
                <w:sz w:val="20"/>
                <w:szCs w:val="20"/>
              </w:rPr>
              <w:t>法人或其他组织</w:t>
            </w:r>
          </w:p>
        </w:tc>
        <w:tc>
          <w:tcPr>
            <w:tcW w:w="682" w:type="dxa"/>
            <w:vMerge w:val="restart"/>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29"/>
              <w:widowControl/>
              <w:spacing w:after="180"/>
              <w:jc w:val="center"/>
            </w:pPr>
            <w:r>
              <w:rPr>
                <w:rFonts w:ascii="宋体" w:cs="宋体" w:hint="eastAsia"/>
                <w:kern w:val="0"/>
                <w:sz w:val="20"/>
                <w:szCs w:val="20"/>
              </w:rPr>
              <w:t>总计</w:t>
            </w:r>
          </w:p>
        </w:tc>
      </w:tr>
      <w:tr>
        <w:trPr>
          <w:trHeight w:val="649"/>
          <w:tblHeader/>
        </w:trPr>
        <w:tc>
          <w:tcPr>
            <w:tcW w:w="4302" w:type="dxa"/>
            <w:gridSpan w:val="3"/>
            <w:vMerge/>
            <w:tcBorders>
              <w:top w:val="single" w:sz="8" w:space="0" w:color="auto"/>
              <w:left w:val="single" w:sz="8" w:space="0" w:color="auto"/>
              <w:bottom w:val="single" w:sz="8" w:space="0" w:color="auto"/>
              <w:right w:val="single" w:sz="8" w:space="0" w:color="auto"/>
              <w:tl2br w:val="nil"/>
              <w:tr2bl w:val="nil"/>
            </w:tcBorders>
            <w:vAlign w:val="center"/>
          </w:tcPr>
          <w:p/>
        </w:tc>
        <w:tc>
          <w:tcPr>
            <w:tcW w:w="635" w:type="dxa"/>
            <w:vMerge/>
            <w:tcBorders>
              <w:top w:val="nil"/>
              <w:left w:val="nil"/>
              <w:bottom w:val="single" w:sz="8" w:space="0" w:color="auto"/>
              <w:right w:val="single" w:sz="8" w:space="0" w:color="auto"/>
              <w:tl2br w:val="nil"/>
              <w:tr2bl w:val="nil"/>
            </w:tcBorders>
            <w:vAlign w:val="center"/>
          </w:tcP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widowControl/>
              <w:spacing w:after="180"/>
              <w:jc w:val="center"/>
            </w:pPr>
            <w:r>
              <w:rPr>
                <w:rFonts w:ascii="宋体" w:cs="宋体" w:hint="eastAsia"/>
                <w:kern w:val="0"/>
                <w:sz w:val="20"/>
                <w:szCs w:val="20"/>
              </w:rPr>
              <w:t>商业企业</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widowControl/>
              <w:spacing w:after="180"/>
              <w:jc w:val="center"/>
            </w:pPr>
            <w:r>
              <w:rPr>
                <w:rFonts w:ascii="宋体" w:cs="宋体" w:hint="eastAsia"/>
                <w:kern w:val="0"/>
                <w:sz w:val="20"/>
                <w:szCs w:val="20"/>
              </w:rPr>
              <w:t>科研机构</w:t>
            </w:r>
          </w:p>
        </w:tc>
        <w:tc>
          <w:tcPr>
            <w:tcW w:w="765" w:type="dxa"/>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29"/>
              <w:widowControl/>
              <w:spacing w:after="180"/>
              <w:jc w:val="center"/>
            </w:pPr>
            <w:r>
              <w:rPr>
                <w:rFonts w:ascii="宋体" w:cs="宋体" w:hint="eastAsia"/>
                <w:kern w:val="0"/>
                <w:sz w:val="20"/>
                <w:szCs w:val="20"/>
              </w:rPr>
              <w:t>社会公益组织</w:t>
            </w:r>
          </w:p>
        </w:tc>
        <w:tc>
          <w:tcPr>
            <w:tcW w:w="765" w:type="dxa"/>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29"/>
              <w:widowControl/>
              <w:spacing w:after="180"/>
              <w:jc w:val="center"/>
            </w:pPr>
            <w:r>
              <w:rPr>
                <w:rFonts w:ascii="宋体" w:cs="宋体" w:hint="eastAsia"/>
                <w:kern w:val="0"/>
                <w:sz w:val="20"/>
                <w:szCs w:val="20"/>
              </w:rPr>
              <w:t>法律服务机构</w:t>
            </w:r>
          </w:p>
        </w:tc>
        <w:tc>
          <w:tcPr>
            <w:tcW w:w="497" w:type="dxa"/>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29"/>
              <w:widowControl/>
              <w:spacing w:after="180"/>
              <w:jc w:val="center"/>
            </w:pPr>
            <w:r>
              <w:rPr>
                <w:rFonts w:ascii="宋体" w:cs="宋体" w:hint="eastAsia"/>
                <w:kern w:val="0"/>
                <w:sz w:val="20"/>
                <w:szCs w:val="20"/>
              </w:rPr>
              <w:t>其他</w:t>
            </w:r>
          </w:p>
        </w:tc>
        <w:tc>
          <w:tcPr>
            <w:tcW w:w="682" w:type="dxa"/>
            <w:vMerge/>
            <w:tcBorders>
              <w:top w:val="single" w:sz="8" w:space="0" w:color="auto"/>
              <w:left w:val="nil"/>
              <w:bottom w:val="single" w:sz="8" w:space="0" w:color="auto"/>
              <w:right w:val="single" w:sz="8" w:space="0" w:color="auto"/>
              <w:tl2br w:val="nil"/>
              <w:tr2bl w:val="nil"/>
            </w:tcBorders>
            <w:vAlign w:val="center"/>
          </w:tcPr>
          <w:p/>
        </w:tc>
      </w:tr>
      <w:tr>
        <w:tc>
          <w:tcPr>
            <w:tcW w:w="4302" w:type="dxa"/>
            <w:gridSpan w:val="3"/>
            <w:tcBorders>
              <w:top w:val="nil"/>
              <w:left w:val="single" w:sz="8" w:space="0" w:color="auto"/>
              <w:bottom w:val="single" w:sz="8" w:space="0" w:color="auto"/>
              <w:right w:val="single" w:sz="8" w:space="0" w:color="auto"/>
              <w:tl2br w:val="nil"/>
              <w:tr2bl w:val="nil"/>
            </w:tcBorders>
            <w:tcMar>
              <w:left w:w="108" w:type="dxa"/>
              <w:right w:w="108" w:type="dxa"/>
            </w:tcMar>
          </w:tcPr>
          <w:p>
            <w:pPr>
              <w:pStyle w:val="29"/>
              <w:widowControl/>
              <w:spacing w:after="180"/>
              <w:jc w:val="left"/>
              <w:rPr>
                <w:sz w:val="24"/>
                <w:szCs w:val="24"/>
              </w:rPr>
            </w:pPr>
            <w:r>
              <w:rPr>
                <w:rFonts w:ascii="宋体" w:cs="宋体" w:hint="eastAsia"/>
                <w:kern w:val="0"/>
                <w:sz w:val="24"/>
                <w:szCs w:val="24"/>
              </w:rPr>
              <w:t>一、本年新收政府信息公开申请数量</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3</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3</w:t>
            </w:r>
          </w:p>
        </w:tc>
      </w:tr>
      <w:tr>
        <w:tc>
          <w:tcPr>
            <w:tcW w:w="4302" w:type="dxa"/>
            <w:gridSpan w:val="3"/>
            <w:tcBorders>
              <w:top w:val="nil"/>
              <w:left w:val="single" w:sz="8" w:space="0" w:color="auto"/>
              <w:bottom w:val="single" w:sz="8" w:space="0" w:color="auto"/>
              <w:right w:val="single" w:sz="8" w:space="0" w:color="auto"/>
              <w:tl2br w:val="nil"/>
              <w:tr2bl w:val="nil"/>
            </w:tcBorders>
            <w:tcMar>
              <w:left w:w="108" w:type="dxa"/>
              <w:right w:w="108" w:type="dxa"/>
            </w:tcMar>
          </w:tcPr>
          <w:p>
            <w:pPr>
              <w:pStyle w:val="29"/>
              <w:widowControl/>
              <w:spacing w:after="180"/>
              <w:jc w:val="left"/>
              <w:rPr>
                <w:sz w:val="24"/>
                <w:szCs w:val="24"/>
              </w:rPr>
            </w:pPr>
            <w:r>
              <w:rPr>
                <w:rFonts w:ascii="宋体" w:cs="宋体" w:hint="eastAsia"/>
                <w:kern w:val="0"/>
                <w:sz w:val="24"/>
                <w:szCs w:val="24"/>
              </w:rPr>
              <w:t>二、上年结转政府信息公开申请数量</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2</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2</w:t>
            </w:r>
          </w:p>
        </w:tc>
      </w:tr>
      <w:tr>
        <w:tc>
          <w:tcPr>
            <w:tcW w:w="696" w:type="dxa"/>
            <w:vMerge w:val="restart"/>
            <w:tcBorders>
              <w:top w:val="nil"/>
              <w:left w:val="single" w:sz="8" w:space="0" w:color="auto"/>
              <w:bottom w:val="single" w:sz="8" w:space="0" w:color="auto"/>
              <w:right w:val="single" w:sz="8" w:space="0" w:color="auto"/>
              <w:tl2br w:val="nil"/>
              <w:tr2bl w:val="nil"/>
            </w:tcBorders>
            <w:tcMar>
              <w:left w:w="108" w:type="dxa"/>
              <w:right w:w="108" w:type="dxa"/>
            </w:tcMar>
            <w:vAlign w:val="center"/>
          </w:tcPr>
          <w:p>
            <w:pPr>
              <w:pStyle w:val="29"/>
              <w:widowControl/>
              <w:spacing w:after="180"/>
              <w:jc w:val="center"/>
              <w:rPr>
                <w:sz w:val="24"/>
                <w:szCs w:val="24"/>
              </w:rPr>
            </w:pPr>
            <w:r>
              <w:rPr>
                <w:rFonts w:ascii="宋体" w:cs="宋体" w:hint="eastAsia"/>
                <w:kern w:val="0"/>
                <w:sz w:val="24"/>
                <w:szCs w:val="24"/>
              </w:rPr>
              <w:t>三、本年度办理结果</w:t>
            </w:r>
          </w:p>
        </w:tc>
        <w:tc>
          <w:tcPr>
            <w:tcW w:w="3606" w:type="dxa"/>
            <w:gridSpan w:val="2"/>
            <w:tcBorders>
              <w:top w:val="nil"/>
              <w:left w:val="nil"/>
              <w:bottom w:val="single" w:sz="8" w:space="0" w:color="auto"/>
              <w:right w:val="single" w:sz="8" w:space="0" w:color="auto"/>
              <w:tl2br w:val="nil"/>
              <w:tr2bl w:val="nil"/>
            </w:tcBorders>
            <w:tcMar>
              <w:left w:w="108" w:type="dxa"/>
              <w:right w:w="108" w:type="dxa"/>
            </w:tcMar>
            <w:vAlign w:val="center"/>
          </w:tcPr>
          <w:p>
            <w:pPr>
              <w:pStyle w:val="29"/>
              <w:widowControl/>
              <w:spacing w:after="180"/>
              <w:jc w:val="left"/>
              <w:rPr>
                <w:sz w:val="24"/>
                <w:szCs w:val="24"/>
              </w:rPr>
            </w:pPr>
            <w:r>
              <w:rPr>
                <w:rFonts w:ascii="楷体" w:eastAsia="楷体" w:cs="楷体" w:hint="eastAsia"/>
                <w:kern w:val="0"/>
                <w:sz w:val="24"/>
                <w:szCs w:val="24"/>
              </w:rPr>
              <w:t>（一）予以公开</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4</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682" w:type="dxa"/>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4</w:t>
            </w:r>
          </w:p>
        </w:tc>
      </w:tr>
      <w:tr>
        <w:tc>
          <w:tcPr>
            <w:tcW w:w="696" w:type="dxa"/>
            <w:vMerge/>
            <w:tcBorders>
              <w:top w:val="nil"/>
              <w:left w:val="single" w:sz="8" w:space="0" w:color="auto"/>
              <w:bottom w:val="single" w:sz="8" w:space="0" w:color="auto"/>
              <w:right w:val="single" w:sz="8" w:space="0" w:color="auto"/>
              <w:tl2br w:val="nil"/>
              <w:tr2bl w:val="nil"/>
            </w:tcBorders>
            <w:vAlign w:val="center"/>
          </w:tcPr>
          <w:p/>
        </w:tc>
        <w:tc>
          <w:tcPr>
            <w:tcW w:w="3606" w:type="dxa"/>
            <w:gridSpan w:val="2"/>
            <w:tcBorders>
              <w:top w:val="nil"/>
              <w:left w:val="nil"/>
              <w:bottom w:val="single" w:sz="8" w:space="0" w:color="auto"/>
              <w:right w:val="single" w:sz="8" w:space="0" w:color="auto"/>
              <w:tl2br w:val="nil"/>
              <w:tr2bl w:val="nil"/>
            </w:tcBorders>
            <w:tcMar>
              <w:left w:w="108" w:type="dxa"/>
              <w:right w:w="108" w:type="dxa"/>
            </w:tcMar>
            <w:vAlign w:val="center"/>
          </w:tcPr>
          <w:p>
            <w:pPr>
              <w:pStyle w:val="29"/>
              <w:widowControl/>
              <w:spacing w:after="180"/>
              <w:jc w:val="left"/>
              <w:rPr>
                <w:sz w:val="24"/>
                <w:szCs w:val="24"/>
              </w:rPr>
            </w:pPr>
            <w:r>
              <w:rPr>
                <w:rFonts w:ascii="楷体" w:eastAsia="楷体" w:cs="楷体" w:hint="eastAsia"/>
                <w:kern w:val="0"/>
                <w:sz w:val="24"/>
                <w:szCs w:val="24"/>
              </w:rPr>
              <w:t>（二）部分公开（区分处理的，只计这一情形，不计其他情形）</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vAlign w:val="center"/>
          </w:tcPr>
          <w:p/>
        </w:tc>
        <w:tc>
          <w:tcPr>
            <w:tcW w:w="936" w:type="dxa"/>
            <w:vMerge w:val="restart"/>
            <w:tcBorders>
              <w:top w:val="nil"/>
              <w:left w:val="nil"/>
              <w:bottom w:val="single" w:sz="8" w:space="0" w:color="auto"/>
              <w:right w:val="single" w:sz="8" w:space="0" w:color="auto"/>
              <w:tl2br w:val="nil"/>
              <w:tr2bl w:val="nil"/>
            </w:tcBorders>
            <w:tcMar>
              <w:left w:w="108" w:type="dxa"/>
              <w:right w:w="108" w:type="dxa"/>
            </w:tcMar>
            <w:vAlign w:val="center"/>
          </w:tcPr>
          <w:p>
            <w:pPr>
              <w:pStyle w:val="29"/>
              <w:widowControl/>
              <w:spacing w:after="180"/>
              <w:rPr>
                <w:sz w:val="24"/>
                <w:szCs w:val="24"/>
              </w:rPr>
            </w:pPr>
            <w:r>
              <w:rPr>
                <w:rFonts w:ascii="楷体" w:eastAsia="楷体" w:cs="楷体" w:hint="eastAsia"/>
                <w:kern w:val="0"/>
                <w:sz w:val="24"/>
                <w:szCs w:val="24"/>
              </w:rPr>
              <w:t>（三）不予公开</w:t>
            </w: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widowControl/>
              <w:spacing w:after="180"/>
              <w:rPr>
                <w:sz w:val="24"/>
                <w:szCs w:val="24"/>
              </w:rPr>
            </w:pPr>
            <w:r>
              <w:rPr>
                <w:rFonts w:ascii="楷体" w:eastAsia="楷体" w:cs="楷体" w:hint="eastAsia"/>
                <w:kern w:val="0"/>
                <w:sz w:val="24"/>
                <w:szCs w:val="24"/>
              </w:rPr>
              <w:t>1.属于国家秘密</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682" w:type="dxa"/>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vAlign w:val="center"/>
          </w:tcPr>
          <w:p/>
        </w:tc>
        <w:tc>
          <w:tcPr>
            <w:tcW w:w="936" w:type="dxa"/>
            <w:vMerge/>
            <w:tcBorders>
              <w:top w:val="nil"/>
              <w:left w:val="nil"/>
              <w:bottom w:val="single" w:sz="8" w:space="0" w:color="auto"/>
              <w:right w:val="single" w:sz="8" w:space="0" w:color="auto"/>
              <w:tl2br w:val="nil"/>
              <w:tr2bl w:val="nil"/>
            </w:tcBorders>
            <w:vAlign w:val="center"/>
          </w:tcP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widowControl/>
              <w:spacing w:after="180"/>
              <w:rPr>
                <w:sz w:val="24"/>
                <w:szCs w:val="24"/>
              </w:rPr>
            </w:pPr>
            <w:r>
              <w:rPr>
                <w:rFonts w:ascii="楷体" w:eastAsia="楷体" w:cs="楷体" w:hint="eastAsia"/>
                <w:kern w:val="0"/>
                <w:sz w:val="24"/>
                <w:szCs w:val="24"/>
              </w:rPr>
              <w:t>2.其他法律行政法规禁止公开</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vAlign w:val="center"/>
          </w:tcPr>
          <w:p/>
        </w:tc>
        <w:tc>
          <w:tcPr>
            <w:tcW w:w="936" w:type="dxa"/>
            <w:vMerge/>
            <w:tcBorders>
              <w:top w:val="nil"/>
              <w:left w:val="nil"/>
              <w:bottom w:val="single" w:sz="8" w:space="0" w:color="auto"/>
              <w:right w:val="single" w:sz="8" w:space="0" w:color="auto"/>
              <w:tl2br w:val="nil"/>
              <w:tr2bl w:val="nil"/>
            </w:tcBorders>
            <w:vAlign w:val="center"/>
          </w:tcP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widowControl/>
              <w:spacing w:after="180"/>
              <w:rPr>
                <w:sz w:val="24"/>
                <w:szCs w:val="24"/>
              </w:rPr>
            </w:pPr>
            <w:r>
              <w:rPr>
                <w:rFonts w:ascii="楷体" w:eastAsia="楷体" w:cs="楷体" w:hint="eastAsia"/>
                <w:kern w:val="0"/>
                <w:sz w:val="24"/>
                <w:szCs w:val="24"/>
              </w:rPr>
              <w:t>3.危及“三安全一稳定”</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vAlign w:val="center"/>
          </w:tcPr>
          <w:p/>
        </w:tc>
        <w:tc>
          <w:tcPr>
            <w:tcW w:w="936" w:type="dxa"/>
            <w:vMerge/>
            <w:tcBorders>
              <w:top w:val="nil"/>
              <w:left w:val="nil"/>
              <w:bottom w:val="single" w:sz="8" w:space="0" w:color="auto"/>
              <w:right w:val="single" w:sz="8" w:space="0" w:color="auto"/>
              <w:tl2br w:val="nil"/>
              <w:tr2bl w:val="nil"/>
            </w:tcBorders>
            <w:vAlign w:val="center"/>
          </w:tcP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widowControl/>
              <w:spacing w:after="180"/>
              <w:rPr>
                <w:sz w:val="24"/>
                <w:szCs w:val="24"/>
              </w:rPr>
            </w:pPr>
            <w:r>
              <w:rPr>
                <w:rFonts w:ascii="楷体" w:eastAsia="楷体" w:cs="楷体" w:hint="eastAsia"/>
                <w:kern w:val="0"/>
                <w:sz w:val="24"/>
                <w:szCs w:val="24"/>
              </w:rPr>
              <w:t>4.保护第三方合法权益</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vAlign w:val="center"/>
          </w:tcPr>
          <w:p/>
        </w:tc>
        <w:tc>
          <w:tcPr>
            <w:tcW w:w="936" w:type="dxa"/>
            <w:vMerge/>
            <w:tcBorders>
              <w:top w:val="nil"/>
              <w:left w:val="nil"/>
              <w:bottom w:val="single" w:sz="8" w:space="0" w:color="auto"/>
              <w:right w:val="single" w:sz="8" w:space="0" w:color="auto"/>
              <w:tl2br w:val="nil"/>
              <w:tr2bl w:val="nil"/>
            </w:tcBorders>
            <w:vAlign w:val="center"/>
          </w:tcP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widowControl/>
              <w:rPr>
                <w:sz w:val="24"/>
                <w:szCs w:val="24"/>
              </w:rPr>
            </w:pPr>
            <w:r>
              <w:rPr>
                <w:rFonts w:ascii="楷体" w:eastAsia="楷体" w:cs="楷体" w:hint="eastAsia"/>
                <w:kern w:val="0"/>
                <w:sz w:val="24"/>
                <w:szCs w:val="24"/>
              </w:rPr>
              <w:t>5.属于三类内部事务信息</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vAlign w:val="center"/>
          </w:tcPr>
          <w:p/>
        </w:tc>
        <w:tc>
          <w:tcPr>
            <w:tcW w:w="936" w:type="dxa"/>
            <w:vMerge/>
            <w:tcBorders>
              <w:top w:val="nil"/>
              <w:left w:val="nil"/>
              <w:bottom w:val="single" w:sz="8" w:space="0" w:color="auto"/>
              <w:right w:val="single" w:sz="8" w:space="0" w:color="auto"/>
              <w:tl2br w:val="nil"/>
              <w:tr2bl w:val="nil"/>
            </w:tcBorders>
            <w:vAlign w:val="center"/>
          </w:tcP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widowControl/>
              <w:rPr>
                <w:sz w:val="24"/>
                <w:szCs w:val="24"/>
              </w:rPr>
            </w:pPr>
            <w:r>
              <w:rPr>
                <w:rFonts w:ascii="楷体" w:eastAsia="楷体" w:cs="楷体" w:hint="eastAsia"/>
                <w:kern w:val="0"/>
                <w:sz w:val="24"/>
                <w:szCs w:val="24"/>
              </w:rPr>
              <w:t>6.属于四类过程性信息</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vAlign w:val="center"/>
          </w:tcPr>
          <w:p/>
        </w:tc>
        <w:tc>
          <w:tcPr>
            <w:tcW w:w="936" w:type="dxa"/>
            <w:vMerge/>
            <w:tcBorders>
              <w:top w:val="nil"/>
              <w:left w:val="nil"/>
              <w:bottom w:val="single" w:sz="8" w:space="0" w:color="auto"/>
              <w:right w:val="single" w:sz="8" w:space="0" w:color="auto"/>
              <w:tl2br w:val="nil"/>
              <w:tr2bl w:val="nil"/>
            </w:tcBorders>
            <w:vAlign w:val="center"/>
          </w:tcP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widowControl/>
              <w:rPr>
                <w:sz w:val="24"/>
                <w:szCs w:val="24"/>
              </w:rPr>
            </w:pPr>
            <w:r>
              <w:rPr>
                <w:rFonts w:ascii="楷体" w:eastAsia="楷体" w:cs="楷体" w:hint="eastAsia"/>
                <w:kern w:val="0"/>
                <w:sz w:val="24"/>
                <w:szCs w:val="24"/>
              </w:rPr>
              <w:t>7.属于行政执法案卷</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vAlign w:val="center"/>
          </w:tcPr>
          <w:p/>
        </w:tc>
        <w:tc>
          <w:tcPr>
            <w:tcW w:w="936" w:type="dxa"/>
            <w:vMerge/>
            <w:tcBorders>
              <w:top w:val="nil"/>
              <w:left w:val="nil"/>
              <w:bottom w:val="single" w:sz="8" w:space="0" w:color="auto"/>
              <w:right w:val="single" w:sz="8" w:space="0" w:color="auto"/>
              <w:tl2br w:val="nil"/>
              <w:tr2bl w:val="nil"/>
            </w:tcBorders>
            <w:vAlign w:val="center"/>
          </w:tcP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widowControl/>
              <w:rPr>
                <w:sz w:val="24"/>
                <w:szCs w:val="24"/>
              </w:rPr>
            </w:pPr>
            <w:r>
              <w:rPr>
                <w:rFonts w:ascii="楷体" w:eastAsia="楷体" w:cs="楷体" w:hint="eastAsia"/>
                <w:kern w:val="0"/>
                <w:sz w:val="24"/>
                <w:szCs w:val="24"/>
              </w:rPr>
              <w:t>8.属于行政查询事项</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vAlign w:val="center"/>
          </w:tcPr>
          <w:p/>
        </w:tc>
        <w:tc>
          <w:tcPr>
            <w:tcW w:w="936" w:type="dxa"/>
            <w:vMerge w:val="restart"/>
            <w:tcBorders>
              <w:top w:val="nil"/>
              <w:left w:val="nil"/>
              <w:bottom w:val="single" w:sz="8" w:space="0" w:color="auto"/>
              <w:right w:val="single" w:sz="8" w:space="0" w:color="auto"/>
              <w:tl2br w:val="nil"/>
              <w:tr2bl w:val="nil"/>
            </w:tcBorders>
            <w:tcMar>
              <w:left w:w="108" w:type="dxa"/>
              <w:right w:w="108" w:type="dxa"/>
            </w:tcMar>
            <w:vAlign w:val="center"/>
          </w:tcPr>
          <w:p>
            <w:pPr>
              <w:pStyle w:val="29"/>
              <w:widowControl/>
              <w:rPr>
                <w:sz w:val="24"/>
                <w:szCs w:val="24"/>
              </w:rPr>
            </w:pPr>
            <w:r>
              <w:rPr>
                <w:rFonts w:ascii="楷体" w:eastAsia="楷体" w:cs="楷体" w:hint="eastAsia"/>
                <w:kern w:val="0"/>
                <w:sz w:val="24"/>
                <w:szCs w:val="24"/>
              </w:rPr>
              <w:t>（四）无法提供</w:t>
            </w: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widowControl/>
              <w:rPr>
                <w:sz w:val="24"/>
                <w:szCs w:val="24"/>
              </w:rPr>
            </w:pPr>
            <w:r>
              <w:rPr>
                <w:rFonts w:ascii="楷体" w:eastAsia="楷体" w:cs="楷体" w:hint="eastAsia"/>
                <w:kern w:val="0"/>
                <w:sz w:val="24"/>
                <w:szCs w:val="24"/>
              </w:rPr>
              <w:t>1.本机关不掌握相关政府信息</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1</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1</w:t>
            </w:r>
          </w:p>
        </w:tc>
      </w:tr>
      <w:tr>
        <w:tc>
          <w:tcPr>
            <w:tcW w:w="696" w:type="dxa"/>
            <w:vMerge/>
            <w:tcBorders>
              <w:top w:val="nil"/>
              <w:left w:val="single" w:sz="8" w:space="0" w:color="auto"/>
              <w:bottom w:val="single" w:sz="8" w:space="0" w:color="auto"/>
              <w:right w:val="single" w:sz="8" w:space="0" w:color="auto"/>
              <w:tl2br w:val="nil"/>
              <w:tr2bl w:val="nil"/>
            </w:tcBorders>
            <w:vAlign w:val="center"/>
          </w:tcPr>
          <w:p/>
        </w:tc>
        <w:tc>
          <w:tcPr>
            <w:tcW w:w="936" w:type="dxa"/>
            <w:vMerge/>
            <w:tcBorders>
              <w:top w:val="nil"/>
              <w:left w:val="nil"/>
              <w:bottom w:val="single" w:sz="8" w:space="0" w:color="auto"/>
              <w:right w:val="single" w:sz="8" w:space="0" w:color="auto"/>
              <w:tl2br w:val="nil"/>
              <w:tr2bl w:val="nil"/>
            </w:tcBorders>
            <w:vAlign w:val="center"/>
          </w:tcP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widowControl/>
              <w:rPr>
                <w:sz w:val="24"/>
                <w:szCs w:val="24"/>
              </w:rPr>
            </w:pPr>
            <w:r>
              <w:rPr>
                <w:rFonts w:ascii="楷体" w:eastAsia="楷体" w:cs="楷体" w:hint="eastAsia"/>
                <w:kern w:val="0"/>
                <w:sz w:val="24"/>
                <w:szCs w:val="24"/>
              </w:rPr>
              <w:t>2.没有现成信息需要另行制作</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vAlign w:val="center"/>
          </w:tcPr>
          <w:p/>
        </w:tc>
        <w:tc>
          <w:tcPr>
            <w:tcW w:w="936" w:type="dxa"/>
            <w:vMerge/>
            <w:tcBorders>
              <w:top w:val="nil"/>
              <w:left w:val="nil"/>
              <w:bottom w:val="single" w:sz="8" w:space="0" w:color="auto"/>
              <w:right w:val="single" w:sz="8" w:space="0" w:color="auto"/>
              <w:tl2br w:val="nil"/>
              <w:tr2bl w:val="nil"/>
            </w:tcBorders>
            <w:vAlign w:val="center"/>
          </w:tcP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widowControl/>
              <w:rPr>
                <w:sz w:val="24"/>
                <w:szCs w:val="24"/>
              </w:rPr>
            </w:pPr>
            <w:r>
              <w:rPr>
                <w:rFonts w:ascii="楷体" w:eastAsia="楷体" w:cs="楷体" w:hint="eastAsia"/>
                <w:kern w:val="0"/>
                <w:sz w:val="24"/>
                <w:szCs w:val="24"/>
              </w:rPr>
              <w:t>3.补正后申请内容仍不明确</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vAlign w:val="center"/>
          </w:tcPr>
          <w:p/>
        </w:tc>
        <w:tc>
          <w:tcPr>
            <w:tcW w:w="936" w:type="dxa"/>
            <w:vMerge w:val="restart"/>
            <w:tcBorders>
              <w:top w:val="nil"/>
              <w:left w:val="nil"/>
              <w:bottom w:val="single" w:sz="8" w:space="0" w:color="auto"/>
              <w:right w:val="single" w:sz="8" w:space="0" w:color="auto"/>
              <w:tl2br w:val="nil"/>
              <w:tr2bl w:val="nil"/>
            </w:tcBorders>
            <w:tcMar>
              <w:left w:w="108" w:type="dxa"/>
              <w:right w:w="108" w:type="dxa"/>
            </w:tcMar>
            <w:vAlign w:val="center"/>
          </w:tcPr>
          <w:p>
            <w:pPr>
              <w:pStyle w:val="29"/>
              <w:widowControl/>
              <w:rPr>
                <w:sz w:val="24"/>
                <w:szCs w:val="24"/>
              </w:rPr>
            </w:pPr>
            <w:r>
              <w:rPr>
                <w:rFonts w:ascii="楷体" w:eastAsia="楷体" w:cs="楷体" w:hint="eastAsia"/>
                <w:kern w:val="0"/>
                <w:sz w:val="24"/>
                <w:szCs w:val="24"/>
              </w:rPr>
              <w:t>（五）不予处理</w:t>
            </w: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widowControl/>
              <w:rPr>
                <w:sz w:val="24"/>
                <w:szCs w:val="24"/>
              </w:rPr>
            </w:pPr>
            <w:r>
              <w:rPr>
                <w:rFonts w:ascii="楷体" w:eastAsia="楷体" w:cs="楷体" w:hint="eastAsia"/>
                <w:kern w:val="0"/>
                <w:sz w:val="24"/>
                <w:szCs w:val="24"/>
              </w:rPr>
              <w:t>1.信访举报投诉类申请</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vAlign w:val="center"/>
          </w:tcPr>
          <w:p/>
        </w:tc>
        <w:tc>
          <w:tcPr>
            <w:tcW w:w="936" w:type="dxa"/>
            <w:vMerge/>
            <w:tcBorders>
              <w:top w:val="nil"/>
              <w:left w:val="nil"/>
              <w:bottom w:val="single" w:sz="8" w:space="0" w:color="auto"/>
              <w:right w:val="single" w:sz="8" w:space="0" w:color="auto"/>
              <w:tl2br w:val="nil"/>
              <w:tr2bl w:val="nil"/>
            </w:tcBorders>
            <w:vAlign w:val="center"/>
          </w:tcP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widowControl/>
              <w:rPr>
                <w:sz w:val="24"/>
                <w:szCs w:val="24"/>
              </w:rPr>
            </w:pPr>
            <w:r>
              <w:rPr>
                <w:rFonts w:ascii="楷体" w:eastAsia="楷体" w:cs="楷体" w:hint="eastAsia"/>
                <w:kern w:val="0"/>
                <w:sz w:val="24"/>
                <w:szCs w:val="24"/>
              </w:rPr>
              <w:t>2.重复申请</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vAlign w:val="center"/>
          </w:tcPr>
          <w:p/>
        </w:tc>
        <w:tc>
          <w:tcPr>
            <w:tcW w:w="936" w:type="dxa"/>
            <w:vMerge/>
            <w:tcBorders>
              <w:top w:val="nil"/>
              <w:left w:val="nil"/>
              <w:bottom w:val="single" w:sz="8" w:space="0" w:color="auto"/>
              <w:right w:val="single" w:sz="8" w:space="0" w:color="auto"/>
              <w:tl2br w:val="nil"/>
              <w:tr2bl w:val="nil"/>
            </w:tcBorders>
            <w:vAlign w:val="center"/>
          </w:tcP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widowControl/>
              <w:rPr>
                <w:sz w:val="24"/>
                <w:szCs w:val="24"/>
              </w:rPr>
            </w:pPr>
            <w:r>
              <w:rPr>
                <w:rFonts w:ascii="楷体" w:eastAsia="楷体" w:cs="楷体" w:hint="eastAsia"/>
                <w:kern w:val="0"/>
                <w:sz w:val="24"/>
                <w:szCs w:val="24"/>
              </w:rPr>
              <w:t>3.要求提供公开出版物</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r>
      <w:tr>
        <w:trPr>
          <w:trHeight w:val="810"/>
        </w:trPr>
        <w:tc>
          <w:tcPr>
            <w:tcW w:w="696" w:type="dxa"/>
            <w:vMerge/>
            <w:tcBorders>
              <w:top w:val="nil"/>
              <w:left w:val="single" w:sz="8" w:space="0" w:color="auto"/>
              <w:bottom w:val="single" w:sz="8" w:space="0" w:color="auto"/>
              <w:right w:val="single" w:sz="8" w:space="0" w:color="auto"/>
              <w:tl2br w:val="nil"/>
              <w:tr2bl w:val="nil"/>
            </w:tcBorders>
            <w:vAlign w:val="center"/>
          </w:tcPr>
          <w:p/>
        </w:tc>
        <w:tc>
          <w:tcPr>
            <w:tcW w:w="936" w:type="dxa"/>
            <w:vMerge/>
            <w:tcBorders>
              <w:top w:val="nil"/>
              <w:left w:val="nil"/>
              <w:bottom w:val="single" w:sz="8" w:space="0" w:color="auto"/>
              <w:right w:val="single" w:sz="8" w:space="0" w:color="auto"/>
              <w:tl2br w:val="nil"/>
              <w:tr2bl w:val="nil"/>
            </w:tcBorders>
            <w:vAlign w:val="center"/>
          </w:tcP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widowControl/>
              <w:rPr>
                <w:sz w:val="24"/>
                <w:szCs w:val="24"/>
              </w:rPr>
            </w:pPr>
            <w:r>
              <w:rPr>
                <w:rFonts w:ascii="楷体" w:eastAsia="楷体" w:cs="楷体" w:hint="eastAsia"/>
                <w:kern w:val="0"/>
                <w:sz w:val="24"/>
                <w:szCs w:val="24"/>
              </w:rPr>
              <w:t>4.无正当理由大量反复申请</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vAlign w:val="center"/>
          </w:tcPr>
          <w:p/>
        </w:tc>
        <w:tc>
          <w:tcPr>
            <w:tcW w:w="936" w:type="dxa"/>
            <w:vMerge/>
            <w:tcBorders>
              <w:top w:val="nil"/>
              <w:left w:val="nil"/>
              <w:bottom w:val="single" w:sz="8" w:space="0" w:color="auto"/>
              <w:right w:val="single" w:sz="8" w:space="0" w:color="auto"/>
              <w:tl2br w:val="nil"/>
              <w:tr2bl w:val="nil"/>
            </w:tcBorders>
            <w:vAlign w:val="center"/>
          </w:tcP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widowControl/>
              <w:rPr>
                <w:sz w:val="24"/>
                <w:szCs w:val="24"/>
              </w:rPr>
            </w:pPr>
            <w:r>
              <w:rPr>
                <w:rFonts w:ascii="楷体" w:eastAsia="楷体" w:cs="楷体" w:hint="eastAsia"/>
                <w:kern w:val="0"/>
                <w:sz w:val="24"/>
                <w:szCs w:val="24"/>
              </w:rPr>
              <w:t>5.要求行政机关确认或重新出具已获取信息</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r>
      <w:tr>
        <w:trPr>
          <w:trHeight w:val="566"/>
        </w:trPr>
        <w:tc>
          <w:tcPr>
            <w:tcW w:w="696" w:type="dxa"/>
            <w:vMerge/>
            <w:tcBorders>
              <w:top w:val="nil"/>
              <w:left w:val="single" w:sz="8" w:space="0" w:color="auto"/>
              <w:bottom w:val="single" w:sz="8" w:space="0" w:color="auto"/>
              <w:right w:val="single" w:sz="8" w:space="0" w:color="auto"/>
              <w:tl2br w:val="nil"/>
              <w:tr2bl w:val="nil"/>
            </w:tcBorders>
            <w:vAlign w:val="center"/>
          </w:tcPr>
          <w:p/>
        </w:tc>
        <w:tc>
          <w:tcPr>
            <w:tcW w:w="936" w:type="dxa"/>
            <w:vMerge w:val="restart"/>
            <w:tcBorders>
              <w:top w:val="nil"/>
              <w:left w:val="nil"/>
              <w:bottom w:val="single" w:sz="8" w:space="0" w:color="auto"/>
              <w:right w:val="single" w:sz="8" w:space="0" w:color="auto"/>
              <w:tl2br w:val="nil"/>
              <w:tr2bl w:val="nil"/>
            </w:tcBorders>
            <w:tcMar>
              <w:left w:w="108" w:type="dxa"/>
              <w:right w:w="108" w:type="dxa"/>
            </w:tcMar>
            <w:vAlign w:val="center"/>
          </w:tcPr>
          <w:p>
            <w:pPr>
              <w:pStyle w:val="29"/>
              <w:widowControl/>
              <w:rPr>
                <w:sz w:val="24"/>
                <w:szCs w:val="24"/>
              </w:rPr>
            </w:pPr>
            <w:r>
              <w:rPr>
                <w:rFonts w:ascii="楷体" w:eastAsia="楷体" w:cs="楷体" w:hint="eastAsia"/>
                <w:kern w:val="0"/>
                <w:sz w:val="24"/>
                <w:szCs w:val="24"/>
              </w:rPr>
              <w:t>（六）其他处理</w:t>
            </w:r>
          </w:p>
        </w:tc>
        <w:tc>
          <w:tcPr>
            <w:tcW w:w="2670" w:type="dxa"/>
            <w:tcBorders>
              <w:top w:val="nil"/>
              <w:left w:val="single" w:sz="8" w:space="0" w:color="auto"/>
              <w:bottom w:val="single" w:sz="8" w:space="0" w:color="auto"/>
              <w:right w:val="single" w:sz="8" w:space="0" w:color="auto"/>
              <w:tl2br w:val="nil"/>
              <w:tr2bl w:val="nil"/>
            </w:tcBorders>
            <w:tcMar>
              <w:left w:w="108" w:type="dxa"/>
              <w:right w:w="108" w:type="dxa"/>
            </w:tcMar>
          </w:tcPr>
          <w:p>
            <w:pPr>
              <w:pStyle w:val="29"/>
              <w:widowControl/>
              <w:rPr>
                <w:rFonts w:ascii="楷体" w:eastAsia="楷体" w:cs="楷体"/>
                <w:kern w:val="0"/>
                <w:sz w:val="24"/>
                <w:szCs w:val="24"/>
              </w:rPr>
            </w:pPr>
            <w:r>
              <w:rPr>
                <w:rFonts w:ascii="楷体" w:eastAsia="楷体" w:cs="楷体" w:hint="eastAsia"/>
                <w:kern w:val="0"/>
                <w:sz w:val="24"/>
                <w:szCs w:val="24"/>
              </w:rPr>
              <w:t>1.申请人撤销申请</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r>
      <w:tr>
        <w:trPr>
          <w:trHeight w:val="566"/>
        </w:trPr>
        <w:tc>
          <w:tcPr>
            <w:tcW w:w="696" w:type="dxa"/>
            <w:vMerge/>
            <w:tcBorders>
              <w:top w:val="nil"/>
              <w:left w:val="single" w:sz="8" w:space="0" w:color="auto"/>
              <w:bottom w:val="single" w:sz="8" w:space="0" w:color="auto"/>
              <w:right w:val="single" w:sz="8" w:space="0" w:color="auto"/>
              <w:tl2br w:val="nil"/>
              <w:tr2bl w:val="nil"/>
            </w:tcBorders>
            <w:vAlign w:val="center"/>
          </w:tcPr>
          <w:p/>
        </w:tc>
        <w:tc>
          <w:tcPr>
            <w:tcW w:w="936" w:type="dxa"/>
            <w:vMerge/>
            <w:tcBorders>
              <w:top w:val="nil"/>
              <w:left w:val="nil"/>
              <w:bottom w:val="single" w:sz="8" w:space="0" w:color="auto"/>
              <w:right w:val="single" w:sz="8" w:space="0" w:color="auto"/>
              <w:tl2br w:val="nil"/>
              <w:tr2bl w:val="nil"/>
            </w:tcBorders>
            <w:vAlign w:val="center"/>
          </w:tcPr>
          <w:p/>
        </w:tc>
        <w:tc>
          <w:tcPr>
            <w:tcW w:w="2670" w:type="dxa"/>
            <w:tcBorders>
              <w:top w:val="nil"/>
              <w:left w:val="single" w:sz="8" w:space="0" w:color="auto"/>
              <w:bottom w:val="single" w:sz="8" w:space="0" w:color="auto"/>
              <w:right w:val="single" w:sz="8" w:space="0" w:color="auto"/>
              <w:tl2br w:val="nil"/>
              <w:tr2bl w:val="nil"/>
            </w:tcBorders>
          </w:tcPr>
          <w:p>
            <w:pPr>
              <w:pStyle w:val="29"/>
              <w:widowControl/>
              <w:rPr>
                <w:rFonts w:ascii="楷体" w:eastAsia="楷体" w:cs="楷体"/>
                <w:kern w:val="0"/>
                <w:sz w:val="24"/>
                <w:szCs w:val="24"/>
              </w:rPr>
            </w:pPr>
            <w:r>
              <w:rPr>
                <w:rFonts w:ascii="楷体" w:eastAsia="楷体" w:cs="楷体" w:hint="eastAsia"/>
                <w:kern w:val="0"/>
                <w:sz w:val="24"/>
                <w:szCs w:val="24"/>
              </w:rPr>
              <w:t>2.咨询事项，指引咨询渠道</w:t>
            </w:r>
          </w:p>
        </w:tc>
        <w:tc>
          <w:tcPr>
            <w:tcW w:w="635" w:type="dxa"/>
            <w:tcBorders>
              <w:top w:val="nil"/>
              <w:left w:val="nil"/>
              <w:bottom w:val="single" w:sz="8" w:space="0" w:color="auto"/>
              <w:right w:val="single" w:sz="8" w:space="0" w:color="auto"/>
              <w:tl2br w:val="nil"/>
              <w:tr2bl w:val="nil"/>
            </w:tcBorders>
            <w:vAlign w:val="center"/>
          </w:tcPr>
          <w:p>
            <w:pPr>
              <w:pStyle w:val="29"/>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vAlign w:val="center"/>
          </w:tcPr>
          <w:p>
            <w:pPr>
              <w:pStyle w:val="29"/>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vAlign w:val="center"/>
          </w:tcPr>
          <w:p>
            <w:pPr>
              <w:pStyle w:val="29"/>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vAlign w:val="center"/>
          </w:tcPr>
          <w:p>
            <w:pPr>
              <w:pStyle w:val="29"/>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vAlign w:val="center"/>
          </w:tcPr>
          <w:p>
            <w:pPr>
              <w:pStyle w:val="29"/>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vAlign w:val="center"/>
          </w:tcPr>
          <w:p>
            <w:pPr>
              <w:pStyle w:val="29"/>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vAlign w:val="center"/>
          </w:tcPr>
          <w:p>
            <w:pPr>
              <w:pStyle w:val="29"/>
              <w:jc w:val="center"/>
              <w:rPr>
                <w:rFonts w:eastAsia="方正仿宋_GBK"/>
                <w:sz w:val="24"/>
                <w:szCs w:val="24"/>
              </w:rPr>
            </w:pPr>
            <w:r>
              <w:rPr>
                <w:rFonts w:eastAsia="方正仿宋_GBK"/>
                <w:sz w:val="24"/>
                <w:szCs w:val="24"/>
              </w:rPr>
              <w:t>0</w:t>
            </w:r>
          </w:p>
        </w:tc>
      </w:tr>
      <w:tr>
        <w:trPr>
          <w:trHeight w:val="566"/>
        </w:trPr>
        <w:tc>
          <w:tcPr>
            <w:tcW w:w="696" w:type="dxa"/>
            <w:vMerge/>
            <w:tcBorders>
              <w:top w:val="nil"/>
              <w:left w:val="single" w:sz="8" w:space="0" w:color="auto"/>
              <w:bottom w:val="single" w:sz="8" w:space="0" w:color="auto"/>
              <w:right w:val="single" w:sz="8" w:space="0" w:color="auto"/>
              <w:tl2br w:val="nil"/>
              <w:tr2bl w:val="nil"/>
            </w:tcBorders>
            <w:vAlign w:val="center"/>
          </w:tcPr>
          <w:p/>
        </w:tc>
        <w:tc>
          <w:tcPr>
            <w:tcW w:w="936" w:type="dxa"/>
            <w:vMerge/>
            <w:tcBorders>
              <w:top w:val="nil"/>
              <w:left w:val="nil"/>
              <w:bottom w:val="single" w:sz="8" w:space="0" w:color="auto"/>
              <w:right w:val="single" w:sz="8" w:space="0" w:color="auto"/>
              <w:tl2br w:val="nil"/>
              <w:tr2bl w:val="nil"/>
            </w:tcBorders>
            <w:vAlign w:val="center"/>
          </w:tcPr>
          <w:p/>
        </w:tc>
        <w:tc>
          <w:tcPr>
            <w:tcW w:w="2670" w:type="dxa"/>
            <w:tcBorders>
              <w:top w:val="nil"/>
              <w:left w:val="single" w:sz="8" w:space="0" w:color="auto"/>
              <w:bottom w:val="single" w:sz="8" w:space="0" w:color="auto"/>
              <w:right w:val="single" w:sz="8" w:space="0" w:color="auto"/>
              <w:tl2br w:val="nil"/>
              <w:tr2bl w:val="nil"/>
            </w:tcBorders>
          </w:tcPr>
          <w:p>
            <w:pPr>
              <w:pStyle w:val="29"/>
              <w:widowControl/>
              <w:rPr>
                <w:rFonts w:ascii="楷体" w:eastAsia="楷体" w:cs="楷体"/>
                <w:kern w:val="0"/>
                <w:sz w:val="24"/>
                <w:szCs w:val="24"/>
              </w:rPr>
            </w:pPr>
            <w:r>
              <w:rPr>
                <w:rFonts w:ascii="楷体" w:eastAsia="楷体" w:cs="楷体" w:hint="eastAsia"/>
                <w:kern w:val="0"/>
                <w:sz w:val="24"/>
                <w:szCs w:val="24"/>
              </w:rPr>
              <w:t>3.逾期未补正</w:t>
            </w:r>
          </w:p>
        </w:tc>
        <w:tc>
          <w:tcPr>
            <w:tcW w:w="635" w:type="dxa"/>
            <w:tcBorders>
              <w:top w:val="nil"/>
              <w:left w:val="nil"/>
              <w:bottom w:val="single" w:sz="8" w:space="0" w:color="auto"/>
              <w:right w:val="single" w:sz="8" w:space="0" w:color="auto"/>
              <w:tl2br w:val="nil"/>
              <w:tr2bl w:val="nil"/>
            </w:tcBorders>
            <w:vAlign w:val="center"/>
          </w:tcPr>
          <w:p>
            <w:pPr>
              <w:pStyle w:val="29"/>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vAlign w:val="center"/>
          </w:tcPr>
          <w:p>
            <w:pPr>
              <w:pStyle w:val="29"/>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vAlign w:val="center"/>
          </w:tcPr>
          <w:p>
            <w:pPr>
              <w:pStyle w:val="29"/>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vAlign w:val="center"/>
          </w:tcPr>
          <w:p>
            <w:pPr>
              <w:pStyle w:val="29"/>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vAlign w:val="center"/>
          </w:tcPr>
          <w:p>
            <w:pPr>
              <w:pStyle w:val="29"/>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vAlign w:val="center"/>
          </w:tcPr>
          <w:p>
            <w:pPr>
              <w:pStyle w:val="29"/>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vAlign w:val="center"/>
          </w:tcPr>
          <w:p>
            <w:pPr>
              <w:pStyle w:val="29"/>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vAlign w:val="center"/>
          </w:tcPr>
          <w:p/>
        </w:tc>
        <w:tc>
          <w:tcPr>
            <w:tcW w:w="3606" w:type="dxa"/>
            <w:gridSpan w:val="2"/>
            <w:tcBorders>
              <w:top w:val="nil"/>
              <w:left w:val="nil"/>
              <w:bottom w:val="single" w:sz="8" w:space="0" w:color="auto"/>
              <w:right w:val="single" w:sz="8" w:space="0" w:color="auto"/>
              <w:tl2br w:val="nil"/>
              <w:tr2bl w:val="nil"/>
            </w:tcBorders>
            <w:tcMar>
              <w:left w:w="108" w:type="dxa"/>
              <w:right w:w="108" w:type="dxa"/>
            </w:tcMar>
            <w:vAlign w:val="center"/>
          </w:tcPr>
          <w:p>
            <w:pPr>
              <w:pStyle w:val="29"/>
              <w:widowControl/>
              <w:rPr>
                <w:sz w:val="24"/>
                <w:szCs w:val="24"/>
              </w:rPr>
            </w:pPr>
            <w:r>
              <w:rPr>
                <w:rFonts w:ascii="楷体" w:eastAsia="楷体" w:cs="楷体" w:hint="eastAsia"/>
                <w:kern w:val="0"/>
                <w:sz w:val="24"/>
                <w:szCs w:val="24"/>
              </w:rPr>
              <w:t>（七）总计</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5</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5</w:t>
            </w:r>
          </w:p>
        </w:tc>
      </w:tr>
      <w:tr>
        <w:tc>
          <w:tcPr>
            <w:tcW w:w="4302" w:type="dxa"/>
            <w:gridSpan w:val="3"/>
            <w:tcBorders>
              <w:top w:val="nil"/>
              <w:left w:val="single" w:sz="8" w:space="0" w:color="auto"/>
              <w:bottom w:val="single" w:sz="8" w:space="0" w:color="auto"/>
              <w:right w:val="single" w:sz="8" w:space="0" w:color="auto"/>
              <w:tl2br w:val="nil"/>
              <w:tr2bl w:val="nil"/>
            </w:tcBorders>
            <w:tcMar>
              <w:left w:w="108" w:type="dxa"/>
              <w:right w:w="108" w:type="dxa"/>
            </w:tcMar>
            <w:vAlign w:val="center"/>
          </w:tcPr>
          <w:p>
            <w:pPr>
              <w:pStyle w:val="29"/>
              <w:widowControl/>
              <w:jc w:val="left"/>
            </w:pPr>
            <w:r>
              <w:rPr>
                <w:rFonts w:ascii="宋体" w:cs="宋体" w:hint="eastAsia"/>
                <w:kern w:val="0"/>
                <w:sz w:val="24"/>
                <w:szCs w:val="24"/>
              </w:rPr>
              <w:t>四、结转下年度继续办理</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jc w:val="center"/>
              <w:rPr>
                <w:rFonts w:eastAsia="方正仿宋_GBK"/>
                <w:sz w:val="24"/>
                <w:szCs w:val="24"/>
              </w:rPr>
            </w:pPr>
            <w:r>
              <w:rPr>
                <w:rFonts w:eastAsia="方正仿宋_GBK"/>
                <w:sz w:val="24"/>
                <w:szCs w:val="24"/>
              </w:rPr>
              <w:t>0</w:t>
            </w:r>
          </w:p>
        </w:tc>
      </w:tr>
    </w:tbl>
    <w:p>
      <w:pPr>
        <w:pStyle w:val="29"/>
        <w:widowControl/>
        <w:shd w:val="clear" w:color="auto" w:fill="FFFFFF"/>
        <w:spacing w:beforeLines="50" w:before="218" w:after="120"/>
        <w:ind w:firstLineChars="200" w:firstLine="640"/>
        <w:rPr>
          <w:rFonts w:ascii="宋体" w:cs="宋体"/>
          <w:szCs w:val="24"/>
        </w:rPr>
      </w:pPr>
      <w:r>
        <w:rPr>
          <w:rFonts w:ascii="方正黑体_GBK" w:eastAsia="方正黑体_GBK" w:cs="楷体_GB2312" w:hint="eastAsia"/>
          <w:bCs/>
          <w:sz w:val="32"/>
          <w:szCs w:val="32"/>
          <w:shd w:val="clear" w:color="auto" w:fill="FFFFFF"/>
        </w:rPr>
        <w:t>四、政府信息公开行政复议、行政诉讼情况</w:t>
      </w:r>
    </w:p>
    <w:tbl>
      <w:tblPr>
        <w:jc w:val="center"/>
        <w:tblW w:w="9072" w:type="dxa"/>
        <w:tblBorders>
          <w:top w:val="none" w:sz="0" w:space="0" w:color="auto"/>
          <w:left w:val="none" w:sz="0" w:space="0" w:color="auto"/>
          <w:bottom w:val="none" w:sz="0" w:space="0" w:color="auto"/>
          <w:right w:val="none" w:sz="0" w:space="0" w:color="auto"/>
        </w:tblBorders>
        <w:tblLayout w:type="fixed"/>
        <w:tblCellMar>
          <w:top w:w="0" w:type="dxa"/>
          <w:left w:w="0" w:type="dxa"/>
          <w:bottom w:w="0" w:type="dxa"/>
          <w:right w:w="0" w:type="dxa"/>
        </w:tblCellMar>
      </w:tblPr>
      <w:tblGrid>
        <w:gridCol w:w="604"/>
        <w:gridCol w:w="604"/>
        <w:gridCol w:w="604"/>
        <w:gridCol w:w="604"/>
        <w:gridCol w:w="658"/>
        <w:gridCol w:w="550"/>
        <w:gridCol w:w="605"/>
        <w:gridCol w:w="605"/>
        <w:gridCol w:w="605"/>
        <w:gridCol w:w="605"/>
        <w:gridCol w:w="605"/>
        <w:gridCol w:w="605"/>
        <w:gridCol w:w="605"/>
        <w:gridCol w:w="606"/>
        <w:gridCol w:w="606"/>
      </w:tblGrid>
      <w:tr>
        <w:tc>
          <w:tcPr>
            <w:tcW w:w="3074" w:type="dxa"/>
            <w:gridSpan w:val="5"/>
            <w:tcBorders>
              <w:top w:val="single" w:sz="8" w:space="0" w:color="auto"/>
              <w:left w:val="single" w:sz="8" w:space="0" w:color="auto"/>
              <w:bottom w:val="single" w:sz="8" w:space="0" w:color="auto"/>
              <w:right w:val="single" w:sz="8" w:space="0" w:color="auto"/>
              <w:tl2br w:val="nil"/>
              <w:tr2bl w:val="nil"/>
            </w:tcBorders>
            <w:tcMar>
              <w:left w:w="108" w:type="dxa"/>
              <w:right w:w="108" w:type="dxa"/>
            </w:tcMar>
            <w:vAlign w:val="center"/>
          </w:tcPr>
          <w:p>
            <w:pPr>
              <w:pStyle w:val="29"/>
              <w:widowControl/>
              <w:jc w:val="center"/>
              <w:rPr>
                <w:sz w:val="24"/>
                <w:szCs w:val="24"/>
              </w:rPr>
            </w:pPr>
            <w:r>
              <w:rPr>
                <w:rFonts w:ascii="宋体" w:cs="宋体" w:hint="eastAsia"/>
                <w:kern w:val="0"/>
                <w:sz w:val="24"/>
                <w:szCs w:val="24"/>
              </w:rPr>
              <w:t>行政复议</w:t>
            </w:r>
          </w:p>
        </w:tc>
        <w:tc>
          <w:tcPr>
            <w:tcW w:w="5997" w:type="dxa"/>
            <w:gridSpan w:val="10"/>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29"/>
              <w:widowControl/>
              <w:jc w:val="center"/>
              <w:rPr>
                <w:sz w:val="24"/>
                <w:szCs w:val="24"/>
              </w:rPr>
            </w:pPr>
            <w:r>
              <w:rPr>
                <w:rFonts w:ascii="宋体" w:cs="宋体" w:hint="eastAsia"/>
                <w:kern w:val="0"/>
                <w:sz w:val="24"/>
                <w:szCs w:val="24"/>
              </w:rPr>
              <w:t>行政诉讼</w:t>
            </w:r>
          </w:p>
        </w:tc>
      </w:tr>
      <w:tr>
        <w:tc>
          <w:tcPr>
            <w:tcW w:w="604" w:type="dxa"/>
            <w:vMerge w:val="restart"/>
            <w:tcBorders>
              <w:top w:val="nil"/>
              <w:left w:val="single" w:sz="8" w:space="0" w:color="auto"/>
              <w:bottom w:val="single" w:sz="8" w:space="0" w:color="auto"/>
              <w:right w:val="single" w:sz="8" w:space="0" w:color="auto"/>
              <w:tl2br w:val="nil"/>
              <w:tr2bl w:val="nil"/>
            </w:tcBorders>
            <w:tcMar>
              <w:left w:w="108" w:type="dxa"/>
              <w:right w:w="108" w:type="dxa"/>
            </w:tcMar>
            <w:vAlign w:val="center"/>
          </w:tcPr>
          <w:p>
            <w:pPr>
              <w:pStyle w:val="29"/>
              <w:widowControl/>
              <w:jc w:val="center"/>
              <w:rPr>
                <w:sz w:val="24"/>
                <w:szCs w:val="24"/>
              </w:rPr>
            </w:pPr>
            <w:r>
              <w:rPr>
                <w:rFonts w:ascii="宋体" w:cs="宋体" w:hint="eastAsia"/>
                <w:kern w:val="0"/>
                <w:sz w:val="24"/>
                <w:szCs w:val="24"/>
              </w:rPr>
              <w:t>结果维持</w:t>
            </w:r>
          </w:p>
        </w:tc>
        <w:tc>
          <w:tcPr>
            <w:tcW w:w="604" w:type="dxa"/>
            <w:vMerge w:val="restart"/>
            <w:tcBorders>
              <w:top w:val="nil"/>
              <w:left w:val="nil"/>
              <w:bottom w:val="single" w:sz="8" w:space="0" w:color="auto"/>
              <w:right w:val="single" w:sz="8" w:space="0" w:color="auto"/>
              <w:tl2br w:val="nil"/>
              <w:tr2bl w:val="nil"/>
            </w:tcBorders>
            <w:tcMar>
              <w:left w:w="108" w:type="dxa"/>
              <w:right w:w="108" w:type="dxa"/>
            </w:tcMar>
            <w:vAlign w:val="center"/>
          </w:tcPr>
          <w:p>
            <w:pPr>
              <w:pStyle w:val="29"/>
              <w:widowControl/>
              <w:jc w:val="center"/>
              <w:rPr>
                <w:sz w:val="24"/>
                <w:szCs w:val="24"/>
              </w:rPr>
            </w:pPr>
            <w:r>
              <w:rPr>
                <w:rFonts w:ascii="宋体" w:cs="宋体" w:hint="eastAsia"/>
                <w:kern w:val="0"/>
                <w:sz w:val="24"/>
                <w:szCs w:val="24"/>
              </w:rPr>
              <w:t>结果纠正</w:t>
            </w:r>
          </w:p>
        </w:tc>
        <w:tc>
          <w:tcPr>
            <w:tcW w:w="604" w:type="dxa"/>
            <w:vMerge w:val="restart"/>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29"/>
              <w:widowControl/>
              <w:jc w:val="center"/>
              <w:rPr>
                <w:sz w:val="24"/>
                <w:szCs w:val="24"/>
              </w:rPr>
            </w:pPr>
            <w:r>
              <w:rPr>
                <w:rFonts w:ascii="宋体" w:cs="宋体" w:hint="eastAsia"/>
                <w:kern w:val="0"/>
                <w:sz w:val="24"/>
                <w:szCs w:val="24"/>
              </w:rPr>
              <w:t>其他结果</w:t>
            </w:r>
          </w:p>
        </w:tc>
        <w:tc>
          <w:tcPr>
            <w:tcW w:w="604" w:type="dxa"/>
            <w:vMerge w:val="restart"/>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29"/>
              <w:widowControl/>
              <w:jc w:val="center"/>
              <w:rPr>
                <w:sz w:val="24"/>
                <w:szCs w:val="24"/>
              </w:rPr>
            </w:pPr>
            <w:r>
              <w:rPr>
                <w:rFonts w:ascii="宋体" w:cs="宋体" w:hint="eastAsia"/>
                <w:kern w:val="0"/>
                <w:sz w:val="24"/>
                <w:szCs w:val="24"/>
              </w:rPr>
              <w:t>尚未审结</w:t>
            </w:r>
          </w:p>
        </w:tc>
        <w:tc>
          <w:tcPr>
            <w:tcW w:w="658" w:type="dxa"/>
            <w:vMerge w:val="restart"/>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29"/>
              <w:widowControl/>
              <w:jc w:val="center"/>
              <w:rPr>
                <w:sz w:val="24"/>
                <w:szCs w:val="24"/>
              </w:rPr>
            </w:pPr>
            <w:r>
              <w:rPr>
                <w:rFonts w:ascii="宋体" w:cs="宋体" w:hint="eastAsia"/>
                <w:kern w:val="0"/>
                <w:sz w:val="24"/>
                <w:szCs w:val="24"/>
              </w:rPr>
              <w:t>总计</w:t>
            </w:r>
          </w:p>
        </w:tc>
        <w:tc>
          <w:tcPr>
            <w:tcW w:w="2970" w:type="dxa"/>
            <w:gridSpan w:val="5"/>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29"/>
              <w:widowControl/>
              <w:jc w:val="center"/>
              <w:rPr>
                <w:sz w:val="24"/>
                <w:szCs w:val="24"/>
              </w:rPr>
            </w:pPr>
            <w:r>
              <w:rPr>
                <w:rFonts w:ascii="宋体" w:cs="宋体" w:hint="eastAsia"/>
                <w:kern w:val="0"/>
                <w:sz w:val="24"/>
                <w:szCs w:val="24"/>
              </w:rPr>
              <w:t>未经复议直接起诉</w:t>
            </w:r>
          </w:p>
        </w:tc>
        <w:tc>
          <w:tcPr>
            <w:tcW w:w="3027" w:type="dxa"/>
            <w:gridSpan w:val="5"/>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29"/>
              <w:widowControl/>
              <w:jc w:val="center"/>
              <w:rPr>
                <w:sz w:val="24"/>
                <w:szCs w:val="24"/>
              </w:rPr>
            </w:pPr>
            <w:r>
              <w:rPr>
                <w:rFonts w:ascii="宋体" w:cs="宋体" w:hint="eastAsia"/>
                <w:kern w:val="0"/>
                <w:sz w:val="24"/>
                <w:szCs w:val="24"/>
              </w:rPr>
              <w:t>复议后起诉</w:t>
            </w:r>
          </w:p>
        </w:tc>
      </w:tr>
      <w:tr>
        <w:tc>
          <w:tcPr>
            <w:tcW w:w="604" w:type="dxa"/>
            <w:vMerge/>
            <w:tcBorders>
              <w:top w:val="nil"/>
              <w:left w:val="single" w:sz="8" w:space="0" w:color="auto"/>
              <w:bottom w:val="single" w:sz="8" w:space="0" w:color="auto"/>
              <w:right w:val="single" w:sz="8" w:space="0" w:color="auto"/>
              <w:tl2br w:val="nil"/>
              <w:tr2bl w:val="nil"/>
            </w:tcBorders>
            <w:vAlign w:val="center"/>
          </w:tcPr>
          <w:p/>
        </w:tc>
        <w:tc>
          <w:tcPr>
            <w:tcW w:w="604" w:type="dxa"/>
            <w:vMerge/>
            <w:tcBorders>
              <w:top w:val="nil"/>
              <w:left w:val="nil"/>
              <w:bottom w:val="single" w:sz="8" w:space="0" w:color="auto"/>
              <w:right w:val="single" w:sz="8" w:space="0" w:color="auto"/>
              <w:tl2br w:val="nil"/>
              <w:tr2bl w:val="nil"/>
            </w:tcBorders>
            <w:vAlign w:val="center"/>
          </w:tcPr>
          <w:p/>
        </w:tc>
        <w:tc>
          <w:tcPr>
            <w:tcW w:w="604" w:type="dxa"/>
            <w:vMerge/>
            <w:tcBorders>
              <w:top w:val="single" w:sz="8" w:space="0" w:color="auto"/>
              <w:left w:val="nil"/>
              <w:bottom w:val="single" w:sz="8" w:space="0" w:color="auto"/>
              <w:right w:val="single" w:sz="8" w:space="0" w:color="auto"/>
              <w:tl2br w:val="nil"/>
              <w:tr2bl w:val="nil"/>
            </w:tcBorders>
            <w:vAlign w:val="center"/>
          </w:tcPr>
          <w:p/>
        </w:tc>
        <w:tc>
          <w:tcPr>
            <w:tcW w:w="604" w:type="dxa"/>
            <w:vMerge/>
            <w:tcBorders>
              <w:top w:val="single" w:sz="8" w:space="0" w:color="auto"/>
              <w:left w:val="nil"/>
              <w:bottom w:val="single" w:sz="8" w:space="0" w:color="auto"/>
              <w:right w:val="single" w:sz="8" w:space="0" w:color="auto"/>
              <w:tl2br w:val="nil"/>
              <w:tr2bl w:val="nil"/>
            </w:tcBorders>
            <w:vAlign w:val="center"/>
          </w:tcPr>
          <w:p/>
        </w:tc>
        <w:tc>
          <w:tcPr>
            <w:tcW w:w="658" w:type="dxa"/>
            <w:vMerge/>
            <w:tcBorders>
              <w:top w:val="single" w:sz="8" w:space="0" w:color="auto"/>
              <w:left w:val="nil"/>
              <w:bottom w:val="single" w:sz="8" w:space="0" w:color="auto"/>
              <w:right w:val="single" w:sz="8" w:space="0" w:color="auto"/>
              <w:tl2br w:val="nil"/>
              <w:tr2bl w:val="nil"/>
            </w:tcBorders>
            <w:vAlign w:val="center"/>
          </w:tcPr>
          <w:p/>
        </w:tc>
        <w:tc>
          <w:tcPr>
            <w:tcW w:w="550"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widowControl/>
              <w:jc w:val="center"/>
              <w:rPr>
                <w:sz w:val="24"/>
                <w:szCs w:val="24"/>
              </w:rPr>
            </w:pPr>
            <w:r>
              <w:rPr>
                <w:rFonts w:ascii="宋体" w:cs="宋体" w:hint="eastAsia"/>
                <w:kern w:val="0"/>
                <w:sz w:val="24"/>
                <w:szCs w:val="24"/>
              </w:rPr>
              <w:t>结果维持</w:t>
            </w:r>
          </w:p>
        </w:tc>
        <w:tc>
          <w:tcPr>
            <w:tcW w:w="60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widowControl/>
              <w:jc w:val="center"/>
              <w:rPr>
                <w:sz w:val="24"/>
                <w:szCs w:val="24"/>
              </w:rPr>
            </w:pPr>
            <w:r>
              <w:rPr>
                <w:rFonts w:ascii="宋体" w:cs="宋体" w:hint="eastAsia"/>
                <w:kern w:val="0"/>
                <w:sz w:val="24"/>
                <w:szCs w:val="24"/>
              </w:rPr>
              <w:t>结果纠正</w:t>
            </w:r>
          </w:p>
        </w:tc>
        <w:tc>
          <w:tcPr>
            <w:tcW w:w="605" w:type="dxa"/>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29"/>
              <w:widowControl/>
              <w:jc w:val="center"/>
              <w:rPr>
                <w:sz w:val="24"/>
                <w:szCs w:val="24"/>
              </w:rPr>
            </w:pPr>
            <w:r>
              <w:rPr>
                <w:rFonts w:ascii="宋体" w:cs="宋体" w:hint="eastAsia"/>
                <w:kern w:val="0"/>
                <w:sz w:val="24"/>
                <w:szCs w:val="24"/>
              </w:rPr>
              <w:t>其他结果</w:t>
            </w:r>
          </w:p>
        </w:tc>
        <w:tc>
          <w:tcPr>
            <w:tcW w:w="605" w:type="dxa"/>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29"/>
              <w:widowControl/>
              <w:jc w:val="center"/>
              <w:rPr>
                <w:sz w:val="24"/>
                <w:szCs w:val="24"/>
              </w:rPr>
            </w:pPr>
            <w:r>
              <w:rPr>
                <w:rFonts w:ascii="宋体" w:cs="宋体" w:hint="eastAsia"/>
                <w:kern w:val="0"/>
                <w:sz w:val="24"/>
                <w:szCs w:val="24"/>
              </w:rPr>
              <w:t>尚未审结</w:t>
            </w:r>
          </w:p>
        </w:tc>
        <w:tc>
          <w:tcPr>
            <w:tcW w:w="605" w:type="dxa"/>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29"/>
              <w:widowControl/>
              <w:jc w:val="center"/>
              <w:rPr>
                <w:sz w:val="24"/>
                <w:szCs w:val="24"/>
              </w:rPr>
            </w:pPr>
            <w:r>
              <w:rPr>
                <w:rFonts w:ascii="宋体" w:cs="宋体" w:hint="eastAsia"/>
                <w:kern w:val="0"/>
                <w:sz w:val="24"/>
                <w:szCs w:val="24"/>
              </w:rPr>
              <w:t>总计</w:t>
            </w:r>
          </w:p>
        </w:tc>
        <w:tc>
          <w:tcPr>
            <w:tcW w:w="605" w:type="dxa"/>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29"/>
              <w:widowControl/>
              <w:jc w:val="center"/>
              <w:rPr>
                <w:sz w:val="24"/>
                <w:szCs w:val="24"/>
              </w:rPr>
            </w:pPr>
            <w:r>
              <w:rPr>
                <w:rFonts w:ascii="宋体" w:cs="宋体" w:hint="eastAsia"/>
                <w:kern w:val="0"/>
                <w:sz w:val="24"/>
                <w:szCs w:val="24"/>
              </w:rPr>
              <w:t>结果维持</w:t>
            </w:r>
          </w:p>
        </w:tc>
        <w:tc>
          <w:tcPr>
            <w:tcW w:w="605" w:type="dxa"/>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29"/>
              <w:widowControl/>
              <w:jc w:val="center"/>
              <w:rPr>
                <w:sz w:val="24"/>
                <w:szCs w:val="24"/>
              </w:rPr>
            </w:pPr>
            <w:r>
              <w:rPr>
                <w:rFonts w:ascii="宋体" w:cs="宋体" w:hint="eastAsia"/>
                <w:kern w:val="0"/>
                <w:sz w:val="24"/>
                <w:szCs w:val="24"/>
              </w:rPr>
              <w:t>结果纠正</w:t>
            </w:r>
          </w:p>
        </w:tc>
        <w:tc>
          <w:tcPr>
            <w:tcW w:w="605" w:type="dxa"/>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29"/>
              <w:widowControl/>
              <w:jc w:val="center"/>
              <w:rPr>
                <w:sz w:val="24"/>
                <w:szCs w:val="24"/>
              </w:rPr>
            </w:pPr>
            <w:r>
              <w:rPr>
                <w:rFonts w:ascii="宋体" w:cs="宋体" w:hint="eastAsia"/>
                <w:kern w:val="0"/>
                <w:sz w:val="24"/>
                <w:szCs w:val="24"/>
              </w:rPr>
              <w:t>其他结果</w:t>
            </w:r>
          </w:p>
        </w:tc>
        <w:tc>
          <w:tcPr>
            <w:tcW w:w="606" w:type="dxa"/>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29"/>
              <w:widowControl/>
              <w:jc w:val="center"/>
              <w:rPr>
                <w:sz w:val="24"/>
                <w:szCs w:val="24"/>
              </w:rPr>
            </w:pPr>
            <w:r>
              <w:rPr>
                <w:rFonts w:ascii="宋体" w:cs="宋体" w:hint="eastAsia"/>
                <w:kern w:val="0"/>
                <w:sz w:val="24"/>
                <w:szCs w:val="24"/>
              </w:rPr>
              <w:t>尚未审结</w:t>
            </w:r>
          </w:p>
        </w:tc>
        <w:tc>
          <w:tcPr>
            <w:tcW w:w="606" w:type="dxa"/>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29"/>
              <w:widowControl/>
              <w:jc w:val="center"/>
              <w:rPr>
                <w:sz w:val="24"/>
                <w:szCs w:val="24"/>
              </w:rPr>
            </w:pPr>
            <w:r>
              <w:rPr>
                <w:rFonts w:ascii="宋体" w:cs="宋体" w:hint="eastAsia"/>
                <w:kern w:val="0"/>
                <w:sz w:val="24"/>
                <w:szCs w:val="24"/>
              </w:rPr>
              <w:t>总计</w:t>
            </w:r>
          </w:p>
        </w:tc>
      </w:tr>
      <w:tr>
        <w:tc>
          <w:tcPr>
            <w:tcW w:w="604" w:type="dxa"/>
            <w:tcBorders>
              <w:top w:val="nil"/>
              <w:left w:val="single" w:sz="8" w:space="0" w:color="auto"/>
              <w:bottom w:val="single" w:sz="8" w:space="0" w:color="auto"/>
              <w:right w:val="single" w:sz="8" w:space="0" w:color="auto"/>
              <w:tl2br w:val="nil"/>
              <w:tr2bl w:val="nil"/>
            </w:tcBorders>
            <w:tcMar>
              <w:left w:w="108" w:type="dxa"/>
              <w:right w:w="108" w:type="dxa"/>
            </w:tcMar>
            <w:vAlign w:val="center"/>
          </w:tcPr>
          <w:p>
            <w:pPr>
              <w:pStyle w:val="29"/>
              <w:widowControl/>
              <w:spacing w:after="180"/>
              <w:jc w:val="center"/>
              <w:rPr>
                <w:sz w:val="28"/>
                <w:szCs w:val="28"/>
              </w:rPr>
            </w:pPr>
            <w:r>
              <w:rPr>
                <w:sz w:val="28"/>
                <w:szCs w:val="28"/>
              </w:rPr>
              <w:t>0</w:t>
            </w:r>
          </w:p>
        </w:tc>
        <w:tc>
          <w:tcPr>
            <w:tcW w:w="604"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widowControl/>
              <w:spacing w:after="180"/>
              <w:jc w:val="center"/>
              <w:rPr>
                <w:sz w:val="28"/>
                <w:szCs w:val="28"/>
              </w:rPr>
            </w:pPr>
            <w:r>
              <w:rPr>
                <w:sz w:val="28"/>
                <w:szCs w:val="28"/>
              </w:rPr>
              <w:t>0</w:t>
            </w:r>
          </w:p>
        </w:tc>
        <w:tc>
          <w:tcPr>
            <w:tcW w:w="604"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widowControl/>
              <w:spacing w:after="180"/>
              <w:jc w:val="center"/>
              <w:rPr>
                <w:sz w:val="28"/>
                <w:szCs w:val="28"/>
              </w:rPr>
            </w:pPr>
            <w:r>
              <w:rPr>
                <w:sz w:val="28"/>
                <w:szCs w:val="28"/>
              </w:rPr>
              <w:t>0</w:t>
            </w:r>
          </w:p>
        </w:tc>
        <w:tc>
          <w:tcPr>
            <w:tcW w:w="604"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widowControl/>
              <w:spacing w:after="180"/>
              <w:jc w:val="center"/>
              <w:rPr>
                <w:sz w:val="28"/>
                <w:szCs w:val="28"/>
              </w:rPr>
            </w:pPr>
            <w:r>
              <w:rPr>
                <w:sz w:val="28"/>
                <w:szCs w:val="28"/>
              </w:rPr>
              <w:t>0</w:t>
            </w:r>
          </w:p>
        </w:tc>
        <w:tc>
          <w:tcPr>
            <w:tcW w:w="658"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widowControl/>
              <w:spacing w:after="180"/>
              <w:jc w:val="center"/>
              <w:rPr>
                <w:sz w:val="28"/>
                <w:szCs w:val="28"/>
              </w:rPr>
            </w:pPr>
            <w:r>
              <w:rPr>
                <w:sz w:val="28"/>
                <w:szCs w:val="28"/>
              </w:rPr>
              <w:t>0</w:t>
            </w:r>
          </w:p>
        </w:tc>
        <w:tc>
          <w:tcPr>
            <w:tcW w:w="550"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widowControl/>
              <w:spacing w:after="180"/>
              <w:jc w:val="center"/>
              <w:rPr>
                <w:sz w:val="28"/>
                <w:szCs w:val="28"/>
              </w:rPr>
            </w:pPr>
            <w:r>
              <w:rPr>
                <w:sz w:val="28"/>
                <w:szCs w:val="28"/>
              </w:rPr>
              <w:t>0</w:t>
            </w:r>
          </w:p>
        </w:tc>
        <w:tc>
          <w:tcPr>
            <w:tcW w:w="60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widowControl/>
              <w:spacing w:after="180"/>
              <w:jc w:val="center"/>
              <w:rPr>
                <w:sz w:val="28"/>
                <w:szCs w:val="28"/>
              </w:rPr>
            </w:pPr>
            <w:r>
              <w:rPr>
                <w:sz w:val="28"/>
                <w:szCs w:val="28"/>
              </w:rPr>
              <w:t>0</w:t>
            </w:r>
          </w:p>
        </w:tc>
        <w:tc>
          <w:tcPr>
            <w:tcW w:w="60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widowControl/>
              <w:spacing w:after="180"/>
              <w:jc w:val="center"/>
              <w:rPr>
                <w:sz w:val="28"/>
                <w:szCs w:val="28"/>
              </w:rPr>
            </w:pPr>
            <w:r>
              <w:rPr>
                <w:sz w:val="28"/>
                <w:szCs w:val="28"/>
              </w:rPr>
              <w:t>0</w:t>
            </w:r>
          </w:p>
        </w:tc>
        <w:tc>
          <w:tcPr>
            <w:tcW w:w="60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widowControl/>
              <w:spacing w:after="180"/>
              <w:jc w:val="center"/>
              <w:rPr>
                <w:sz w:val="28"/>
                <w:szCs w:val="28"/>
              </w:rPr>
            </w:pPr>
            <w:r>
              <w:rPr>
                <w:sz w:val="28"/>
                <w:szCs w:val="28"/>
              </w:rPr>
              <w:t>0</w:t>
            </w:r>
          </w:p>
        </w:tc>
        <w:tc>
          <w:tcPr>
            <w:tcW w:w="60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widowControl/>
              <w:spacing w:after="180"/>
              <w:jc w:val="center"/>
              <w:rPr>
                <w:sz w:val="28"/>
                <w:szCs w:val="28"/>
              </w:rPr>
            </w:pPr>
            <w:r>
              <w:rPr>
                <w:sz w:val="28"/>
                <w:szCs w:val="28"/>
              </w:rPr>
              <w:t>0</w:t>
            </w:r>
          </w:p>
        </w:tc>
        <w:tc>
          <w:tcPr>
            <w:tcW w:w="60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widowControl/>
              <w:spacing w:after="180"/>
              <w:jc w:val="center"/>
              <w:rPr>
                <w:sz w:val="28"/>
                <w:szCs w:val="28"/>
              </w:rPr>
            </w:pPr>
            <w:r>
              <w:rPr>
                <w:sz w:val="28"/>
                <w:szCs w:val="28"/>
              </w:rPr>
              <w:t>0</w:t>
            </w:r>
          </w:p>
        </w:tc>
        <w:tc>
          <w:tcPr>
            <w:tcW w:w="60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widowControl/>
              <w:spacing w:after="180"/>
              <w:jc w:val="center"/>
              <w:rPr>
                <w:sz w:val="28"/>
                <w:szCs w:val="28"/>
              </w:rPr>
            </w:pPr>
            <w:r>
              <w:rPr>
                <w:sz w:val="28"/>
                <w:szCs w:val="28"/>
              </w:rPr>
              <w:t>0</w:t>
            </w:r>
          </w:p>
        </w:tc>
        <w:tc>
          <w:tcPr>
            <w:tcW w:w="605"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widowControl/>
              <w:spacing w:after="180"/>
              <w:jc w:val="center"/>
              <w:rPr>
                <w:sz w:val="28"/>
                <w:szCs w:val="28"/>
              </w:rPr>
            </w:pPr>
            <w:r>
              <w:rPr>
                <w:sz w:val="28"/>
                <w:szCs w:val="28"/>
              </w:rPr>
              <w:t>0</w:t>
            </w:r>
          </w:p>
        </w:tc>
        <w:tc>
          <w:tcPr>
            <w:tcW w:w="606"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widowControl/>
              <w:spacing w:after="180"/>
              <w:jc w:val="center"/>
              <w:rPr>
                <w:kern w:val="0"/>
                <w:sz w:val="28"/>
                <w:szCs w:val="28"/>
              </w:rPr>
            </w:pPr>
            <w:r>
              <w:rPr>
                <w:kern w:val="0"/>
                <w:sz w:val="28"/>
                <w:szCs w:val="28"/>
              </w:rPr>
              <w:t>0</w:t>
            </w:r>
          </w:p>
        </w:tc>
        <w:tc>
          <w:tcPr>
            <w:tcW w:w="606" w:type="dxa"/>
            <w:tcBorders>
              <w:top w:val="nil"/>
              <w:left w:val="nil"/>
              <w:bottom w:val="single" w:sz="8" w:space="0" w:color="auto"/>
              <w:right w:val="single" w:sz="8" w:space="0" w:color="auto"/>
              <w:tl2br w:val="nil"/>
              <w:tr2bl w:val="nil"/>
            </w:tcBorders>
            <w:tcMar>
              <w:left w:w="108" w:type="dxa"/>
              <w:right w:w="108" w:type="dxa"/>
            </w:tcMar>
            <w:vAlign w:val="center"/>
          </w:tcPr>
          <w:p>
            <w:pPr>
              <w:pStyle w:val="29"/>
              <w:widowControl/>
              <w:spacing w:after="180"/>
              <w:jc w:val="center"/>
              <w:rPr>
                <w:kern w:val="0"/>
                <w:sz w:val="28"/>
                <w:szCs w:val="28"/>
              </w:rPr>
            </w:pPr>
            <w:r>
              <w:rPr>
                <w:kern w:val="0"/>
                <w:sz w:val="28"/>
                <w:szCs w:val="28"/>
              </w:rPr>
              <w:t>0</w:t>
            </w:r>
          </w:p>
        </w:tc>
      </w:tr>
    </w:tbl>
    <w:p>
      <w:pPr>
        <w:pStyle w:val="29"/>
        <w:widowControl/>
        <w:shd w:val="clear" w:color="auto" w:fill="FFFFFF"/>
        <w:spacing w:beforeLines="50" w:before="218" w:line="560" w:lineRule="exact"/>
        <w:ind w:firstLineChars="200" w:firstLine="640"/>
        <w:rPr>
          <w:rFonts w:ascii="方正黑体_GBK" w:eastAsia="方正黑体_GBK" w:cs="楷体_GB2312"/>
          <w:bCs/>
          <w:sz w:val="32"/>
          <w:szCs w:val="32"/>
          <w:shd w:val="clear" w:color="auto" w:fill="FFFFFF"/>
        </w:rPr>
      </w:pPr>
      <w:r>
        <w:rPr>
          <w:rFonts w:ascii="方正黑体_GBK" w:eastAsia="方正黑体_GBK" w:cs="楷体_GB2312" w:hint="eastAsia"/>
          <w:bCs/>
          <w:sz w:val="32"/>
          <w:szCs w:val="32"/>
          <w:shd w:val="clear" w:color="auto" w:fill="FFFFFF"/>
        </w:rPr>
        <w:t>五、存在的主要问题及改进情况</w:t>
      </w:r>
    </w:p>
    <w:p>
      <w:pPr>
        <w:pStyle w:val="29"/>
        <w:spacing w:line="560" w:lineRule="exact"/>
        <w:ind w:firstLineChars="200" w:firstLine="640"/>
        <w:rPr>
          <w:rFonts w:ascii="方正楷体_GBK" w:eastAsia="方正楷体_GBK"/>
          <w:b/>
          <w:bCs/>
          <w:sz w:val="32"/>
          <w:szCs w:val="32"/>
        </w:rPr>
      </w:pPr>
      <w:r>
        <w:rPr>
          <w:rFonts w:ascii="方正楷体_GBK" w:eastAsia="方正楷体_GBK" w:hint="eastAsia"/>
          <w:b/>
          <w:bCs/>
          <w:sz w:val="32"/>
          <w:szCs w:val="32"/>
        </w:rPr>
        <w:t>（一）2019年年报中所提问题整改情况。</w:t>
      </w:r>
    </w:p>
    <w:p>
      <w:pPr>
        <w:pStyle w:val="29"/>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针对</w:t>
      </w:r>
      <w:r>
        <w:rPr>
          <w:rFonts w:ascii="Times New Roman" w:eastAsia="方正仿宋_GBK" w:hAnsi="Times New Roman"/>
          <w:sz w:val="32"/>
          <w:szCs w:val="32"/>
        </w:rPr>
        <w:t>2019</w:t>
      </w:r>
      <w:r>
        <w:rPr>
          <w:rFonts w:ascii="Times New Roman" w:eastAsia="方正仿宋_GBK" w:hAnsi="Times New Roman" w:hint="eastAsia"/>
          <w:sz w:val="32"/>
          <w:szCs w:val="32"/>
        </w:rPr>
        <w:t>年政府信息公开年报中所提的业务不熟练、依申请公开不规范和平台建设滞后三个方面问题，我关在</w:t>
      </w:r>
      <w:r>
        <w:rPr>
          <w:rFonts w:ascii="Times New Roman" w:eastAsia="方正仿宋_GBK" w:hAnsi="Times New Roman"/>
          <w:sz w:val="32"/>
          <w:szCs w:val="32"/>
        </w:rPr>
        <w:t>2020</w:t>
      </w:r>
      <w:r>
        <w:rPr>
          <w:rFonts w:ascii="Times New Roman" w:eastAsia="方正仿宋_GBK" w:hAnsi="Times New Roman" w:hint="eastAsia"/>
          <w:sz w:val="32"/>
          <w:szCs w:val="32"/>
        </w:rPr>
        <w:t>年工作中采取了一系列措施，并取得较好效果，在前述总体情况中均有反映。</w:t>
      </w:r>
    </w:p>
    <w:p>
      <w:pPr>
        <w:pStyle w:val="29"/>
        <w:spacing w:line="560" w:lineRule="exact"/>
        <w:ind w:firstLineChars="200" w:firstLine="640"/>
        <w:rPr>
          <w:rFonts w:ascii="方正楷体_GBK" w:eastAsia="方正楷体_GBK"/>
          <w:b/>
          <w:sz w:val="32"/>
          <w:szCs w:val="32"/>
        </w:rPr>
      </w:pPr>
      <w:r>
        <w:rPr>
          <w:rFonts w:ascii="方正楷体_GBK" w:eastAsia="方正楷体_GBK" w:hint="eastAsia"/>
          <w:b/>
          <w:sz w:val="32"/>
          <w:szCs w:val="32"/>
        </w:rPr>
        <w:t>（二）目前存在问题。</w:t>
      </w:r>
    </w:p>
    <w:p>
      <w:pPr>
        <w:pStyle w:val="29"/>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围绕中心工作强化主动公开的能力还偏弱，政策解读类政府信息公开的数量和质量与沿海大关相比还有较大的差距；隶属海关政务公开工作的人员保障、业务能力还相对薄弱，标准化、规范化建设还有较大的提升空间。</w:t>
      </w:r>
    </w:p>
    <w:p>
      <w:pPr>
        <w:pStyle w:val="29"/>
        <w:widowControl/>
        <w:shd w:val="clear" w:color="auto" w:fill="FFFFFF"/>
        <w:spacing w:line="560" w:lineRule="exact"/>
        <w:ind w:firstLineChars="200" w:firstLine="640"/>
        <w:rPr>
          <w:rFonts w:ascii="方正黑体_GBK" w:eastAsia="方正黑体_GBK" w:cs="楷体_GB2312"/>
          <w:bCs/>
          <w:sz w:val="32"/>
          <w:szCs w:val="32"/>
          <w:shd w:val="clear" w:color="auto" w:fill="FFFFFF"/>
        </w:rPr>
      </w:pPr>
      <w:r>
        <w:rPr>
          <w:rFonts w:ascii="方正黑体_GBK" w:eastAsia="方正黑体_GBK" w:cs="楷体_GB2312" w:hint="eastAsia"/>
          <w:bCs/>
          <w:sz w:val="32"/>
          <w:szCs w:val="32"/>
          <w:shd w:val="clear" w:color="auto" w:fill="FFFFFF"/>
        </w:rPr>
        <w:t>六、其他需要报告的事项</w:t>
      </w:r>
    </w:p>
    <w:p>
      <w:pPr>
        <w:pStyle w:val="29"/>
        <w:spacing w:line="56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我关目前共有</w:t>
      </w:r>
      <w:r>
        <w:rPr>
          <w:rFonts w:ascii="Times New Roman" w:eastAsia="方正仿宋_GBK" w:hAnsi="Times New Roman"/>
          <w:sz w:val="32"/>
          <w:szCs w:val="32"/>
        </w:rPr>
        <w:t>23</w:t>
      </w:r>
      <w:r>
        <w:rPr>
          <w:rFonts w:ascii="Times New Roman" w:eastAsia="方正仿宋_GBK" w:hAnsi="Times New Roman" w:hint="eastAsia"/>
          <w:sz w:val="32"/>
          <w:szCs w:val="32"/>
        </w:rPr>
        <w:t>个隶属海关，其中平顶山海关、开封海关、驻马店海关和济源海关</w:t>
      </w:r>
      <w:r>
        <w:rPr>
          <w:rFonts w:ascii="Times New Roman" w:eastAsia="方正仿宋_GBK" w:hAnsi="Times New Roman"/>
          <w:sz w:val="32"/>
          <w:szCs w:val="32"/>
        </w:rPr>
        <w:t>4</w:t>
      </w:r>
      <w:r>
        <w:rPr>
          <w:rFonts w:ascii="Times New Roman" w:eastAsia="方正仿宋_GBK" w:hAnsi="Times New Roman" w:hint="eastAsia"/>
          <w:sz w:val="32"/>
          <w:szCs w:val="32"/>
        </w:rPr>
        <w:t>个新设隶属海关均为</w:t>
      </w:r>
      <w:r>
        <w:rPr>
          <w:rFonts w:ascii="Times New Roman" w:eastAsia="方正仿宋_GBK" w:hAnsi="Times New Roman"/>
          <w:sz w:val="32"/>
          <w:szCs w:val="32"/>
        </w:rPr>
        <w:t>2020</w:t>
      </w:r>
      <w:r>
        <w:rPr>
          <w:rFonts w:ascii="Times New Roman" w:eastAsia="方正仿宋_GBK" w:hAnsi="Times New Roman" w:hint="eastAsia"/>
          <w:sz w:val="32"/>
          <w:szCs w:val="32"/>
        </w:rPr>
        <w:t>年</w:t>
      </w:r>
      <w:r>
        <w:rPr>
          <w:rFonts w:ascii="Times New Roman" w:eastAsia="方正仿宋_GBK" w:hAnsi="Times New Roman"/>
          <w:sz w:val="32"/>
          <w:szCs w:val="32"/>
        </w:rPr>
        <w:t>12</w:t>
      </w:r>
      <w:r>
        <w:rPr>
          <w:rFonts w:ascii="Times New Roman" w:eastAsia="方正仿宋_GBK" w:hAnsi="Times New Roman" w:hint="eastAsia"/>
          <w:sz w:val="32"/>
          <w:szCs w:val="32"/>
        </w:rPr>
        <w:t>月份才开关的隶属海关。除</w:t>
      </w:r>
      <w:r>
        <w:rPr>
          <w:rFonts w:ascii="Times New Roman" w:eastAsia="方正仿宋_GBK" w:hAnsi="Times New Roman"/>
          <w:sz w:val="32"/>
          <w:szCs w:val="32"/>
        </w:rPr>
        <w:t>4</w:t>
      </w:r>
      <w:r>
        <w:rPr>
          <w:rFonts w:ascii="Times New Roman" w:eastAsia="方正仿宋_GBK" w:hAnsi="Times New Roman" w:hint="eastAsia"/>
          <w:sz w:val="32"/>
          <w:szCs w:val="32"/>
        </w:rPr>
        <w:t>个新设隶属海关外，关区其余</w:t>
      </w:r>
      <w:r>
        <w:rPr>
          <w:rFonts w:ascii="Times New Roman" w:eastAsia="方正仿宋_GBK" w:hAnsi="Times New Roman"/>
          <w:sz w:val="32"/>
          <w:szCs w:val="32"/>
        </w:rPr>
        <w:t>19</w:t>
      </w:r>
      <w:r>
        <w:rPr>
          <w:rFonts w:ascii="Times New Roman" w:eastAsia="方正仿宋_GBK" w:hAnsi="Times New Roman" w:hint="eastAsia"/>
          <w:sz w:val="32"/>
          <w:szCs w:val="32"/>
        </w:rPr>
        <w:t>个隶属海关均已按要求编制报送</w:t>
      </w:r>
      <w:r>
        <w:rPr>
          <w:rFonts w:ascii="Times New Roman" w:eastAsia="方正仿宋_GBK" w:hAnsi="Times New Roman"/>
          <w:sz w:val="32"/>
          <w:szCs w:val="32"/>
        </w:rPr>
        <w:t>2020</w:t>
      </w:r>
      <w:r>
        <w:rPr>
          <w:rFonts w:ascii="Times New Roman" w:eastAsia="方正仿宋_GBK" w:hAnsi="Times New Roman" w:hint="eastAsia"/>
          <w:sz w:val="32"/>
          <w:szCs w:val="32"/>
        </w:rPr>
        <w:t>年政府信息公开年报，并在我关互联网门户网站对外公开。</w:t>
      </w:r>
    </w:p>
    <w:p>
      <w:pPr>
        <w:spacing w:line="560" w:lineRule="exact"/>
        <w:ind w:firstLineChars="200" w:firstLine="640"/>
        <w:rPr>
          <w:rFonts w:ascii="Times New Roman" w:eastAsia="方正仿宋_GBK" w:hAnsi="Times New Roman"/>
          <w:sz w:val="32"/>
          <w:szCs w:val="32"/>
        </w:rPr>
      </w:pPr>
    </w:p>
    <w:sectPr>
      <w:footerReference w:type="default" r:id="rId2"/>
      <w:footerReference w:type="even" r:id="rId3"/>
      <w:footerReference w:type="first" r:id="rId4"/>
      <w:pgSz w:w="11907" w:h="16840"/>
      <w:pgMar w:top="1440" w:right="1803" w:bottom="1440" w:left="1803" w:header="851" w:footer="992" w:gutter="0"/>
      <w:pgNumType w:fmt="numberInDash" w:start="1"/>
      <w:docGrid w:type="lines" w:linePitch="435" w:charSpace="0"/>
    </w:sectPr>
  </w:body>
</w:document>
</file>

<file path=word/fontTable.xml><?xml version="1.0" encoding="utf-8"?>
<w:fonts xmlns:w="http://schemas.openxmlformats.org/wordprocessingml/2006/main" xmlns:r="http://schemas.openxmlformats.org/officeDocument/2006/relationships">
  <w:font w:name="宋体">
    <w:altName w:val="SimSun"/>
    <w:panose1 w:val="02010600030101010101"/>
    <w:charset w:val="86"/>
    <w:family w:val="auto"/>
    <w:pitch w:val="variable"/>
    <w:sig w:usb0="00000003" w:usb1="288F0000" w:usb2="00000016" w:usb3="00000000" w:csb0="00040001" w:csb1="00000000"/>
  </w:font>
  <w:font w:name="方正小标宋_GBK">
    <w:panose1 w:val="03000509000000000000"/>
    <w:charset w:val="86"/>
    <w:family w:val="script"/>
    <w:pitch w:val="variable"/>
    <w:sig w:usb0="00000001" w:usb1="080E0000" w:usb2="00000010" w:usb3="00000000" w:csb0="00040000" w:csb1="00000000"/>
  </w:font>
  <w:font w:name="楷体_GB2312">
    <w:altName w:val="楷体"/>
    <w:panose1 w:val="00000000000000000000"/>
    <w:charset w:val="00"/>
    <w:family w:val="auto"/>
    <w:pitch w:val="variable"/>
    <w:sig w:usb0="00000000" w:usb1="00000000" w:usb2="00000000" w:usb3="00000000" w:csb0="00000000" w:csb1="00000000"/>
  </w:font>
  <w:font w:name="Times New Roman">
    <w:panose1 w:val="02020603050405020304"/>
    <w:charset w:val="00"/>
    <w:family w:val="roman"/>
    <w:pitch w:val="variable"/>
    <w:sig w:usb0="E0002AFF" w:usb1="C0007841" w:usb2="00000009" w:usb3="00000000" w:csb0="000001FF" w:csb1="00000000"/>
  </w:font>
  <w:font w:name="方正仿宋_GBK">
    <w:panose1 w:val="03000509000000000000"/>
    <w:charset w:val="86"/>
    <w:family w:val="script"/>
    <w:pitch w:val="variable"/>
    <w:sig w:usb0="00000001" w:usb1="080E0000" w:usb2="00000010" w:usb3="00000000" w:csb0="00040000" w:csb1="00000000"/>
  </w:font>
  <w:font w:name="方正黑体_GBK">
    <w:panose1 w:val="03000509000000000000"/>
    <w:charset w:val="86"/>
    <w:family w:val="script"/>
    <w:pitch w:val="variable"/>
    <w:sig w:usb0="00000001" w:usb1="080E0000" w:usb2="00000010" w:usb3="00000000" w:csb0="00040000" w:csb1="00000000"/>
  </w:font>
  <w:font w:name="方正楷体_GBK">
    <w:panose1 w:val="03000509000000000000"/>
    <w:charset w:val="86"/>
    <w:family w:val="script"/>
    <w:pitch w:val="variable"/>
    <w:sig w:usb0="00000001" w:usb1="080E0000" w:usb2="00000010" w:usb3="00000000" w:csb0="00040000" w:csb1="00000000"/>
  </w:font>
  <w:font w:name="楷体">
    <w:panose1 w:val="02010609060101010101"/>
    <w:charset w:val="86"/>
    <w:family w:val="modern"/>
    <w:pitch w:val="variable"/>
    <w:sig w:usb0="800002BF" w:usb1="38CF7CFA" w:usb2="00000016" w:usb3="00000000" w:csb0="00040001"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tabs>
        <w:tab w:val="center" w:pos="4153"/>
        <w:tab w:val="right" w:pos="8306"/>
      </w:tabs>
      <w:jc w:val="right"/>
      <w:rPr>
        <w:rFonts w:ascii="宋体"/>
        <w:sz w:val="28"/>
        <w:szCs w:val="28"/>
      </w:rPr>
    </w:pPr>
    <w:r>
      <w:rPr>
        <w:rFonts w:ascii="宋体" w:hint="eastAsia"/>
        <w:sz w:val="28"/>
        <w:szCs w:val="28"/>
      </w:rPr>
      <w:fldChar w:fldCharType="begin"/>
    </w:r>
    <w:r>
      <w:rPr>
        <w:rFonts w:ascii="宋体" w:hint="eastAsia"/>
        <w:sz w:val="28"/>
        <w:szCs w:val="28"/>
      </w:rPr>
      <w:instrText>Page</w:instrText>
    </w:r>
    <w:r>
      <w:rPr>
        <w:rFonts w:ascii="宋体" w:hint="eastAsia"/>
        <w:sz w:val="28"/>
        <w:szCs w:val="28"/>
      </w:rPr>
      <w:fldChar w:fldCharType="separate"/>
    </w:r>
    <w:r>
      <w:rPr>
        <w:rFonts w:ascii="宋体"/>
        <w:sz w:val="28"/>
        <w:szCs w:val="28"/>
      </w:rPr>
      <w:t>- 1 -</w:t>
    </w:r>
    <w:r>
      <w:rPr>
        <w:rFonts w:ascii="宋体" w:hint="eastAsia"/>
        <w:sz w:val="28"/>
        <w:szCs w:val="28"/>
      </w:rPr>
      <w:fldChar w:fldCharType="end"/>
    </w: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tabs>
        <w:tab w:val="center" w:pos="4153"/>
        <w:tab w:val="right" w:pos="8306"/>
      </w:tabs>
    </w:pPr>
    <w:r>
      <w:rPr>
        <w:rFonts w:ascii="宋体" w:hint="eastAsia"/>
        <w:sz w:val="28"/>
        <w:szCs w:val="28"/>
      </w:rPr>
      <w:fldChar w:fldCharType="begin"/>
    </w:r>
    <w:r>
      <w:rPr>
        <w:rFonts w:ascii="宋体" w:hint="eastAsia"/>
        <w:sz w:val="28"/>
        <w:szCs w:val="28"/>
      </w:rPr>
      <w:instrText>Page</w:instrText>
    </w:r>
    <w:r>
      <w:rPr>
        <w:rFonts w:ascii="宋体" w:hint="eastAsia"/>
        <w:sz w:val="28"/>
        <w:szCs w:val="28"/>
      </w:rPr>
      <w:fldChar w:fldCharType="separate"/>
    </w:r>
    <w:r>
      <w:rPr>
        <w:rFonts w:ascii="宋体"/>
        <w:sz w:val="28"/>
        <w:szCs w:val="28"/>
      </w:rPr>
      <w:t>- 2 -</w:t>
    </w:r>
    <w:r>
      <w:rPr>
        <w:rFonts w:ascii="宋体" w:hint="eastAsia"/>
        <w:sz w:val="28"/>
        <w:szCs w:val="28"/>
      </w:rPr>
      <w:fldChar w:fldCharType="end"/>
    </w:r>
  </w:p>
</w:ftr>
</file>

<file path=word/footer3.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tabs>
        <w:tab w:val="center" w:pos="4153"/>
        <w:tab w:val="right" w:pos="8306"/>
      </w:tabs>
      <w:jc w:val="right"/>
    </w:pPr>
    <w:r>
      <w:fldChar w:fldCharType="begin"/>
    </w:r>
    <w:r>
      <w:instrText>Page</w:instrText>
    </w:r>
    <w:r>
      <w:fldChar w:fldCharType="separate"/>
    </w:r>
    <w:r>
      <w:t>- 1 -</w:t>
    </w:r>
    <w:r>
      <w:fldChar w:fldCharType="end"/>
    </w:r>
    <w:r>
      <w:fldChar w:fldCharType="begin"/>
    </w:r>
    <w:r>
      <w:instrText>NumPages</w:instrText>
    </w:r>
    <w:r>
      <w:fldChar w:fldCharType="separate"/>
    </w:r>
    <w:r>
      <w:t>2</w:t>
    </w:r>
    <w:r>
      <w:fldChar w:fldCharType="end"/>
    </w:r>
    <w:r>
      <w:fldChar w:fldCharType="begin"/>
    </w:r>
    <w:r>
      <w:instrText>Page</w:instrText>
    </w:r>
    <w:r>
      <w:fldChar w:fldCharType="separate"/>
    </w:r>
    <w:r>
      <w:t>- 1 -</w:t>
    </w:r>
    <w:r>
      <w:fldChar w:fldCharType="end"/>
    </w:r>
    <w:r>
      <w:fldChar w:fldCharType="begin"/>
    </w:r>
    <w:r>
      <w:instrText>Page</w:instrText>
    </w:r>
    <w:r>
      <w:fldChar w:fldCharType="separate"/>
    </w:r>
    <w:r>
      <w:t>- 1 -</w:t>
    </w:r>
    <w:r>
      <w:fldChar w:fldCharType="end"/>
    </w:r>
  </w:p>
  <w:p>
    <w:pPr>
      <w:tabs>
        <w:tab w:val="center" w:pos="4153"/>
        <w:tab w:val="right" w:pos="8306"/>
      </w:tabs>
    </w:pPr>
  </w:p>
</w:ft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bordersDoNotSurroundHeader/>
  <w:bordersDoNotSurroundFooter/>
  <w:trackRevisions/>
  <w:defaultTabStop w:val="420"/>
  <w:evenAndOddHeaders/>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growAutofit/>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Calibri" w:eastAsia="宋体" w:cs="Arial" w:hAnsi="Calibri"/>
      <w:kern w:val="2"/>
      <w:sz w:val="21"/>
      <w:szCs w:val="22"/>
      <w:lang w:val="en-US" w:eastAsia="zh-CN" w:bidi="ar-SA"/>
    </w:rPr>
  </w:style>
  <w:style w:type="character" w:default="1" w:styleId="10">
    <w:name w:val="Default Paragraph Font"/>
  </w:style>
  <w:style w:type="paragraph" w:styleId="15">
    <w:name w:val="header"/>
    <w:basedOn w:val="0"/>
    <w:pPr>
      <w:pBdr>
        <w:bottom w:val="single" w:sz="6" w:space="1" w:color="auto"/>
      </w:pBdr>
      <w:tabs>
        <w:tab w:val="center" w:pos="4153"/>
        <w:tab w:val="right" w:pos="8306"/>
      </w:tabs>
      <w:snapToGrid w:val="0"/>
      <w:jc w:val="center"/>
    </w:pPr>
    <w:rPr>
      <w:sz w:val="18"/>
      <w:szCs w:val="18"/>
    </w:rPr>
  </w:style>
  <w:style w:type="paragraph" w:styleId="16">
    <w:name w:val="footer"/>
    <w:basedOn w:val="0"/>
    <w:pPr>
      <w:tabs>
        <w:tab w:val="center" w:pos="4153"/>
        <w:tab w:val="right" w:pos="8306"/>
      </w:tabs>
      <w:snapToGrid w:val="0"/>
      <w:jc w:val="left"/>
    </w:pPr>
    <w:rPr>
      <w:sz w:val="18"/>
      <w:szCs w:val="18"/>
    </w:rPr>
  </w:style>
  <w:style w:type="paragraph" w:styleId="17">
    <w:name w:val="Normal (Web)"/>
    <w:next w:val="16"/>
    <w:pPr>
      <w:widowControl w:val="0"/>
      <w:spacing w:beforeAutospacing="1" w:afterAutospacing="1"/>
    </w:pPr>
    <w:rPr>
      <w:rFonts w:ascii="Times New Roman" w:eastAsia="宋体" w:cs="Times New Roman" w:hAnsi="Times New Roman"/>
      <w:sz w:val="24"/>
      <w:szCs w:val="30"/>
      <w:lang w:val="en-US" w:eastAsia="zh-CN" w:bidi="ar-SA"/>
    </w:rPr>
  </w:style>
  <w:style w:type="paragraph" w:customStyle="1" w:styleId="18">
    <w:name w:val="样式 小三"/>
    <w:next w:val="25"/>
    <w:pPr>
      <w:widowControl w:val="0"/>
      <w:jc w:val="both"/>
    </w:pPr>
    <w:rPr>
      <w:rFonts w:ascii="Times New Roman" w:eastAsia="宋体" w:cs="Times New Roman" w:hAnsi="Times New Roman"/>
      <w:kern w:val="2"/>
      <w:sz w:val="30"/>
      <w:szCs w:val="30"/>
      <w:lang w:val="en-US" w:eastAsia="zh-CN" w:bidi="ar-SA"/>
    </w:rPr>
  </w:style>
  <w:style w:type="paragraph" w:customStyle="1" w:styleId="19">
    <w:name w:val="样式 1 小四"/>
    <w:next w:val="0"/>
    <w:pPr>
      <w:widowControl w:val="0"/>
    </w:pPr>
    <w:rPr>
      <w:rFonts w:ascii="宋体" w:eastAsia="宋体" w:cs="Times New Roman"/>
      <w:kern w:val="2"/>
      <w:sz w:val="24"/>
      <w:lang w:val="en-US" w:eastAsia="zh-CN" w:bidi="ar-SA"/>
    </w:rPr>
  </w:style>
  <w:style w:type="paragraph" w:customStyle="1" w:styleId="20">
    <w:name w:val="样式 50 三号"/>
    <w:next w:val="26"/>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21">
    <w:name w:val="样式 13 三号"/>
    <w:next w:val="27"/>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22">
    <w:name w:val="样式 6 三号"/>
    <w:pPr>
      <w:widowControl w:val="0"/>
      <w:spacing w:line="560" w:lineRule="exact"/>
      <w:jc w:val="both"/>
    </w:pPr>
    <w:rPr>
      <w:rFonts w:ascii="Times New Roman" w:eastAsia="方正仿宋_GBK" w:cs="Times New Roman" w:hAnsi="Times New Roman"/>
      <w:spacing w:val="-4"/>
      <w:kern w:val="2"/>
      <w:sz w:val="32"/>
      <w:szCs w:val="28"/>
      <w:lang w:val="en-US" w:eastAsia="zh-CN" w:bidi="ar-SA"/>
    </w:rPr>
  </w:style>
  <w:style w:type="paragraph" w:customStyle="1" w:styleId="23">
    <w:name w:val="样式 7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24">
    <w:name w:val="样式 8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styleId="25">
    <w:name w:val="toc 2"/>
    <w:basedOn w:val="0"/>
    <w:autoRedefine/>
    <w:next w:val="0"/>
    <w:pPr>
      <w:ind w:leftChars="200" w:left="200"/>
    </w:pPr>
  </w:style>
  <w:style w:type="paragraph" w:styleId="26">
    <w:name w:val="index 6"/>
    <w:basedOn w:val="0"/>
    <w:autoRedefine/>
    <w:next w:val="0"/>
    <w:pPr>
      <w:ind w:leftChars="1000" w:left="1000"/>
    </w:pPr>
  </w:style>
  <w:style w:type="paragraph" w:styleId="27">
    <w:name w:val="index 7"/>
    <w:basedOn w:val="0"/>
    <w:autoRedefine/>
    <w:next w:val="0"/>
    <w:pPr>
      <w:ind w:leftChars="1200" w:left="1200"/>
    </w:pPr>
  </w:style>
  <w:style w:type="paragraph" w:customStyle="1" w:styleId="28">
    <w:name w:val="列出段落1"/>
    <w:basedOn w:val="0"/>
    <w:pPr>
      <w:ind w:firstLineChars="200" w:firstLine="200"/>
    </w:pPr>
  </w:style>
  <w:style w:type="paragraph" w:customStyle="1" w:styleId="29">
    <w:name w:val="样式 10 磅"/>
    <w:pPr>
      <w:widowControl w:val="0"/>
      <w:jc w:val="both"/>
    </w:pPr>
    <w:rPr>
      <w:rFonts w:ascii="Calibri" w:eastAsia="宋体" w:cs="Arial" w:hAnsi="Calibri"/>
      <w:kern w:val="2"/>
      <w:sz w:val="21"/>
      <w:szCs w:val="22"/>
      <w:lang w:val="en-US" w:eastAsia="zh-CN" w:bidi="ar-SA"/>
    </w:rPr>
  </w:style>
  <w:style w:type="paragraph" w:styleId="30">
    <w:name w:val="Balloon Text"/>
    <w:basedOn w:val="0"/>
    <w:rPr>
      <w:sz w:val="18"/>
      <w:szCs w:val="1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styles" Target="styles.xml"/><Relationship Id="rId6" Type="http://schemas.openxmlformats.org/officeDocument/2006/relationships/fontTable" Target="fontTable.xml"/></Relationships>
</file>

<file path=docProps/app.xml><?xml version="1.0" encoding="utf-8"?>
<Properties xmlns="http://schemas.openxmlformats.org/officeDocument/2006/extended-properties">
  <Template>Normal.eit</Template>
  <TotalTime>51</TotalTime>
  <Application>Yozo_Office</Application>
  <Pages>8</Pages>
  <Words>3435</Words>
  <Characters>3577</Characters>
  <Lines>482</Lines>
  <Paragraphs>320</Paragraphs>
  <CharactersWithSpaces>3577</CharactersWithSpaces>
  <Company>zhengzhou</Company>
</Properties>
</file>

<file path=docProps/core.xml><?xml version="1.0" encoding="utf-8"?>
<cp:coreProperties xmlns:cp="http://schemas.openxmlformats.org/package/2006/metadata/core-properties" xmlns:dc="http://purl.org/dc/elements/1.1/" xmlns:dcterms="http://purl.org/dc/terms/" xmlns:xsi="http://www.w3.org/2001/XMLSchema-instance">
  <dc:creator>叶霖</dc:creator>
  <cp:lastModifiedBy>菅永伟</cp:lastModifiedBy>
  <cp:revision>12</cp:revision>
  <cp:lastPrinted>2021-02-26T06:14:00Z</cp:lastPrinted>
  <dcterms:created xsi:type="dcterms:W3CDTF">2021-01-27T02:52:00Z</dcterms:created>
  <dcterms:modified xsi:type="dcterms:W3CDTF">2021-04-30T02:17:20Z</dcterms:modified>
</cp:coreProperties>
</file>