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240" w:lineRule="auto"/>
        <w:ind w:firstLineChars="0" w:firstLine="0"/>
        <w:jc w:val="center"/>
        <w:rPr>
          <w:rFonts w:ascii="Times New Roman" w:eastAsia="宋体" w:cs="Times New Roman" w:hAnsi="Times New Roman" w:hint="eastAsia"/>
          <w:b/>
          <w:bCs/>
          <w:kern w:val="44"/>
          <w:sz w:val="44"/>
          <w:szCs w:val="32"/>
        </w:rPr>
      </w:pPr>
      <w:bookmarkStart w:id="0" w:name="_Toc30197"/>
      <w:bookmarkStart w:id="1" w:name="_GoBack"/>
      <w:bookmarkEnd w:id="1"/>
    </w:p>
    <w:p>
      <w:pPr>
        <w:spacing w:line="240" w:lineRule="auto"/>
        <w:ind w:firstLineChars="0" w:firstLine="0"/>
        <w:jc w:val="center"/>
        <w:rPr>
          <w:rFonts w:ascii="Times New Roman" w:eastAsia="宋体" w:cs="Times New Roman" w:hAnsi="Times New Roman"/>
          <w:szCs w:val="32"/>
        </w:rPr>
      </w:pPr>
      <w:r>
        <w:rPr>
          <w:rFonts w:ascii="Times New Roman" w:eastAsia="宋体" w:cs="Times New Roman" w:hAnsi="Times New Roman"/>
          <w:szCs w:val="32"/>
        </w:rPr>
        <w:t>目录</w:t>
      </w:r>
    </w:p>
    <w:p>
      <w:pPr>
        <w:pStyle w:val="18"/>
        <w:tabs>
          <w:tab w:val="right" w:leader="dot" w:pos="8296"/>
        </w:tabs>
        <w:ind w:firstLineChars="0" w:firstLine="0"/>
        <w:rPr>
          <w:rFonts w:eastAsia="宋体"/>
          <w:sz w:val="21"/>
          <w:szCs w:val="22"/>
        </w:rPr>
      </w:pPr>
      <w:r>
        <w:rPr>
          <w:rStyle w:val="22"/>
          <w:rFonts w:ascii="Times New Roman" w:eastAsia="黑体" w:cs="Times New Roman" w:hAnsi="Times New Roman"/>
        </w:rPr>
        <w:fldChar w:fldCharType="begin"/>
      </w:r>
      <w:r>
        <w:rPr>
          <w:rStyle w:val="22"/>
          <w:rFonts w:ascii="Times New Roman" w:eastAsia="黑体" w:cs="Times New Roman" w:hAnsi="Times New Roman"/>
        </w:rPr>
        <w:instrText xml:space="preserve">TOC \o "1-1" \h \u </w:instrText>
      </w:r>
      <w:r>
        <w:rPr>
          <w:rStyle w:val="22"/>
          <w:rFonts w:eastAsia="黑体"/>
        </w:rPr>
        <w:fldChar w:fldCharType="separate"/>
      </w:r>
      <w:r>
        <w:fldChar w:fldCharType="begin"/>
      </w:r>
      <w:r>
        <w:instrText>Hyperlink \l "_Toc239869555"</w:instrText>
      </w:r>
      <w:r>
        <w:fldChar w:fldCharType="separate"/>
      </w:r>
      <w:r>
        <w:rPr>
          <w:rFonts w:ascii="黑体" w:eastAsia="黑体" w:hint="eastAsia"/>
        </w:rPr>
        <w:t>【光伏贸易措施】</w:t>
      </w:r>
      <w:r>
        <w:tab/>
      </w:r>
      <w:r>
        <w:fldChar w:fldCharType="begin"/>
      </w:r>
      <w:r>
        <w:instrText xml:space="preserve"> PAGEREF _Toc239869555 \h </w:instrText>
      </w:r>
      <w:r>
        <w:fldChar w:fldCharType="separate"/>
      </w:r>
      <w:r>
        <w:t>2</w:t>
      </w:r>
      <w:r>
        <w:fldChar w:fldCharType="end"/>
      </w:r>
      <w:r>
        <w:fldChar w:fldCharType="end"/>
      </w:r>
    </w:p>
    <w:p>
      <w:pPr>
        <w:pStyle w:val="18"/>
        <w:tabs>
          <w:tab w:val="right" w:leader="dot" w:pos="8296"/>
        </w:tabs>
        <w:ind w:firstLineChars="0" w:firstLine="0"/>
        <w:rPr>
          <w:rFonts w:eastAsia="宋体"/>
          <w:sz w:val="21"/>
          <w:szCs w:val="22"/>
        </w:rPr>
      </w:pPr>
      <w:r>
        <w:fldChar w:fldCharType="begin"/>
      </w:r>
      <w:r>
        <w:instrText>Hyperlink \l "_Toc239869556"</w:instrText>
      </w:r>
      <w:r>
        <w:fldChar w:fldCharType="separate"/>
      </w:r>
      <w:r>
        <w:rPr>
          <w:rFonts w:ascii="Times New Roman" w:eastAsia="方正小标宋_GBK" w:cs="Times New Roman" w:hAnsi="Times New Roman"/>
          <w:bCs/>
          <w:kern w:val="44"/>
        </w:rPr>
        <w:t>IEC</w:t>
      </w:r>
      <w:r>
        <w:rPr>
          <w:rFonts w:ascii="Times New Roman" w:eastAsia="方正小标宋_GBK" w:cs="Times New Roman" w:hAnsi="Times New Roman" w:hint="eastAsia"/>
          <w:bCs/>
          <w:kern w:val="44"/>
        </w:rPr>
        <w:t>发布光伏组件性能测试与能耗评估标准</w:t>
      </w:r>
      <w:r>
        <w:tab/>
      </w:r>
      <w:r>
        <w:fldChar w:fldCharType="begin"/>
      </w:r>
      <w:r>
        <w:instrText xml:space="preserve"> PAGEREF _Toc239869556 \h </w:instrText>
      </w:r>
      <w:r>
        <w:fldChar w:fldCharType="separate"/>
      </w:r>
      <w:r>
        <w:t>2</w:t>
      </w:r>
      <w:r>
        <w:fldChar w:fldCharType="end"/>
      </w:r>
      <w:r>
        <w:fldChar w:fldCharType="end"/>
      </w:r>
    </w:p>
    <w:p>
      <w:pPr>
        <w:pStyle w:val="18"/>
        <w:tabs>
          <w:tab w:val="right" w:leader="dot" w:pos="8296"/>
        </w:tabs>
        <w:ind w:firstLineChars="0" w:firstLine="0"/>
        <w:rPr>
          <w:rFonts w:eastAsia="宋体"/>
          <w:sz w:val="21"/>
          <w:szCs w:val="22"/>
        </w:rPr>
      </w:pPr>
      <w:r>
        <w:fldChar w:fldCharType="begin"/>
      </w:r>
      <w:r>
        <w:instrText>Hyperlink \l "_Toc239869557"</w:instrText>
      </w:r>
      <w:r>
        <w:fldChar w:fldCharType="separate"/>
      </w:r>
      <w:r>
        <w:rPr>
          <w:rFonts w:ascii="Times New Roman" w:eastAsia="方正小标宋_GBK" w:cs="Times New Roman" w:hAnsi="Times New Roman"/>
          <w:bCs/>
          <w:kern w:val="44"/>
        </w:rPr>
        <w:t>IEC</w:t>
      </w:r>
      <w:r>
        <w:rPr>
          <w:rFonts w:ascii="Times New Roman" w:eastAsia="方正小标宋_GBK" w:cs="Times New Roman" w:hAnsi="Times New Roman" w:hint="eastAsia"/>
          <w:bCs/>
          <w:kern w:val="44"/>
        </w:rPr>
        <w:t>发布光伏组件材料前背板结构安全规范</w:t>
      </w:r>
      <w:r>
        <w:tab/>
      </w:r>
      <w:r>
        <w:fldChar w:fldCharType="begin"/>
      </w:r>
      <w:r>
        <w:instrText xml:space="preserve"> PAGEREF _Toc239869557 \h </w:instrText>
      </w:r>
      <w:r>
        <w:fldChar w:fldCharType="separate"/>
      </w:r>
      <w:r>
        <w:t>3</w:t>
      </w:r>
      <w:r>
        <w:fldChar w:fldCharType="end"/>
      </w:r>
      <w:r>
        <w:fldChar w:fldCharType="end"/>
      </w:r>
    </w:p>
    <w:p>
      <w:pPr>
        <w:pStyle w:val="18"/>
        <w:tabs>
          <w:tab w:val="right" w:leader="dot" w:pos="8296"/>
        </w:tabs>
        <w:ind w:firstLineChars="0" w:firstLine="0"/>
        <w:rPr>
          <w:rFonts w:eastAsia="宋体"/>
          <w:sz w:val="21"/>
          <w:szCs w:val="22"/>
        </w:rPr>
      </w:pPr>
      <w:r>
        <w:fldChar w:fldCharType="begin"/>
      </w:r>
      <w:r>
        <w:instrText>Hyperlink \l "_Toc239869558"</w:instrText>
      </w:r>
      <w:r>
        <w:fldChar w:fldCharType="separate"/>
      </w:r>
      <w:r>
        <w:rPr>
          <w:rFonts w:ascii="黑体" w:eastAsia="黑体" w:hint="eastAsia"/>
        </w:rPr>
        <w:t>【光伏产业信息】</w:t>
      </w:r>
      <w:r>
        <w:tab/>
      </w:r>
      <w:r>
        <w:fldChar w:fldCharType="begin"/>
      </w:r>
      <w:r>
        <w:instrText xml:space="preserve"> PAGEREF _Toc239869558 \h </w:instrText>
      </w:r>
      <w:r>
        <w:fldChar w:fldCharType="separate"/>
      </w:r>
      <w:r>
        <w:t>3</w:t>
      </w:r>
      <w:r>
        <w:fldChar w:fldCharType="end"/>
      </w:r>
      <w:r>
        <w:fldChar w:fldCharType="end"/>
      </w:r>
    </w:p>
    <w:p>
      <w:pPr>
        <w:pStyle w:val="18"/>
        <w:tabs>
          <w:tab w:val="right" w:leader="dot" w:pos="8296"/>
        </w:tabs>
        <w:ind w:firstLineChars="0" w:firstLine="0"/>
        <w:rPr>
          <w:rFonts w:eastAsia="宋体"/>
          <w:sz w:val="21"/>
          <w:szCs w:val="22"/>
        </w:rPr>
      </w:pPr>
      <w:r>
        <w:fldChar w:fldCharType="begin"/>
      </w:r>
      <w:r>
        <w:instrText>Hyperlink \l "_Toc239869559"</w:instrText>
      </w:r>
      <w:r>
        <w:fldChar w:fldCharType="separate"/>
      </w:r>
      <w:r>
        <w:rPr>
          <w:rFonts w:ascii="Times New Roman" w:eastAsia="方正小标宋_GBK" w:cs="Times New Roman" w:hAnsi="Times New Roman"/>
          <w:bCs/>
          <w:kern w:val="44"/>
        </w:rPr>
        <w:t>2025</w:t>
      </w:r>
      <w:r>
        <w:rPr>
          <w:rFonts w:ascii="Times New Roman" w:eastAsia="方正小标宋_GBK" w:cs="Times New Roman" w:hAnsi="Times New Roman" w:hint="eastAsia"/>
          <w:bCs/>
          <w:kern w:val="44"/>
        </w:rPr>
        <w:t>年全球光伏运维市场规模</w:t>
      </w:r>
      <w:r>
        <w:rPr>
          <w:rFonts w:ascii="Times New Roman" w:eastAsia="方正小标宋_GBK" w:cs="Times New Roman" w:hAnsi="Times New Roman"/>
          <w:bCs/>
          <w:kern w:val="44"/>
        </w:rPr>
        <w:t>348GW</w:t>
      </w:r>
      <w:r>
        <w:tab/>
      </w:r>
      <w:r>
        <w:fldChar w:fldCharType="begin"/>
      </w:r>
      <w:r>
        <w:instrText xml:space="preserve"> PAGEREF _Toc239869559 \h </w:instrText>
      </w:r>
      <w:r>
        <w:fldChar w:fldCharType="separate"/>
      </w:r>
      <w:r>
        <w:t>3</w:t>
      </w:r>
      <w:r>
        <w:fldChar w:fldCharType="end"/>
      </w:r>
      <w:r>
        <w:fldChar w:fldCharType="end"/>
      </w:r>
    </w:p>
    <w:p>
      <w:pPr>
        <w:pStyle w:val="18"/>
        <w:tabs>
          <w:tab w:val="right" w:leader="dot" w:pos="8296"/>
        </w:tabs>
        <w:ind w:firstLineChars="0" w:firstLine="0"/>
        <w:rPr>
          <w:rFonts w:ascii="Times New Roman" w:cs="Times New Roman" w:hAnsi="Times New Roman"/>
          <w:szCs w:val="32"/>
        </w:rPr>
      </w:pPr>
      <w:r>
        <w:fldChar w:fldCharType="begin"/>
      </w:r>
      <w:r>
        <w:instrText>Hyperlink \l "_Toc239869560"</w:instrText>
      </w:r>
      <w:r>
        <w:fldChar w:fldCharType="separate"/>
      </w:r>
      <w:r>
        <w:rPr>
          <w:rFonts w:ascii="Times New Roman" w:eastAsia="方正小标宋_GBK" w:cs="Times New Roman" w:hAnsi="Times New Roman"/>
          <w:bCs/>
          <w:kern w:val="44"/>
        </w:rPr>
        <w:t>SolarWindow</w:t>
      </w:r>
      <w:r>
        <w:rPr>
          <w:rFonts w:ascii="Times New Roman" w:eastAsia="方正小标宋_GBK" w:cs="Times New Roman" w:hAnsi="Times New Roman" w:hint="eastAsia"/>
          <w:bCs/>
          <w:kern w:val="44"/>
        </w:rPr>
        <w:t>推出超薄</w:t>
      </w:r>
      <w:r>
        <w:rPr>
          <w:rFonts w:ascii="Times New Roman" w:eastAsia="方正小标宋_GBK" w:cs="Times New Roman" w:hAnsi="Times New Roman"/>
          <w:bCs/>
          <w:kern w:val="44"/>
        </w:rPr>
        <w:t>BC</w:t>
      </w:r>
      <w:r>
        <w:rPr>
          <w:rFonts w:ascii="Times New Roman" w:eastAsia="方正小标宋_GBK" w:cs="Times New Roman" w:hAnsi="Times New Roman" w:hint="eastAsia"/>
          <w:bCs/>
          <w:kern w:val="44"/>
        </w:rPr>
        <w:t>柔性光伏组件</w:t>
      </w:r>
      <w:r>
        <w:tab/>
      </w:r>
      <w:r>
        <w:fldChar w:fldCharType="begin"/>
      </w:r>
      <w:r>
        <w:instrText xml:space="preserve"> PAGEREF _Toc239869560 \h </w:instrText>
      </w:r>
      <w:r>
        <w:fldChar w:fldCharType="separate"/>
      </w:r>
      <w:r>
        <w:t>4</w:t>
      </w:r>
      <w:r>
        <w:fldChar w:fldCharType="end"/>
      </w:r>
      <w:r>
        <w:fldChar w:fldCharType="end"/>
      </w:r>
      <w:r>
        <w:rPr>
          <w:rFonts w:ascii="Times New Roman" w:cs="Times New Roman" w:hAnsi="Times New Roman"/>
          <w:szCs w:val="32"/>
        </w:rPr>
        <w:fldChar w:fldCharType="end"/>
      </w:r>
    </w:p>
    <w:p>
      <w:pPr>
        <w:pStyle w:val="1"/>
        <w:jc w:val="both"/>
        <w:rPr>
          <w:rFonts w:ascii="Times New Roman" w:hAnsi="Times New Roman"/>
          <w:sz w:val="32"/>
          <w:szCs w:val="32"/>
        </w:rPr>
        <w:sectPr>
          <w:footerReference w:type="default" r:id="rId2"/>
          <w:pgSz w:w="11906" w:h="16838"/>
          <w:pgMar w:top="1440" w:right="1800" w:bottom="1440" w:left="1800" w:header="851" w:footer="992" w:gutter="0"/>
          <w:docGrid w:type="lines" w:linePitch="312" w:charSpace="0"/>
        </w:sectPr>
      </w:pPr>
    </w:p>
    <w:p>
      <w:pPr>
        <w:pStyle w:val="1"/>
        <w:spacing w:before="100" w:after="100"/>
        <w:ind w:firstLineChars="0" w:firstLine="0"/>
        <w:jc w:val="both"/>
        <w:rPr>
          <w:rFonts w:ascii="Times New Roman" w:hAnsi="Times New Roman"/>
          <w:b w:val="0"/>
          <w:sz w:val="32"/>
          <w:szCs w:val="32"/>
        </w:rPr>
      </w:pPr>
      <w:bookmarkStart w:id="2" w:name="_Toc14866"/>
      <w:bookmarkStart w:id="3" w:name="_Toc239869555"/>
      <w:bookmarkEnd w:id="0"/>
      <w:r>
        <w:rPr>
          <w:rFonts w:ascii="Times New Roman" w:hAnsi="Times New Roman"/>
          <w:b w:val="0"/>
          <w:sz w:val="32"/>
          <w:szCs w:val="32"/>
        </w:rPr>
        <w:t>【</w:t>
      </w:r>
      <w:r>
        <w:rPr>
          <w:rFonts w:ascii="Times New Roman" w:hAnsi="Times New Roman"/>
          <w:sz w:val="32"/>
          <w:szCs w:val="32"/>
        </w:rPr>
        <w:t>光伏</w:t>
      </w:r>
      <w:r>
        <w:rPr>
          <w:rFonts w:ascii="Times New Roman" w:hAnsi="Times New Roman"/>
          <w:sz w:val="32"/>
          <w:szCs w:val="32"/>
        </w:rPr>
        <w:t>贸易措施</w:t>
      </w:r>
      <w:r>
        <w:rPr>
          <w:rFonts w:ascii="Times New Roman" w:hAnsi="Times New Roman"/>
          <w:b w:val="0"/>
          <w:sz w:val="32"/>
          <w:szCs w:val="32"/>
        </w:rPr>
        <w:t>】</w:t>
      </w:r>
      <w:bookmarkEnd w:id="2"/>
      <w:bookmarkEnd w:id="3"/>
    </w:p>
    <w:p>
      <w:pPr>
        <w:widowControl/>
        <w:spacing w:before="100" w:beforeAutospacing="1" w:after="100" w:afterAutospacing="1" w:line="960" w:lineRule="exact"/>
        <w:ind w:firstLineChars="0" w:firstLine="0"/>
        <w:jc w:val="center"/>
        <w:outlineLvl w:val="0"/>
        <w:rPr>
          <w:rFonts w:ascii="Times New Roman" w:eastAsia="方正小标宋_GBK" w:cs="Times New Roman" w:hAnsi="Times New Roman"/>
          <w:bCs/>
          <w:kern w:val="44"/>
          <w:sz w:val="44"/>
          <w:szCs w:val="48"/>
        </w:rPr>
      </w:pPr>
      <w:bookmarkStart w:id="4" w:name="_Toc239869556"/>
      <w:r>
        <w:rPr>
          <w:rFonts w:ascii="Times New Roman" w:eastAsia="方正小标宋_GBK" w:cs="Times New Roman" w:hAnsi="Times New Roman" w:hint="eastAsia"/>
          <w:bCs/>
          <w:kern w:val="44"/>
          <w:sz w:val="44"/>
          <w:szCs w:val="48"/>
        </w:rPr>
        <w:t>IEC发布光伏组件性能测试与能耗评估标准</w:t>
      </w:r>
      <w:bookmarkEnd w:id="4"/>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日期：2026年8月31日 来源：江苏省技术性贸易措施信息平台</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t>http://www.tbtsps.cn</w:t>
      </w:r>
    </w:p>
    <w:p>
      <w:pPr>
        <w:rPr>
          <w:rFonts w:ascii="Times New Roman" w:cs="Times New Roman" w:hAnsi="Times New Roman"/>
        </w:rPr>
      </w:pPr>
      <w:r>
        <w:rPr>
          <w:rFonts w:ascii="Times New Roman" w:cs="Times New Roman" w:hAnsi="Times New Roman" w:hint="eastAsia"/>
        </w:rPr>
        <w:t>2026年8月5日，国际电工委员会（IEC）发布IEC 61853-2:2026《光伏（PV）组件性能测试与能耗评级——第2部分：光谱响应度、入射角及模组标称工作温度测量》，规定了基于功率（瓦特）、能量（焦耳或瓦时）以及性能比来评估光伏组件性能的相关要求。该标准旨在制定测量辐射角效应对设备输出功率影响的程序，确定在特定的环境和使用条件下模块的工作温度，以及测量模块的光谱响应度。该标准适用于所有类型光伏组件，包括双面光伏组件。但对于那些随着时间而改变性能的组件来说，该标准可能并不适用，例如那些在光照或热效应作用下性能会变化的组件，或者那些在建模过程中出现显著非线性特性的组件。</w:t>
      </w:r>
    </w:p>
    <w:p>
      <w:pPr>
        <w:rPr>
          <w:rFonts w:ascii="Times New Roman" w:cs="Times New Roman" w:hAnsi="Times New Roman"/>
        </w:rPr>
      </w:pPr>
      <w:r>
        <w:rPr>
          <w:rFonts w:ascii="Times New Roman" w:cs="Times New Roman" w:hAnsi="Times New Roman" w:hint="eastAsia"/>
        </w:rPr>
        <w:t>海关建议：光伏生产企业密切跟踪</w:t>
      </w:r>
      <w:r>
        <w:rPr>
          <w:rFonts w:ascii="Times New Roman" w:cs="Times New Roman" w:hAnsi="Times New Roman"/>
        </w:rPr>
        <w:t>2026</w:t>
      </w:r>
      <w:r>
        <w:rPr>
          <w:rFonts w:ascii="Times New Roman" w:cs="Times New Roman" w:hAnsi="Times New Roman" w:hint="eastAsia"/>
        </w:rPr>
        <w:t>年</w:t>
      </w:r>
      <w:r>
        <w:rPr>
          <w:rFonts w:ascii="Times New Roman" w:cs="Times New Roman" w:hAnsi="Times New Roman"/>
        </w:rPr>
        <w:t>8</w:t>
      </w:r>
      <w:r>
        <w:rPr>
          <w:rFonts w:ascii="Times New Roman" w:cs="Times New Roman" w:hAnsi="Times New Roman" w:hint="eastAsia"/>
        </w:rPr>
        <w:t>月</w:t>
      </w:r>
      <w:r>
        <w:rPr>
          <w:rFonts w:ascii="Times New Roman" w:cs="Times New Roman" w:hAnsi="Times New Roman"/>
        </w:rPr>
        <w:t>5</w:t>
      </w:r>
      <w:r>
        <w:rPr>
          <w:rFonts w:ascii="Times New Roman" w:cs="Times New Roman" w:hAnsi="Times New Roman" w:hint="eastAsia"/>
        </w:rPr>
        <w:t>日发布、发布即生效的</w:t>
      </w:r>
      <w:r>
        <w:rPr>
          <w:rFonts w:ascii="Times New Roman" w:cs="Times New Roman" w:hAnsi="Times New Roman"/>
        </w:rPr>
        <w:t>IEC 61853</w:t>
      </w:r>
      <w:r>
        <w:rPr>
          <w:rFonts w:ascii="MS Mincho" w:eastAsia="MS Mincho" w:cs="MS Mincho" w:hint="eastAsia"/>
        </w:rPr>
        <w:t>‑</w:t>
      </w:r>
      <w:r>
        <w:rPr>
          <w:rFonts w:ascii="Times New Roman" w:cs="Times New Roman" w:hAnsi="Times New Roman"/>
        </w:rPr>
        <w:t>2:2026</w:t>
      </w:r>
      <w:r>
        <w:rPr>
          <w:rFonts w:ascii="Times New Roman" w:cs="Times New Roman" w:hAnsi="Times New Roman" w:hint="eastAsia"/>
        </w:rPr>
        <w:t>国际标准动态。该标准为推荐性标准，待相关国家转化为本国法规或纳入强制认证依据后将产生硬性合规要求，企业需提前开展产品测试验证，完善认证资料，健全产品质量管控体系，留存完整检测记录，做好技术合规准备。</w:t>
      </w:r>
    </w:p>
    <w:p>
      <w:pPr>
        <w:widowControl/>
        <w:spacing w:before="100" w:beforeAutospacing="1" w:after="100" w:afterAutospacing="1" w:line="960" w:lineRule="exact"/>
        <w:ind w:firstLineChars="0" w:firstLine="0"/>
        <w:jc w:val="center"/>
        <w:outlineLvl w:val="0"/>
        <w:rPr>
          <w:rFonts w:ascii="Times New Roman" w:eastAsia="方正小标宋_GBK" w:cs="Times New Roman" w:hAnsi="Times New Roman"/>
          <w:bCs/>
          <w:kern w:val="44"/>
          <w:sz w:val="44"/>
          <w:szCs w:val="48"/>
        </w:rPr>
      </w:pPr>
      <w:bookmarkStart w:id="5" w:name="_Toc239869557"/>
    </w:p>
    <w:p>
      <w:pPr>
        <w:widowControl/>
        <w:spacing w:before="100" w:beforeAutospacing="1" w:after="100" w:afterAutospacing="1" w:line="960" w:lineRule="exact"/>
        <w:ind w:firstLineChars="0" w:firstLine="0"/>
        <w:jc w:val="center"/>
        <w:outlineLvl w:val="0"/>
        <w:rPr>
          <w:rFonts w:ascii="Times New Roman" w:eastAsia="方正小标宋_GBK" w:cs="Times New Roman" w:hAnsi="Times New Roman"/>
          <w:bCs/>
          <w:kern w:val="44"/>
          <w:sz w:val="44"/>
          <w:szCs w:val="48"/>
        </w:rPr>
      </w:pPr>
      <w:r>
        <w:rPr>
          <w:rFonts w:ascii="Times New Roman" w:eastAsia="方正小标宋_GBK" w:cs="Times New Roman" w:hAnsi="Times New Roman" w:hint="eastAsia"/>
          <w:bCs/>
          <w:kern w:val="44"/>
          <w:sz w:val="44"/>
          <w:szCs w:val="48"/>
        </w:rPr>
        <w:t>IEC发布光伏组件材料前背板结构安全规范</w:t>
      </w:r>
      <w:bookmarkEnd w:id="5"/>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日期：2026年8月31日 来源：江苏省技术性贸易措施信息平台</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t>http://www.tbtsps.cn</w:t>
      </w:r>
    </w:p>
    <w:p>
      <w:pPr>
        <w:rPr>
          <w:rFonts w:ascii="Times New Roman" w:cs="Times New Roman" w:hAnsi="Times New Roman"/>
        </w:rPr>
      </w:pPr>
      <w:r>
        <w:rPr>
          <w:rFonts w:ascii="Times New Roman" w:cs="Times New Roman" w:hAnsi="Times New Roman" w:hint="eastAsia"/>
        </w:rPr>
        <w:t>2026年7月24日，国际电工委员会（IEC）发布IEC 62788-2-1:2023+AMD1:2026 CSV《光伏组件材料测量程序——第2-1部分：高分子材料——前片和背板——安全要求》，规定了柔性聚合物前背板结构的安全要求，这些结构用于光伏（PV）组件中可靠的绝缘材料。本文件中的规范定义了聚合物前片或背板结构在元件层面的具体要求，涵盖了未曝光状态和/或老化后对机械、电气、视觉和热的表征。本文件涵盖了IEC 61730-1中定义的II类和0类模块。三级模块不在范围内。本文件规定了根据IEC 61730-1用于模块安全鉴定的前片和背片的资格要求。测试方法描述载于IEC TS 62788-2，以及其他有助于性能或质量保证的表征方法。</w:t>
      </w:r>
    </w:p>
    <w:p>
      <w:pPr>
        <w:pStyle w:val="1"/>
        <w:spacing w:before="100" w:after="100"/>
        <w:ind w:firstLineChars="0" w:firstLine="0"/>
        <w:jc w:val="both"/>
        <w:rPr>
          <w:rFonts w:ascii="Times New Roman" w:hAnsi="Times New Roman"/>
          <w:b w:val="0"/>
          <w:sz w:val="32"/>
          <w:szCs w:val="32"/>
        </w:rPr>
      </w:pPr>
      <w:bookmarkStart w:id="6" w:name="_Toc239869558"/>
      <w:r>
        <w:rPr>
          <w:rFonts w:ascii="Times New Roman" w:hAnsi="Times New Roman"/>
          <w:b w:val="0"/>
          <w:sz w:val="32"/>
          <w:szCs w:val="32"/>
        </w:rPr>
        <w:t>【</w:t>
      </w:r>
      <w:r>
        <w:rPr>
          <w:rFonts w:ascii="Times New Roman" w:hAnsi="Times New Roman"/>
          <w:sz w:val="32"/>
          <w:szCs w:val="32"/>
        </w:rPr>
        <w:t>光伏</w:t>
      </w:r>
      <w:r>
        <w:rPr>
          <w:rFonts w:ascii="Times New Roman" w:hAnsi="Times New Roman"/>
          <w:sz w:val="32"/>
          <w:szCs w:val="32"/>
        </w:rPr>
        <w:t>产业信息</w:t>
      </w:r>
      <w:r>
        <w:rPr>
          <w:rFonts w:ascii="Times New Roman" w:hAnsi="Times New Roman"/>
          <w:b w:val="0"/>
          <w:sz w:val="32"/>
          <w:szCs w:val="32"/>
        </w:rPr>
        <w:t>】</w:t>
      </w:r>
      <w:bookmarkEnd w:id="6"/>
    </w:p>
    <w:p>
      <w:pPr>
        <w:widowControl/>
        <w:spacing w:before="100" w:beforeAutospacing="1" w:after="100" w:afterAutospacing="1" w:line="960" w:lineRule="exact"/>
        <w:ind w:firstLineChars="0" w:firstLine="0"/>
        <w:jc w:val="center"/>
        <w:outlineLvl w:val="0"/>
        <w:rPr>
          <w:rFonts w:ascii="Times New Roman" w:eastAsia="方正小标宋_GBK" w:cs="Times New Roman" w:hAnsi="Times New Roman"/>
          <w:bCs/>
          <w:kern w:val="44"/>
          <w:sz w:val="44"/>
          <w:szCs w:val="48"/>
        </w:rPr>
      </w:pPr>
      <w:bookmarkStart w:id="7" w:name="_Toc239869559"/>
      <w:r>
        <w:rPr>
          <w:rFonts w:ascii="Times New Roman" w:eastAsia="方正小标宋_GBK" w:cs="Times New Roman" w:hAnsi="Times New Roman" w:hint="eastAsia"/>
          <w:bCs/>
          <w:kern w:val="44"/>
          <w:sz w:val="44"/>
          <w:szCs w:val="48"/>
        </w:rPr>
        <w:t>2025年全球光伏运维市场规模348GW</w:t>
      </w:r>
      <w:bookmarkEnd w:id="7"/>
      <w:r>
        <w:rPr>
          <w:rFonts w:ascii="Times New Roman" w:eastAsia="方正小标宋_GBK" w:cs="Times New Roman" w:hAnsi="Times New Roman" w:hint="eastAsia"/>
          <w:bCs/>
          <w:kern w:val="44"/>
          <w:sz w:val="44"/>
          <w:szCs w:val="48"/>
        </w:rPr>
        <w:t xml:space="preserve"> </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 xml:space="preserve">日期：2026年9月2日 来源：TaiyangNews  </w:t>
      </w:r>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sz w:val="24"/>
          <w:szCs w:val="24"/>
        </w:rPr>
        <w:t>https://news.solarbe.com</w:t>
      </w:r>
    </w:p>
    <w:p>
      <w:pPr>
        <w:rPr>
          <w:rFonts w:ascii="Times New Roman" w:cs="Times New Roman" w:hAnsi="Times New Roman"/>
        </w:rPr>
      </w:pPr>
      <w:r>
        <w:rPr>
          <w:rFonts w:ascii="Times New Roman" w:cs="Times New Roman" w:hAnsi="Times New Roman" w:hint="eastAsia"/>
        </w:rPr>
        <w:t>Wood Mackenzie 分析数据显示，2025 年全球新增光伏运维（O&amp;M）市场规模 61GW，总规模达到 348GW。前 15 家光伏运维服务商管理的项目容量合计达到 200GW，占全球市场的 57%。</w:t>
      </w:r>
    </w:p>
    <w:p>
      <w:pPr>
        <w:rPr>
          <w:rFonts w:ascii="Times New Roman" w:cs="Times New Roman" w:hAnsi="Times New Roman"/>
        </w:rPr>
      </w:pPr>
      <w:r>
        <w:rPr>
          <w:rFonts w:ascii="Times New Roman" w:cs="Times New Roman" w:hAnsi="Times New Roman" w:hint="eastAsia"/>
        </w:rPr>
        <w:t>Wood Mackenzie 在《2026 全球光伏运维服务商报告（Global Solar PV O&amp;M Service Provider Dynamics 2026 report）》中指出，2025 年全球光伏运维市场显著增长，纳入评估的市场容量达到 348GW，其中 2025 年新增 61GW。报告跟踪了美洲、除中国以外的亚太地区，以及欧洲、中东和非洲地区的130 多家运维服务商；其中，全球前15家运维服务商在 2025年新增管理规模 41GW，合计管理容量达到 200GW。</w:t>
      </w:r>
    </w:p>
    <w:p>
      <w:pPr>
        <w:rPr>
          <w:rFonts w:ascii="Times New Roman" w:cs="Times New Roman" w:hAnsi="Times New Roman"/>
        </w:rPr>
      </w:pPr>
      <w:r>
        <w:rPr>
          <w:rFonts w:ascii="Times New Roman" w:cs="Times New Roman" w:hAnsi="Times New Roman" w:hint="eastAsia"/>
        </w:rPr>
        <w:t>截至 2025年底，Novasource Power Services 以 38.4 GW 的管理规模位居全球第一，其后依次为 RES Energy Global Services、SOLV Energy、Solarig Energy Services 和 Recurrent Energy，排名前五的企业均在推进跨区域扩张。在第二梯队服务商中，FRV 旗下独立运维业务 megaom 的管理规模增长 243%，达到 3.8GW，并首次进入全球前 30 名。区域市场表现同样不均衡。由于竞争加剧，北美地区全包式光伏运维合同成本同比下降 18%；与此同时，中东和非洲地区的光伏运维业务量在2025年接近翻番，且持续有新的服务商进入市场。</w:t>
      </w:r>
    </w:p>
    <w:p>
      <w:pPr>
        <w:widowControl/>
        <w:spacing w:before="100" w:beforeAutospacing="1" w:after="100" w:afterAutospacing="1" w:line="960" w:lineRule="exact"/>
        <w:ind w:firstLineChars="0" w:firstLine="0"/>
        <w:jc w:val="center"/>
        <w:outlineLvl w:val="0"/>
        <w:rPr>
          <w:rFonts w:ascii="Times New Roman" w:eastAsia="方正小标宋_GBK" w:cs="Times New Roman" w:hAnsi="Times New Roman"/>
          <w:bCs/>
          <w:kern w:val="44"/>
          <w:sz w:val="44"/>
          <w:szCs w:val="48"/>
        </w:rPr>
      </w:pPr>
      <w:bookmarkStart w:id="8" w:name="_Toc239869560"/>
      <w:r>
        <w:rPr>
          <w:rFonts w:ascii="Times New Roman" w:eastAsia="方正小标宋_GBK" w:cs="Times New Roman" w:hAnsi="Times New Roman" w:hint="eastAsia"/>
          <w:bCs/>
          <w:kern w:val="44"/>
          <w:sz w:val="44"/>
          <w:szCs w:val="48"/>
        </w:rPr>
        <w:t>SolarWindow推出超薄BC柔性光伏组件</w:t>
      </w:r>
      <w:bookmarkEnd w:id="8"/>
    </w:p>
    <w:p>
      <w:pPr>
        <w:pStyle w:val="15"/>
        <w:spacing w:line="360" w:lineRule="exact"/>
        <w:ind w:firstLineChars="0" w:firstLine="0"/>
        <w:jc w:val="center"/>
        <w:rPr>
          <w:rFonts w:ascii="Times New Roman" w:cs="Times New Roman" w:hAnsi="Times New Roman"/>
          <w:sz w:val="24"/>
          <w:szCs w:val="24"/>
        </w:rPr>
      </w:pPr>
      <w:r>
        <w:rPr>
          <w:rFonts w:ascii="Times New Roman" w:cs="Times New Roman" w:hAnsi="Times New Roman" w:hint="eastAsia"/>
          <w:sz w:val="24"/>
          <w:szCs w:val="24"/>
        </w:rPr>
        <w:t xml:space="preserve">日期：2026年9月4日 来源：TaiyangNews </w:t>
      </w:r>
    </w:p>
    <w:p>
      <w:pPr>
        <w:pStyle w:val="15"/>
        <w:spacing w:line="360" w:lineRule="exact"/>
        <w:ind w:firstLineChars="0" w:firstLine="0"/>
        <w:jc w:val="center"/>
        <w:rPr>
          <w:rFonts w:ascii="Times New Roman" w:cs="Times New Roman" w:hAnsi="Times New Roman"/>
        </w:rPr>
      </w:pPr>
      <w:r>
        <w:rPr>
          <w:rFonts w:ascii="Times New Roman" w:cs="Times New Roman" w:hAnsi="Times New Roman"/>
          <w:sz w:val="24"/>
          <w:szCs w:val="24"/>
        </w:rPr>
        <w:t xml:space="preserve">https://news.solarbe.com           </w:t>
      </w:r>
      <w:r>
        <w:rPr>
          <w:rFonts w:ascii="Times New Roman" w:cs="Times New Roman" w:hAnsi="Times New Roman"/>
        </w:rPr>
        <w:t xml:space="preserve">                    </w:t>
      </w:r>
    </w:p>
    <w:p>
      <w:pPr>
        <w:rPr>
          <w:rFonts w:ascii="Times New Roman" w:cs="Times New Roman" w:hAnsi="Times New Roman"/>
        </w:rPr>
      </w:pPr>
      <w:r>
        <w:rPr>
          <w:rFonts w:ascii="Times New Roman" w:cs="Times New Roman" w:hAnsi="Times New Roman" w:hint="eastAsia"/>
        </w:rPr>
        <w:t>美国柔性光伏制造商 SolarWindow Technologies 推出 ElectroFlex 柔性光伏组件，厚度为 0.85mm，适用于平面、曲面和不规则表面。</w:t>
      </w:r>
    </w:p>
    <w:p>
      <w:pPr>
        <w:rPr>
          <w:rFonts w:ascii="Times New Roman" w:hAnsi="Times New Roman"/>
        </w:rPr>
      </w:pPr>
      <w:r>
        <w:rPr>
          <w:rFonts w:ascii="Times New Roman" w:cs="Times New Roman" w:hAnsi="Times New Roman" w:hint="eastAsia"/>
        </w:rPr>
        <w:t>该组件采用 BC 电池，电池效率为 24.4%，标称功率重量比约为73W/kg。ElectroFlex 组件背面配有粘接层，可直接贴合平面、曲面及不规则表面，SolarWindow 将这种安装方式称为“撕贴式”安装。由于无需传统安装支架，该组件可集成于卡车、船舶、列车、飞机和建筑等应用中，适用于传统玻璃组件因重量或刚性无法满足的场景。此外，公司还将其应用范围延伸至农业、基础设施、公用事业和专用车辆领域。</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MS Mincho">
    <w:altName w:val="ＭＳ 明朝"/>
    <w:panose1 w:val="02020609040205080304"/>
    <w:charset w:val="80"/>
    <w:family w:val="modern"/>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方正楷体_GBK">
    <w:panose1 w:val="03000509000000000000"/>
    <w:charset w:val="86"/>
    <w:family w:val="script"/>
    <w:pitch w:val="variable"/>
    <w:sig w:usb0="00000001" w:usb1="080E0000" w:usb2="0000001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pPr>
    <w:r>
      <mc:AlternateContent>
        <mc:Choice Requires="wps">
          <w:drawing>
            <wp:anchor distT="0" distB="0" distL="114298" distR="114298" simplePos="0" relativeHeight="10" behindDoc="0" locked="0" layoutInCell="1" hidden="0" allowOverlap="1">
              <wp:simplePos x="0" y="0"/>
              <wp:positionH relativeFrom="margin">
                <wp:align>center</wp:align>
              </wp:positionH>
              <wp:positionV relativeFrom="paragraph">
                <wp:posOffset>0</wp:posOffset>
              </wp:positionV>
              <wp:extent cx="509422" cy="355600"/>
              <wp:effectExtent l="0" t="0" r="0" b="0"/>
              <wp:wrapNone/>
              <wp:docPr id="1" name="文本框 1"/>
              <wp:cNvGraphicFramePr>
                <a:graphicFrameLocks noChangeAspect="0"/>
              </wp:cNvGraphicFramePr>
              <a:graphic>
                <a:graphicData uri="http://schemas.microsoft.com/office/word/2010/wordprocessingShape">
                  <wps:wsp>
                    <wps:cNvSpPr/>
                    <wps:spPr>
                      <a:xfrm rot="0">
                        <a:off x="0" y="0"/>
                        <a:ext cx="509422" cy="355600"/>
                      </a:xfrm>
                      <a:prstGeom prst="rect"/>
                      <a:noFill/>
                      <a:ln w="9525" cmpd="sng" cap="flat">
                        <a:noFill/>
                        <a:prstDash val="solid"/>
                        <a:miter/>
                      </a:ln>
                    </wps:spPr>
                    <wps:txbx id="2">
                      <w:txbxContent>
                        <w:p>
                          <w:pPr>
                            <w:pStyle w:val="16"/>
                            <w:tabs>
                              <w:tab w:val="center" w:pos="4153"/>
                              <w:tab w:val="right" w:pos="8306"/>
                            </w:tabs>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4</w:t>
                          </w:r>
                          <w:r>
                            <w:rPr>
                              <w:sz w:val="32"/>
                              <w:szCs w:val="32"/>
                            </w:rPr>
                            <w:fldChar w:fldCharType="end"/>
                          </w:r>
                        </w:p>
                      </w:txbxContent>
                    </wps:txbx>
                    <wps:bodyPr vert="horz" wrap="none" lIns="0" tIns="0" rIns="0" bIns="0" anchor="t" anchorCtr="0" upright="1">
                      <a:spAutoFit/>
                    </wps:bodyPr>
                  </wps:wsp>
                </a:graphicData>
              </a:graphic>
            </wp:anchor>
          </w:drawing>
        </mc:Choice>
        <mc:Fallback>
          <w:pict>
            <v:shape type="#_x0000_t202" id="文本框 1 3" o:spid="_x0000_s3" filled="f" stroked="f" style="position:absolute;margin-left:0.0pt;margin-top:0.0pt;width:40.112007pt;height:28.000004pt;z-index:10;mso-position-horizontal:center;mso-position-horizontal-relative:margin;mso-position-vertical:absolute;mso-wrap-distance-left:8.999863pt;mso-wrap-distance-right:8.999863pt;mso-wrap-style:none;">
              <v:stroke color="#000000"/>
              <v:textbox id="848" inset="0mm,0mm,0mm,0mm" o:insetmode="custom" style="layout-flow:horizontal;v-text-anchor:top;mso-fit-shape-to-text:t;">
                <w:txbxContent>
                  <w:p>
                    <w:pPr>
                      <w:pStyle w:val="16"/>
                      <w:tabs>
                        <w:tab w:val="center" w:pos="4153"/>
                        <w:tab w:val="right" w:pos="8306"/>
                      </w:tabs>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4</w:t>
                    </w:r>
                    <w:r>
                      <w:rPr>
                        <w:sz w:val="32"/>
                        <w:szCs w:val="32"/>
                      </w:rPr>
                      <w:fldChar w:fldCharType="end"/>
                    </w:r>
                  </w:p>
                </w:txbxContent>
              </v:textbox>
            </v:shape>
          </w:pict>
        </mc:Fallback>
      </mc:AlternateConten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bordersDoNotSurroundHeader/>
  <w:bordersDoNotSurroundFooter/>
  <w:trackRevisions/>
  <w:defaultTabStop w:val="420"/>
  <w:drawingGridHorizontalSpacing w:val="160"/>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NDUyNzVkMDI3MWU4NzNkYjY3YzMxNmUxNDE2YzVlNz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560" w:lineRule="exact"/>
      <w:ind w:firstLineChars="200" w:firstLine="200"/>
      <w:jc w:val="both"/>
    </w:pPr>
    <w:rPr>
      <w:rFonts w:ascii="Calibri" w:eastAsia="方正仿宋_GBK" w:cs="Arial" w:hAnsi="Calibri"/>
      <w:kern w:val="2"/>
      <w:sz w:val="32"/>
      <w:szCs w:val="24"/>
      <w:lang w:val="en-US" w:eastAsia="zh-CN" w:bidi="ar-SA"/>
    </w:rPr>
  </w:style>
  <w:style w:type="paragraph" w:styleId="1">
    <w:name w:val="heading 1"/>
    <w:basedOn w:val="0"/>
    <w:pPr>
      <w:spacing w:beforeAutospacing="1" w:afterAutospacing="1"/>
      <w:jc w:val="left"/>
      <w:outlineLvl w:val="0"/>
    </w:pPr>
    <w:rPr>
      <w:rFonts w:ascii="宋体" w:eastAsia="宋体" w:cs="Times New Roman"/>
      <w:b/>
      <w:bCs/>
      <w:kern w:val="44"/>
      <w:sz w:val="48"/>
      <w:szCs w:val="48"/>
    </w:rPr>
  </w:style>
  <w:style w:type="paragraph" w:styleId="2">
    <w:name w:val="heading 2"/>
    <w:basedOn w:val="0"/>
    <w:next w:val="0"/>
    <w:pPr>
      <w:keepNext/>
      <w:keepLines/>
      <w:widowControl w:val="0"/>
      <w:jc w:val="center"/>
      <w:outlineLvl w:val="1"/>
    </w:pPr>
    <w:rPr>
      <w:rFonts w:ascii="Calibri Light" w:eastAsia="方正楷体_GBK" w:cs="Times New Roman" w:hAnsi="Calibri Light"/>
      <w:b/>
      <w:bCs/>
      <w:szCs w:val="32"/>
    </w:rPr>
  </w:style>
  <w:style w:type="paragraph" w:styleId="3">
    <w:name w:val="heading 3"/>
    <w:basedOn w:val="0"/>
    <w:next w:val="0"/>
    <w:pPr>
      <w:spacing w:beforeAutospacing="1" w:afterAutospacing="1"/>
      <w:jc w:val="left"/>
      <w:outlineLvl w:val="2"/>
    </w:pPr>
    <w:rPr>
      <w:rFonts w:ascii="宋体" w:eastAsia="宋体" w:cs="Times New Roman"/>
      <w:b/>
      <w:bCs/>
      <w:kern w:val="0"/>
      <w:sz w:val="27"/>
      <w:szCs w:val="27"/>
    </w:rPr>
  </w:style>
  <w:style w:type="paragraph" w:styleId="4">
    <w:name w:val="heading 4"/>
    <w:basedOn w:val="0"/>
    <w:next w:val="0"/>
    <w:pPr>
      <w:keepNext/>
      <w:keepLines/>
      <w:widowControl w:val="0"/>
      <w:spacing w:before="280" w:after="290" w:line="372" w:lineRule="auto"/>
      <w:outlineLvl w:val="3"/>
    </w:pPr>
    <w:rPr>
      <w:rFonts w:ascii="Arial" w:eastAsia="黑体" w:hAnsi="Arial"/>
      <w:b/>
      <w:sz w:val="28"/>
    </w:rPr>
  </w:style>
  <w:style w:type="character" w:default="1" w:styleId="10">
    <w:name w:val="Default Paragraph Font"/>
  </w:style>
  <w:style w:type="paragraph" w:styleId="15">
    <w:name w:val="Balloon Text"/>
    <w:basedOn w:val="0"/>
    <w:pPr>
      <w:spacing w:line="240" w:lineRule="auto"/>
    </w:pPr>
    <w:rPr>
      <w:sz w:val="18"/>
      <w:szCs w:val="18"/>
    </w:rPr>
  </w:style>
  <w:style w:type="paragraph" w:styleId="16">
    <w:name w:val="footer"/>
    <w:basedOn w:val="0"/>
    <w:pPr>
      <w:tabs>
        <w:tab w:val="center" w:pos="4153"/>
        <w:tab w:val="right" w:pos="8306"/>
      </w:tabs>
      <w:snapToGrid w:val="0"/>
      <w:jc w:val="left"/>
    </w:pPr>
    <w:rPr>
      <w:sz w:val="18"/>
    </w:rPr>
  </w:style>
  <w:style w:type="paragraph" w:styleId="17">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pPr>
    <w:rPr>
      <w:sz w:val="18"/>
    </w:rPr>
  </w:style>
  <w:style w:type="paragraph" w:styleId="18">
    <w:name w:val="toc 1"/>
    <w:basedOn w:val="0"/>
    <w:next w:val="0"/>
  </w:style>
  <w:style w:type="paragraph" w:styleId="19">
    <w:name w:val="Normal (Web)"/>
    <w:basedOn w:val="0"/>
    <w:pPr>
      <w:spacing w:beforeAutospacing="1" w:afterAutospacing="1"/>
      <w:jc w:val="left"/>
    </w:pPr>
    <w:rPr>
      <w:rFonts w:cs="Times New Roman"/>
      <w:kern w:val="0"/>
      <w:sz w:val="24"/>
    </w:rPr>
  </w:style>
  <w:style w:type="character" w:styleId="20">
    <w:name w:val="Strong"/>
    <w:basedOn w:val="10"/>
    <w:rPr>
      <w:b/>
    </w:rPr>
  </w:style>
  <w:style w:type="character" w:styleId="21">
    <w:name w:val="Emphasis"/>
    <w:basedOn w:val="10"/>
    <w:rPr>
      <w:i/>
    </w:rPr>
  </w:style>
  <w:style w:type="character" w:styleId="22">
    <w:name w:val="Hyperlink"/>
    <w:basedOn w:val="10"/>
    <w:rPr>
      <w:color w:val="0000FF"/>
      <w:u w:val="single"/>
    </w:rPr>
  </w:style>
  <w:style w:type="paragraph" w:customStyle="1" w:styleId="23">
    <w:name w:val="WPSOffice手动目录 1"/>
    <w:rPr>
      <w:rFonts w:ascii="Calibri" w:eastAsia="宋体" w:cs="Arial" w:hAnsi="Calibri"/>
      <w:lang w:val="en-US" w:eastAsia="zh-CN" w:bidi="ar-SA"/>
    </w:rPr>
  </w:style>
  <w:style w:type="character" w:customStyle="1" w:styleId="24">
    <w:name w:val="不明显强调1"/>
    <w:basedOn w:val="10"/>
    <w:rPr>
      <w:i/>
      <w:iCs/>
      <w:color w:val="7F7F7F"/>
    </w:rPr>
  </w:style>
  <w:style w:type="character" w:customStyle="1" w:styleId="25">
    <w:name w:val="item"/>
    <w:basedOn w:val="10"/>
  </w:style>
  <w:style w:type="character" w:customStyle="1" w:styleId="26">
    <w:name w:val="txt"/>
    <w:basedOn w:val="10"/>
  </w:style>
  <w:style w:type="character" w:customStyle="1" w:styleId="27">
    <w:name w:val="bjh-p"/>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Application>
  <Pages>5</Pages>
  <Words>1497</Words>
  <Characters>2043</Characters>
  <Lines>84</Lines>
  <Paragraphs>29</Paragraphs>
  <CharactersWithSpaces>2160</CharactersWithSpaces>
  <Company>Organization</Company>
</Properties>
</file>

<file path=docProps/core.xml><?xml version="1.0" encoding="utf-8"?>
<cp:coreProperties xmlns:cp="http://schemas.openxmlformats.org/package/2006/metadata/core-properties" xmlns:dc="http://purl.org/dc/elements/1.1/" xmlns:dcterms="http://purl.org/dc/terms/" xmlns:xsi="http://www.w3.org/2001/XMLSchema-instance">
  <dc:creator>86189</dc:creator>
  <cp:lastModifiedBy>申德生</cp:lastModifiedBy>
  <cp:revision>2</cp:revision>
  <dcterms:created xsi:type="dcterms:W3CDTF">2026-09-09T10:33:00Z</dcterms:created>
  <dcterms:modified xsi:type="dcterms:W3CDTF">2026-09-11T06:31:28Z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2052-12.1.0.25835</vt:lpwstr>
  </property>
  <property fmtid="{D5CDD505-2E9C-101B-9397-08002B2CF9AE}" pid="3" name="ICV">
    <vt:lpwstr>16BD2586B13745CBB78290965E8712D4_13</vt:lpwstr>
  </property>
  <property fmtid="{D5CDD505-2E9C-101B-9397-08002B2CF9AE}" pid="4" name="KSOTemplateDocerSaveRecord">
    <vt:lpwstr>eyJoZGlkIjoiNDUyNzVkMDI3MWU4NzNkYjY3YzMxNmUxNDE2YzVlNzYiLCJ1c2VySWQiOiI2OTc5MDIifQ==</vt:lpwstr>
  </property>
</Properties>
</file>