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spacing w:line="240" w:lineRule="auto"/>
        <w:ind w:firstLineChars="0" w:firstLine="0"/>
        <w:jc w:val="center"/>
        <w:rPr>
          <w:rFonts w:ascii="Times New Roman" w:eastAsia="宋体" w:cs="Times New Roman" w:hAnsi="Times New Roman" w:hint="eastAsia"/>
          <w:b/>
          <w:bCs/>
          <w:kern w:val="44"/>
          <w:sz w:val="44"/>
          <w:szCs w:val="32"/>
        </w:rPr>
      </w:pPr>
      <w:bookmarkStart w:id="0" w:name="_Toc30197"/>
      <w:bookmarkStart w:id="1" w:name="_GoBack"/>
      <w:bookmarkEnd w:id="1"/>
    </w:p>
    <w:p>
      <w:pPr>
        <w:spacing w:line="240" w:lineRule="auto"/>
        <w:ind w:firstLineChars="0" w:firstLine="0"/>
        <w:jc w:val="center"/>
        <w:rPr>
          <w:rFonts w:ascii="Times New Roman" w:eastAsia="宋体" w:cs="Times New Roman" w:hAnsi="Times New Roman"/>
          <w:szCs w:val="32"/>
        </w:rPr>
      </w:pPr>
      <w:r>
        <w:rPr>
          <w:rFonts w:ascii="Times New Roman" w:eastAsia="宋体" w:cs="Times New Roman" w:hAnsi="Times New Roman"/>
          <w:szCs w:val="32"/>
        </w:rPr>
        <w:t>目录</w:t>
      </w:r>
    </w:p>
    <w:p>
      <w:pPr>
        <w:pStyle w:val="18"/>
        <w:tabs>
          <w:tab w:val="right" w:leader="dot" w:pos="8296"/>
        </w:tabs>
        <w:ind w:firstLineChars="0" w:firstLine="0"/>
        <w:rPr>
          <w:rStyle w:val="22"/>
          <w:rFonts w:ascii="黑体" w:eastAsia="黑体"/>
        </w:rPr>
      </w:pPr>
      <w:r>
        <w:rPr>
          <w:rStyle w:val="22"/>
          <w:rFonts w:ascii="黑体" w:eastAsia="黑体"/>
        </w:rPr>
        <w:fldChar w:fldCharType="begin"/>
      </w:r>
      <w:r>
        <w:rPr>
          <w:rStyle w:val="22"/>
          <w:rFonts w:ascii="黑体" w:eastAsia="黑体"/>
        </w:rPr>
        <w:instrText xml:space="preserve">TOC \o "1-1" \h \u </w:instrText>
      </w:r>
      <w:r>
        <w:rPr>
          <w:rStyle w:val="22"/>
          <w:rFonts w:ascii="黑体" w:eastAsia="黑体"/>
        </w:rPr>
        <w:fldChar w:fldCharType="separate"/>
      </w:r>
      <w:r>
        <w:fldChar w:fldCharType="begin"/>
      </w:r>
      <w:r>
        <w:instrText>Hyperlink \l "_Toc239870494"</w:instrText>
      </w:r>
      <w:r>
        <w:fldChar w:fldCharType="separate"/>
      </w:r>
      <w:r>
        <w:rPr>
          <w:rFonts w:ascii="黑体" w:eastAsia="黑体" w:hint="eastAsia"/>
        </w:rPr>
        <w:t>【光伏贸易措施】</w:t>
      </w:r>
      <w:r>
        <w:rPr>
          <w:rFonts w:ascii="黑体" w:eastAsia="黑体"/>
        </w:rPr>
        <w:tab/>
      </w:r>
      <w:r>
        <w:rPr>
          <w:rStyle w:val="22"/>
          <w:rFonts w:ascii="黑体" w:eastAsia="黑体"/>
        </w:rPr>
        <w:fldChar w:fldCharType="begin"/>
      </w:r>
      <w:r>
        <w:rPr>
          <w:rStyle w:val="22"/>
          <w:rFonts w:ascii="黑体" w:eastAsia="黑体"/>
        </w:rPr>
        <w:instrText xml:space="preserve"> PAGEREF _Toc239870494 \h </w:instrText>
      </w:r>
      <w:r>
        <w:rPr>
          <w:rStyle w:val="22"/>
          <w:rFonts w:ascii="黑体" w:eastAsia="黑体"/>
        </w:rPr>
        <w:fldChar w:fldCharType="separate"/>
      </w:r>
      <w:r>
        <w:rPr>
          <w:rFonts w:ascii="黑体" w:eastAsia="黑体"/>
        </w:rPr>
        <w:t>2</w:t>
      </w:r>
      <w:r>
        <w:rPr>
          <w:rStyle w:val="22"/>
          <w:rFonts w:ascii="黑体" w:eastAsia="黑体"/>
        </w:rPr>
        <w:fldChar w:fldCharType="end"/>
      </w:r>
      <w:r>
        <w:fldChar w:fldCharType="end"/>
      </w:r>
    </w:p>
    <w:p>
      <w:pPr>
        <w:pStyle w:val="18"/>
        <w:tabs>
          <w:tab w:val="right" w:leader="dot" w:pos="8296"/>
        </w:tabs>
        <w:ind w:firstLineChars="0" w:firstLine="0"/>
        <w:rPr>
          <w:rStyle w:val="22"/>
          <w:rFonts w:ascii="黑体" w:eastAsia="黑体"/>
        </w:rPr>
      </w:pPr>
      <w:r>
        <w:fldChar w:fldCharType="begin"/>
      </w:r>
      <w:r>
        <w:instrText>Hyperlink \l "_Toc239870495"</w:instrText>
      </w:r>
      <w:r>
        <w:fldChar w:fldCharType="separate"/>
      </w:r>
      <w:r>
        <w:rPr>
          <w:rFonts w:ascii="黑体" w:eastAsia="黑体" w:hint="eastAsia"/>
        </w:rPr>
        <w:t>泰国拟将太阳能电池板及配套逆变器、储能电池纳入标签管制</w:t>
      </w:r>
      <w:r>
        <w:rPr>
          <w:rFonts w:ascii="黑体" w:eastAsia="黑体"/>
        </w:rPr>
        <w:tab/>
      </w:r>
      <w:r>
        <w:rPr>
          <w:rStyle w:val="22"/>
          <w:rFonts w:ascii="黑体" w:eastAsia="黑体"/>
        </w:rPr>
        <w:fldChar w:fldCharType="begin"/>
      </w:r>
      <w:r>
        <w:rPr>
          <w:rStyle w:val="22"/>
          <w:rFonts w:ascii="黑体" w:eastAsia="黑体"/>
        </w:rPr>
        <w:instrText xml:space="preserve"> PAGEREF _Toc239870495 \h </w:instrText>
      </w:r>
      <w:r>
        <w:rPr>
          <w:rStyle w:val="22"/>
          <w:rFonts w:ascii="黑体" w:eastAsia="黑体"/>
        </w:rPr>
        <w:fldChar w:fldCharType="separate"/>
      </w:r>
      <w:r>
        <w:rPr>
          <w:rFonts w:ascii="黑体" w:eastAsia="黑体"/>
        </w:rPr>
        <w:t>2</w:t>
      </w:r>
      <w:r>
        <w:rPr>
          <w:rStyle w:val="22"/>
          <w:rFonts w:ascii="黑体" w:eastAsia="黑体"/>
        </w:rPr>
        <w:fldChar w:fldCharType="end"/>
      </w:r>
      <w:r>
        <w:fldChar w:fldCharType="end"/>
      </w:r>
    </w:p>
    <w:p>
      <w:pPr>
        <w:pStyle w:val="18"/>
        <w:tabs>
          <w:tab w:val="right" w:leader="dot" w:pos="8296"/>
        </w:tabs>
        <w:ind w:firstLineChars="0" w:firstLine="0"/>
        <w:rPr>
          <w:rStyle w:val="22"/>
          <w:rFonts w:ascii="黑体" w:eastAsia="黑体"/>
        </w:rPr>
      </w:pPr>
      <w:r>
        <w:fldChar w:fldCharType="begin"/>
      </w:r>
      <w:r>
        <w:instrText>Hyperlink \l "_Toc239870496"</w:instrText>
      </w:r>
      <w:r>
        <w:fldChar w:fldCharType="separate"/>
      </w:r>
      <w:r>
        <w:rPr>
          <w:rFonts w:ascii="黑体" w:eastAsia="黑体" w:hint="eastAsia"/>
        </w:rPr>
        <w:t>【光伏产业信息】</w:t>
      </w:r>
      <w:r>
        <w:rPr>
          <w:rFonts w:ascii="黑体" w:eastAsia="黑体"/>
        </w:rPr>
        <w:tab/>
      </w:r>
      <w:r>
        <w:rPr>
          <w:rStyle w:val="22"/>
          <w:rFonts w:ascii="黑体" w:eastAsia="黑体"/>
        </w:rPr>
        <w:fldChar w:fldCharType="begin"/>
      </w:r>
      <w:r>
        <w:rPr>
          <w:rStyle w:val="22"/>
          <w:rFonts w:ascii="黑体" w:eastAsia="黑体"/>
        </w:rPr>
        <w:instrText xml:space="preserve"> PAGEREF _Toc239870496 \h </w:instrText>
      </w:r>
      <w:r>
        <w:rPr>
          <w:rStyle w:val="22"/>
          <w:rFonts w:ascii="黑体" w:eastAsia="黑体"/>
        </w:rPr>
        <w:fldChar w:fldCharType="separate"/>
      </w:r>
      <w:r>
        <w:rPr>
          <w:rFonts w:ascii="黑体" w:eastAsia="黑体"/>
        </w:rPr>
        <w:t>3</w:t>
      </w:r>
      <w:r>
        <w:rPr>
          <w:rStyle w:val="22"/>
          <w:rFonts w:ascii="黑体" w:eastAsia="黑体"/>
        </w:rPr>
        <w:fldChar w:fldCharType="end"/>
      </w:r>
      <w:r>
        <w:fldChar w:fldCharType="end"/>
      </w:r>
    </w:p>
    <w:p>
      <w:pPr>
        <w:pStyle w:val="18"/>
        <w:tabs>
          <w:tab w:val="right" w:leader="dot" w:pos="8296"/>
        </w:tabs>
        <w:ind w:firstLineChars="0" w:firstLine="0"/>
        <w:rPr>
          <w:rStyle w:val="22"/>
          <w:rFonts w:ascii="黑体" w:eastAsia="黑体"/>
        </w:rPr>
      </w:pPr>
      <w:r>
        <w:fldChar w:fldCharType="begin"/>
      </w:r>
      <w:r>
        <w:instrText>Hyperlink \l "_Toc239870497"</w:instrText>
      </w:r>
      <w:r>
        <w:fldChar w:fldCharType="separate"/>
      </w:r>
      <w:r>
        <w:rPr>
          <w:rFonts w:ascii="黑体" w:eastAsia="黑体" w:hint="eastAsia"/>
        </w:rPr>
        <w:t>前</w:t>
      </w:r>
      <w:r>
        <w:rPr>
          <w:rFonts w:ascii="黑体" w:eastAsia="黑体"/>
        </w:rPr>
        <w:t>5</w:t>
      </w:r>
      <w:r>
        <w:rPr>
          <w:rFonts w:ascii="黑体" w:eastAsia="黑体" w:hint="eastAsia"/>
        </w:rPr>
        <w:t>个月印度进口</w:t>
      </w:r>
      <w:r>
        <w:rPr>
          <w:rFonts w:ascii="黑体" w:eastAsia="黑体"/>
        </w:rPr>
        <w:t>20G</w:t>
      </w:r>
      <w:r>
        <w:rPr>
          <w:rFonts w:ascii="黑体" w:eastAsia="黑体" w:hint="eastAsia"/>
        </w:rPr>
        <w:t>电池</w:t>
      </w:r>
      <w:r>
        <w:rPr>
          <w:rFonts w:ascii="黑体" w:eastAsia="黑体"/>
        </w:rPr>
        <w:t>+5GW</w:t>
      </w:r>
      <w:r>
        <w:rPr>
          <w:rFonts w:ascii="黑体" w:eastAsia="黑体" w:hint="eastAsia"/>
        </w:rPr>
        <w:t>硅片，明年本土电池短缺持续</w:t>
      </w:r>
      <w:r>
        <w:rPr>
          <w:rFonts w:ascii="黑体" w:eastAsia="黑体"/>
        </w:rPr>
        <w:tab/>
      </w:r>
      <w:r>
        <w:rPr>
          <w:rStyle w:val="22"/>
          <w:rFonts w:ascii="黑体" w:eastAsia="黑体"/>
        </w:rPr>
        <w:fldChar w:fldCharType="begin"/>
      </w:r>
      <w:r>
        <w:rPr>
          <w:rStyle w:val="22"/>
          <w:rFonts w:ascii="黑体" w:eastAsia="黑体"/>
        </w:rPr>
        <w:instrText xml:space="preserve"> PAGEREF _Toc239870497 \h </w:instrText>
      </w:r>
      <w:r>
        <w:rPr>
          <w:rStyle w:val="22"/>
          <w:rFonts w:ascii="黑体" w:eastAsia="黑体"/>
        </w:rPr>
        <w:fldChar w:fldCharType="separate"/>
      </w:r>
      <w:r>
        <w:rPr>
          <w:rFonts w:ascii="黑体" w:eastAsia="黑体"/>
        </w:rPr>
        <w:t>3</w:t>
      </w:r>
      <w:r>
        <w:rPr>
          <w:rStyle w:val="22"/>
          <w:rFonts w:ascii="黑体" w:eastAsia="黑体"/>
        </w:rPr>
        <w:fldChar w:fldCharType="end"/>
      </w:r>
      <w:r>
        <w:fldChar w:fldCharType="end"/>
      </w:r>
    </w:p>
    <w:p>
      <w:pPr>
        <w:pStyle w:val="18"/>
        <w:tabs>
          <w:tab w:val="right" w:leader="dot" w:pos="8296"/>
        </w:tabs>
        <w:ind w:firstLineChars="0" w:firstLine="0"/>
        <w:rPr>
          <w:rStyle w:val="22"/>
          <w:rFonts w:ascii="黑体" w:eastAsia="黑体"/>
        </w:rPr>
      </w:pPr>
      <w:r>
        <w:fldChar w:fldCharType="begin"/>
      </w:r>
      <w:r>
        <w:instrText>Hyperlink \l "_Toc239870499"</w:instrText>
      </w:r>
      <w:r>
        <w:fldChar w:fldCharType="separate"/>
      </w:r>
      <w:r>
        <w:rPr>
          <w:rFonts w:ascii="黑体" w:eastAsia="黑体" w:hint="eastAsia"/>
        </w:rPr>
        <w:t>印尼启动东南亚最大光伏计划</w:t>
      </w:r>
      <w:r>
        <w:rPr>
          <w:rFonts w:ascii="黑体" w:eastAsia="黑体"/>
        </w:rPr>
        <w:tab/>
      </w:r>
      <w:r>
        <w:rPr>
          <w:rStyle w:val="22"/>
          <w:rFonts w:ascii="黑体" w:eastAsia="黑体"/>
        </w:rPr>
        <w:fldChar w:fldCharType="begin"/>
      </w:r>
      <w:r>
        <w:rPr>
          <w:rStyle w:val="22"/>
          <w:rFonts w:ascii="黑体" w:eastAsia="黑体"/>
        </w:rPr>
        <w:instrText xml:space="preserve"> PAGEREF _Toc239870499 \h </w:instrText>
      </w:r>
      <w:r>
        <w:rPr>
          <w:rStyle w:val="22"/>
          <w:rFonts w:ascii="黑体" w:eastAsia="黑体"/>
        </w:rPr>
        <w:fldChar w:fldCharType="separate"/>
      </w:r>
      <w:r>
        <w:rPr>
          <w:rFonts w:ascii="黑体" w:eastAsia="黑体"/>
        </w:rPr>
        <w:t>4</w:t>
      </w:r>
      <w:r>
        <w:rPr>
          <w:rStyle w:val="22"/>
          <w:rFonts w:ascii="黑体" w:eastAsia="黑体"/>
        </w:rPr>
        <w:fldChar w:fldCharType="end"/>
      </w:r>
      <w:r>
        <w:fldChar w:fldCharType="end"/>
      </w:r>
      <w:r>
        <w:rPr>
          <w:rStyle w:val="22"/>
          <w:rFonts w:ascii="黑体" w:eastAsia="黑体"/>
        </w:rPr>
        <w:fldChar w:fldCharType="end"/>
      </w:r>
    </w:p>
    <w:p>
      <w:pPr>
        <w:pStyle w:val="1"/>
        <w:jc w:val="both"/>
        <w:rPr>
          <w:rStyle w:val="22"/>
          <w:rFonts w:ascii="黑体" w:eastAsia="黑体" w:cs="Arial"/>
          <w:b w:val="0"/>
          <w:bCs w:val="0"/>
          <w:kern w:val="2"/>
          <w:szCs w:val="24"/>
        </w:rPr>
        <w:sectPr>
          <w:footerReference w:type="default" r:id="rId2"/>
          <w:pgSz w:w="11906" w:h="16838"/>
          <w:pgMar w:top="1440" w:right="1800" w:bottom="1440" w:left="1800" w:header="851" w:footer="992" w:gutter="0"/>
          <w:docGrid w:type="lines" w:linePitch="312" w:charSpace="0"/>
        </w:sectPr>
      </w:pPr>
    </w:p>
    <w:p>
      <w:pPr>
        <w:pStyle w:val="1"/>
        <w:spacing w:before="100" w:after="100"/>
        <w:ind w:firstLineChars="0" w:firstLine="0"/>
        <w:jc w:val="both"/>
        <w:rPr>
          <w:rFonts w:ascii="Times New Roman" w:hAnsi="Times New Roman"/>
          <w:b w:val="0"/>
          <w:sz w:val="32"/>
          <w:szCs w:val="32"/>
        </w:rPr>
      </w:pPr>
      <w:bookmarkStart w:id="2" w:name="_Toc234829304"/>
      <w:bookmarkStart w:id="3" w:name="_Toc239870494"/>
      <w:bookmarkEnd w:id="0"/>
      <w:r>
        <w:rPr>
          <w:rFonts w:ascii="Times New Roman" w:hAnsi="Times New Roman"/>
          <w:b w:val="0"/>
          <w:sz w:val="32"/>
          <w:szCs w:val="32"/>
        </w:rPr>
        <w:t>【</w:t>
      </w:r>
      <w:r>
        <w:rPr>
          <w:rFonts w:ascii="Times New Roman" w:hAnsi="Times New Roman"/>
          <w:sz w:val="32"/>
          <w:szCs w:val="32"/>
        </w:rPr>
        <w:t>光伏</w:t>
      </w:r>
      <w:r>
        <w:rPr>
          <w:rFonts w:ascii="Times New Roman" w:hAnsi="Times New Roman"/>
          <w:sz w:val="32"/>
          <w:szCs w:val="32"/>
        </w:rPr>
        <w:t>贸易措施</w:t>
      </w:r>
      <w:r>
        <w:rPr>
          <w:rFonts w:ascii="Times New Roman" w:hAnsi="Times New Roman"/>
          <w:b w:val="0"/>
          <w:sz w:val="32"/>
          <w:szCs w:val="32"/>
        </w:rPr>
        <w:t>】</w:t>
      </w:r>
      <w:bookmarkEnd w:id="2"/>
      <w:bookmarkEnd w:id="3"/>
    </w:p>
    <w:p>
      <w:pPr>
        <w:widowControl/>
        <w:spacing w:line="960" w:lineRule="exact"/>
        <w:ind w:firstLineChars="0" w:firstLine="0"/>
        <w:jc w:val="center"/>
        <w:outlineLvl w:val="0"/>
        <w:rPr>
          <w:rFonts w:ascii="Times New Roman" w:eastAsia="方正小标宋_GBK" w:cs="Times New Roman" w:hAnsi="Times New Roman"/>
          <w:bCs/>
          <w:kern w:val="44"/>
          <w:sz w:val="44"/>
          <w:szCs w:val="48"/>
        </w:rPr>
      </w:pPr>
      <w:bookmarkStart w:id="4" w:name="_Toc239870495"/>
      <w:r>
        <w:rPr>
          <w:rFonts w:ascii="Times New Roman" w:eastAsia="方正小标宋_GBK" w:cs="Times New Roman" w:hAnsi="Times New Roman" w:hint="eastAsia"/>
          <w:bCs/>
          <w:kern w:val="44"/>
          <w:sz w:val="44"/>
          <w:szCs w:val="48"/>
        </w:rPr>
        <w:t>泰国拟将太阳能电池板及配套逆变器、储能电池纳入标签管制</w:t>
      </w:r>
      <w:bookmarkEnd w:id="4"/>
    </w:p>
    <w:p>
      <w:pPr>
        <w:pStyle w:val="15"/>
        <w:spacing w:line="360" w:lineRule="exact"/>
        <w:ind w:firstLineChars="0" w:firstLine="0"/>
        <w:jc w:val="center"/>
        <w:rPr>
          <w:rFonts w:ascii="Times New Roman" w:cs="Times New Roman" w:hAnsi="Times New Roman"/>
          <w:sz w:val="24"/>
          <w:szCs w:val="24"/>
        </w:rPr>
      </w:pPr>
      <w:r>
        <w:rPr>
          <w:rFonts w:ascii="Times New Roman" w:cs="Times New Roman" w:hAnsi="Times New Roman" w:hint="eastAsia"/>
          <w:sz w:val="24"/>
          <w:szCs w:val="24"/>
        </w:rPr>
        <w:t>日期：2026年8月27日 来源：厦门技术性贸易措施信息网</w:t>
      </w:r>
    </w:p>
    <w:p>
      <w:pPr>
        <w:pStyle w:val="15"/>
        <w:spacing w:line="360" w:lineRule="exact"/>
        <w:ind w:firstLineChars="0" w:firstLine="0"/>
        <w:jc w:val="center"/>
        <w:rPr>
          <w:rFonts w:ascii="Times New Roman" w:cs="Times New Roman" w:hAnsi="Times New Roman"/>
          <w:sz w:val="24"/>
          <w:szCs w:val="24"/>
        </w:rPr>
      </w:pPr>
      <w:r>
        <w:rPr>
          <w:rFonts w:ascii="Times New Roman" w:cs="Times New Roman" w:hAnsi="Times New Roman"/>
          <w:sz w:val="24"/>
          <w:szCs w:val="24"/>
        </w:rPr>
        <w:t>http://www.tbtsps.cn</w:t>
      </w:r>
    </w:p>
    <w:p>
      <w:pPr>
        <w:rPr>
          <w:rFonts w:ascii="Times New Roman" w:cs="Times New Roman" w:hAnsi="Times New Roman"/>
        </w:rPr>
      </w:pPr>
      <w:r>
        <w:rPr>
          <w:rFonts w:ascii="Times New Roman" w:cs="Times New Roman" w:hAnsi="Times New Roman" w:hint="eastAsia"/>
        </w:rPr>
        <w:t xml:space="preserve"> 2026年8月24日，泰国发布G/TBT/N/THA/822-824号通报：拟将太阳能电池板及配套逆变器、储能电池纳入标签管制。</w:t>
      </w:r>
    </w:p>
    <w:p>
      <w:pPr>
        <w:rPr>
          <w:rFonts w:ascii="Times New Roman" w:cs="Times New Roman" w:hAnsi="Times New Roman"/>
        </w:rPr>
      </w:pPr>
      <w:r>
        <w:rPr>
          <w:rFonts w:ascii="Times New Roman" w:cs="Times New Roman" w:hAnsi="Times New Roman" w:hint="eastAsia"/>
        </w:rPr>
        <w:t>G/TBT/N/THA/822：将太阳能电池板规定为标签管制产品。标签管制产品的标签应酌情指定文字、图片、人工设计或图像，不得导致对产品本质的误解，并应以泰语或附有泰语的外语清晰可辨地显示。这些受标签管制产品的标签不适用于为出口而制造而非在泰国销售的受标签管制产品的标签。</w:t>
      </w:r>
    </w:p>
    <w:p>
      <w:pPr>
        <w:rPr>
          <w:rFonts w:ascii="Times New Roman" w:cs="Times New Roman" w:hAnsi="Times New Roman"/>
        </w:rPr>
      </w:pPr>
      <w:r>
        <w:rPr>
          <w:rFonts w:ascii="Times New Roman" w:cs="Times New Roman" w:hAnsi="Times New Roman" w:hint="eastAsia"/>
        </w:rPr>
        <w:t>G/TBT/N/THA/823：规定与太阳能电池板一起使用的逆变器是标签控制产品。标签管制产品的标签应酌情指定文字、图片、人工设计或图像，不得导致对产品本质的误解，并应以泰语或附有泰语的外语清晰可辨地显示。这些受标签管制产品的标签不适用于为出口而制造而非在泰国销售的受标签管制产品的标签。</w:t>
      </w:r>
    </w:p>
    <w:p>
      <w:pPr>
        <w:rPr>
          <w:rFonts w:ascii="Times New Roman" w:cs="Times New Roman" w:hAnsi="Times New Roman"/>
        </w:rPr>
      </w:pPr>
      <w:r>
        <w:rPr>
          <w:rFonts w:ascii="Times New Roman" w:cs="Times New Roman" w:hAnsi="Times New Roman" w:hint="eastAsia"/>
        </w:rPr>
        <w:t>G/TBT/N/THA/824：将太阳能电池板储能电池规定为标签控制产品。标签管制产品的标签应酌情指定文字、图片、人工设计或图像，不得导致对产品本质的误解，并应以泰语或附有泰语的外语清晰可辨地显示。这些受标签管制产品的标签不适用于为出口而制造而非在泰国销售的受标签管制产品的标签。</w:t>
      </w:r>
    </w:p>
    <w:p>
      <w:pPr>
        <w:rPr>
          <w:rFonts w:ascii="Times New Roman" w:cs="Times New Roman" w:hAnsi="Times New Roman"/>
        </w:rPr>
      </w:pPr>
      <w:r>
        <w:rPr>
          <w:rFonts w:ascii="Times New Roman" w:cs="Times New Roman" w:hAnsi="Times New Roman" w:hint="eastAsia"/>
        </w:rPr>
        <w:t>该通报拟批准日期待定，拟生效日期自其在政府公报上公布之日起60天后。</w:t>
      </w:r>
    </w:p>
    <w:p>
      <w:pPr>
        <w:rPr>
          <w:rFonts w:ascii="Times New Roman" w:cs="Times New Roman" w:hAnsi="Times New Roman" w:hint="eastAsia"/>
        </w:rPr>
      </w:pPr>
      <w:r>
        <w:rPr>
          <w:rFonts w:ascii="Times New Roman" w:cs="Times New Roman" w:hAnsi="Times New Roman" w:hint="eastAsia"/>
        </w:rPr>
        <w:t>分析提醒：此次标签管制与泰国TISI强制认证形成双重合规门槛，叠加此前多起光伏安全事故引发的监管收紧趋势，出口企业需重点关注：尽快确认产品是否在管制范围内，提前准备符合要求的泰语标签，并尽早签约泰国本地进口商作为TISI认证申请人，避免因标签不合规或认证缺失导致清关受阻或面临最高1年监禁、20万泰铢罚款的处罚。</w:t>
      </w:r>
    </w:p>
    <w:p>
      <w:pPr>
        <w:pStyle w:val="1"/>
        <w:spacing w:before="100" w:after="100"/>
        <w:ind w:firstLineChars="0" w:firstLine="0"/>
        <w:jc w:val="both"/>
        <w:rPr>
          <w:rFonts w:ascii="Times New Roman" w:hAnsi="Times New Roman"/>
          <w:sz w:val="32"/>
          <w:szCs w:val="32"/>
        </w:rPr>
      </w:pPr>
      <w:bookmarkStart w:id="5" w:name="_Toc14866"/>
      <w:bookmarkStart w:id="6" w:name="_Toc239870496"/>
      <w:r>
        <w:rPr>
          <w:rFonts w:ascii="Times New Roman" w:hAnsi="Times New Roman"/>
          <w:sz w:val="32"/>
          <w:szCs w:val="32"/>
        </w:rPr>
        <w:t>【光伏产业信息】</w:t>
      </w:r>
      <w:bookmarkEnd w:id="5"/>
      <w:bookmarkEnd w:id="6"/>
    </w:p>
    <w:p>
      <w:pPr>
        <w:widowControl/>
        <w:spacing w:line="960" w:lineRule="exact"/>
        <w:ind w:firstLineChars="0" w:firstLine="0"/>
        <w:jc w:val="center"/>
        <w:outlineLvl w:val="0"/>
        <w:rPr>
          <w:rFonts w:ascii="Times New Roman" w:eastAsia="方正小标宋_GBK" w:cs="Times New Roman" w:hAnsi="Times New Roman"/>
          <w:bCs/>
          <w:kern w:val="44"/>
          <w:sz w:val="44"/>
          <w:szCs w:val="48"/>
        </w:rPr>
      </w:pPr>
      <w:bookmarkStart w:id="7" w:name="_Toc239870497"/>
      <w:r>
        <w:rPr>
          <w:rFonts w:ascii="Times New Roman" w:eastAsia="方正小标宋_GBK" w:cs="Times New Roman" w:hAnsi="Times New Roman" w:hint="eastAsia"/>
          <w:bCs/>
          <w:kern w:val="44"/>
          <w:sz w:val="44"/>
          <w:szCs w:val="48"/>
        </w:rPr>
        <w:t>前5个月印度进口20G电池+5GW硅片，</w:t>
      </w:r>
      <w:bookmarkEnd w:id="7"/>
    </w:p>
    <w:p>
      <w:pPr>
        <w:widowControl/>
        <w:spacing w:line="960" w:lineRule="exact"/>
        <w:ind w:firstLineChars="0" w:firstLine="0"/>
        <w:jc w:val="center"/>
        <w:outlineLvl w:val="0"/>
        <w:rPr>
          <w:rFonts w:ascii="Times New Roman" w:eastAsia="方正小标宋_GBK" w:cs="Times New Roman" w:hAnsi="Times New Roman"/>
          <w:bCs/>
          <w:kern w:val="44"/>
          <w:sz w:val="44"/>
          <w:szCs w:val="48"/>
        </w:rPr>
      </w:pPr>
      <w:bookmarkStart w:id="8" w:name="_Toc239870498"/>
      <w:r>
        <w:rPr>
          <w:rFonts w:ascii="Times New Roman" w:eastAsia="方正小标宋_GBK" w:cs="Times New Roman" w:hAnsi="Times New Roman" w:hint="eastAsia"/>
          <w:bCs/>
          <w:kern w:val="44"/>
          <w:sz w:val="44"/>
          <w:szCs w:val="48"/>
        </w:rPr>
        <w:t>明年本土电池短缺持续</w:t>
      </w:r>
      <w:bookmarkEnd w:id="8"/>
    </w:p>
    <w:p>
      <w:pPr>
        <w:pStyle w:val="15"/>
        <w:spacing w:line="360" w:lineRule="exact"/>
        <w:ind w:firstLineChars="0" w:firstLine="0"/>
        <w:jc w:val="center"/>
        <w:rPr>
          <w:rFonts w:ascii="Times New Roman" w:cs="Times New Roman" w:hAnsi="Times New Roman"/>
          <w:sz w:val="24"/>
          <w:szCs w:val="24"/>
        </w:rPr>
      </w:pPr>
      <w:r>
        <w:rPr>
          <w:rFonts w:ascii="Times New Roman" w:cs="Times New Roman" w:hAnsi="Times New Roman" w:hint="eastAsia"/>
          <w:sz w:val="24"/>
          <w:szCs w:val="24"/>
        </w:rPr>
        <w:t>日期：2026年8月26日 来源：TaiyangNews</w:t>
      </w:r>
    </w:p>
    <w:p>
      <w:pPr>
        <w:pStyle w:val="15"/>
        <w:spacing w:line="360" w:lineRule="exact"/>
        <w:ind w:firstLineChars="0" w:firstLine="0"/>
        <w:jc w:val="center"/>
        <w:rPr>
          <w:rFonts w:ascii="Times New Roman" w:cs="Times New Roman" w:hAnsi="Times New Roman"/>
          <w:sz w:val="24"/>
          <w:szCs w:val="24"/>
        </w:rPr>
      </w:pPr>
      <w:r>
        <w:rPr>
          <w:rFonts w:ascii="Times New Roman" w:cs="Times New Roman" w:hAnsi="Times New Roman"/>
          <w:sz w:val="24"/>
          <w:szCs w:val="24"/>
        </w:rPr>
        <w:t xml:space="preserve">https://news.solarbe.com  </w:t>
      </w:r>
    </w:p>
    <w:p>
      <w:pPr>
        <w:rPr>
          <w:rFonts w:ascii="Times New Roman" w:cs="Times New Roman" w:hAnsi="Times New Roman"/>
        </w:rPr>
      </w:pPr>
      <w:r>
        <w:rPr>
          <w:rFonts w:ascii="Times New Roman" w:cs="Times New Roman" w:hAnsi="Times New Roman" w:hint="eastAsia"/>
        </w:rPr>
        <w:t>Wood Mackenzie 最新分析数据显示，印度 2026 年上半年新增 34GW光伏装机，同比增长 38%，全年新增规模有望超过50GW，将刷新年度纪录。</w:t>
      </w:r>
    </w:p>
    <w:p>
      <w:pPr>
        <w:rPr>
          <w:rFonts w:ascii="Times New Roman" w:cs="Times New Roman" w:hAnsi="Times New Roman"/>
        </w:rPr>
      </w:pPr>
      <w:r>
        <w:rPr>
          <w:rFonts w:ascii="Times New Roman" w:cs="Times New Roman" w:hAnsi="Times New Roman" w:hint="eastAsia"/>
        </w:rPr>
        <w:t>然而，随着 ALMM-II 电池清单于 2026 年 6 月 1 日生效，符合清单要求的光伏电池供应不足，可能拖累下半年项目开发，并推动地面电站系统价格在 2026 年第四季度上涨 20%。</w:t>
      </w:r>
    </w:p>
    <w:p>
      <w:pPr>
        <w:rPr>
          <w:rFonts w:ascii="Times New Roman" w:cs="Times New Roman" w:hAnsi="Times New Roman"/>
        </w:rPr>
      </w:pPr>
      <w:r>
        <w:rPr>
          <w:rFonts w:ascii="Times New Roman" w:cs="Times New Roman" w:hAnsi="Times New Roman" w:hint="eastAsia"/>
        </w:rPr>
        <w:t>2026 年，印度的名义本土太阳能电池产能为 88GW，但是 Wood Mackenzie 预计实际产量仅 29GW，距离满足本国装机需求仍存在大幅缺口。Wood Mackenzie 的分析显示，上半年新增装机的增长，反映开发商集中推进项目投运，以赶在 ALMM-II 清单生效前完成并网。此外，跨州输电费用豁免政策的调整也推动了装机增长：对于 2026 年 7 月起投运的项目，相关豁免比例已从 75% 降至 50%，并计划在 2028 年 7 月之后完全取消。</w:t>
      </w:r>
    </w:p>
    <w:p>
      <w:pPr>
        <w:rPr>
          <w:rFonts w:ascii="Times New Roman" w:cs="Times New Roman" w:hAnsi="Times New Roman"/>
        </w:rPr>
      </w:pPr>
      <w:r>
        <w:rPr>
          <w:rFonts w:ascii="Times New Roman" w:cs="Times New Roman" w:hAnsi="Times New Roman" w:hint="eastAsia"/>
        </w:rPr>
        <w:t>即使新的电池产能陆续投产，产能利用率不足仍可能使 2027 年的供应量低于需求。Wood Mackenzie 预计，印度光伏电池产量将在 2027 年达到 29GW，但仍比年均 50GW 的光伏组件需求低 21GW。</w:t>
      </w:r>
    </w:p>
    <w:p>
      <w:pPr>
        <w:widowControl/>
        <w:spacing w:line="960" w:lineRule="exact"/>
        <w:ind w:firstLineChars="0" w:firstLine="0"/>
        <w:jc w:val="center"/>
        <w:outlineLvl w:val="0"/>
        <w:rPr>
          <w:rFonts w:ascii="Times New Roman" w:eastAsia="方正小标宋_GBK" w:cs="Times New Roman" w:hAnsi="Times New Roman"/>
          <w:bCs/>
          <w:kern w:val="44"/>
          <w:sz w:val="44"/>
          <w:szCs w:val="44"/>
        </w:rPr>
      </w:pPr>
      <w:bookmarkStart w:id="9" w:name="_Toc239870499"/>
      <w:r>
        <w:rPr>
          <w:rFonts w:ascii="Times New Roman" w:eastAsia="方正小标宋_GBK" w:cs="Times New Roman" w:hAnsi="Times New Roman" w:hint="eastAsia"/>
          <w:bCs/>
          <w:kern w:val="44"/>
          <w:sz w:val="44"/>
          <w:szCs w:val="48"/>
        </w:rPr>
        <w:t>印尼启动东南亚最大光伏计划</w:t>
      </w:r>
      <w:bookmarkEnd w:id="9"/>
    </w:p>
    <w:p>
      <w:pPr>
        <w:pStyle w:val="15"/>
        <w:spacing w:line="360" w:lineRule="exact"/>
        <w:ind w:firstLineChars="0" w:firstLine="0"/>
        <w:jc w:val="center"/>
        <w:rPr>
          <w:rFonts w:ascii="Times New Roman" w:cs="Times New Roman" w:hAnsi="Times New Roman"/>
          <w:sz w:val="24"/>
          <w:szCs w:val="24"/>
        </w:rPr>
      </w:pPr>
      <w:r>
        <w:rPr>
          <w:rFonts w:ascii="Times New Roman" w:cs="Times New Roman" w:hAnsi="Times New Roman" w:hint="eastAsia"/>
          <w:sz w:val="24"/>
          <w:szCs w:val="24"/>
        </w:rPr>
        <w:t>日期：2026年8月28日 来源：新浪财经</w:t>
      </w:r>
    </w:p>
    <w:p>
      <w:pPr>
        <w:pStyle w:val="15"/>
        <w:spacing w:line="360" w:lineRule="exact"/>
        <w:ind w:firstLineChars="0" w:firstLine="0"/>
        <w:jc w:val="center"/>
        <w:rPr>
          <w:rFonts w:ascii="Times New Roman" w:cs="Times New Roman" w:hAnsi="Times New Roman"/>
          <w:sz w:val="24"/>
          <w:szCs w:val="24"/>
        </w:rPr>
      </w:pPr>
      <w:r>
        <w:rPr>
          <w:rFonts w:ascii="Times New Roman" w:cs="Times New Roman" w:hAnsi="Times New Roman"/>
          <w:sz w:val="24"/>
          <w:szCs w:val="24"/>
        </w:rPr>
        <w:fldChar w:fldCharType="begin"/>
      </w:r>
      <w:r>
        <w:instrText>HYPERLINK "https://finance.sina.com.cn"</w:instrText>
      </w:r>
      <w:r>
        <w:rPr>
          <w:rFonts w:ascii="Times New Roman" w:cs="Times New Roman" w:hAnsi="Times New Roman"/>
          <w:sz w:val="24"/>
          <w:szCs w:val="24"/>
        </w:rPr>
        <w:fldChar w:fldCharType="separate"/>
      </w:r>
      <w:r>
        <w:rPr>
          <w:rFonts w:ascii="Times New Roman" w:cs="Times New Roman" w:hAnsi="Times New Roman"/>
          <w:sz w:val="24"/>
          <w:szCs w:val="24"/>
        </w:rPr>
        <w:t>https://finance.sina.com.cn</w:t>
      </w:r>
      <w:r>
        <w:rPr>
          <w:rFonts w:ascii="Times New Roman" w:cs="Times New Roman" w:hAnsi="Times New Roman"/>
          <w:sz w:val="24"/>
          <w:szCs w:val="24"/>
        </w:rPr>
        <w:fldChar w:fldCharType="end"/>
      </w:r>
    </w:p>
    <w:p>
      <w:pPr>
        <w:rPr>
          <w:rFonts w:ascii="Times New Roman" w:cs="Times New Roman" w:hAnsi="Times New Roman"/>
        </w:rPr>
      </w:pPr>
      <w:r>
        <w:rPr>
          <w:rFonts w:ascii="Times New Roman" w:cs="Times New Roman" w:hAnsi="Times New Roman" w:hint="eastAsia"/>
        </w:rPr>
        <w:t>2026年8月25日，印度尼西亚总统普拉博沃（PrabowoSubianto）正式宣布启动100GW（吉瓦）光伏发电建设计划，目标在3年内完成。</w:t>
      </w:r>
    </w:p>
    <w:p>
      <w:pPr>
        <w:rPr>
          <w:rFonts w:ascii="Times New Roman" w:cs="Times New Roman" w:hAnsi="Times New Roman"/>
        </w:rPr>
      </w:pPr>
      <w:r>
        <w:rPr>
          <w:rFonts w:ascii="Times New Roman" w:cs="Times New Roman" w:hAnsi="Times New Roman" w:hint="eastAsia"/>
        </w:rPr>
        <w:t>这是迄今为止东南亚国家中最宏大的光伏建设计划，在全球范围中也属罕见规模。据国际可再生能源署（IRENA）统计，截至2025年底，全球仅有中国、美国、印度和德国四个国家的累计光伏装机超过100GW；而印尼目前的装机规模仅约1.5 GW。</w:t>
      </w:r>
    </w:p>
    <w:p>
      <w:pPr>
        <w:rPr>
          <w:rFonts w:ascii="Times New Roman" w:cs="Times New Roman" w:hAnsi="Times New Roman"/>
        </w:rPr>
      </w:pPr>
      <w:r>
        <w:rPr>
          <w:rFonts w:ascii="Times New Roman" w:cs="Times New Roman" w:hAnsi="Times New Roman" w:hint="eastAsia"/>
        </w:rPr>
        <w:t>仪式当天，印尼政府公布了首批14个光伏项目的进展，分布在全国6省，总装机规模约5.3GW，预计总投资约76.2亿美元。其中2个已经投运，6个处于建设阶段，6个将向投资者招标。</w:t>
      </w:r>
    </w:p>
    <w:p>
      <w:pPr>
        <w:rPr>
          <w:rFonts w:ascii="Times New Roman" w:hAnsi="Times New Roman"/>
        </w:rPr>
      </w:pPr>
      <w:r>
        <w:rPr>
          <w:rFonts w:ascii="Times New Roman" w:cs="Times New Roman" w:hAnsi="Times New Roman" w:hint="eastAsia"/>
        </w:rPr>
        <w:t>印尼此次正式宣布启动的100 GW光伏计划，在2025年下半年由政府提出后逐步设计成形。根据初步规划，有80 GW为村级分布式光伏， 20GW为集中式光伏。</w:t>
      </w:r>
    </w:p>
    <w:sectPr>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variable"/>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方正小标宋_GBK">
    <w:panose1 w:val="03000509000000000000"/>
    <w:charset w:val="86"/>
    <w:family w:val="script"/>
    <w:pitch w:val="variable"/>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方正仿宋_GBK">
    <w:panose1 w:val="03000509000000000000"/>
    <w:charset w:val="86"/>
    <w:family w:val="script"/>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方正楷体_GBK">
    <w:panose1 w:val="03000509000000000000"/>
    <w:charset w:val="86"/>
    <w:family w:val="script"/>
    <w:pitch w:val="variable"/>
    <w:sig w:usb0="00000001" w:usb1="080E0000" w:usb2="00000010" w:usb3="00000000" w:csb0="0004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6"/>
      <w:tabs>
        <w:tab w:val="center" w:pos="4153"/>
        <w:tab w:val="right" w:pos="8306"/>
      </w:tabs>
    </w:pPr>
    <w:r>
      <mc:AlternateContent>
        <mc:Choice Requires="wps">
          <w:drawing>
            <wp:anchor distT="0" distB="0" distL="114298" distR="114298" simplePos="0" relativeHeight="10" behindDoc="0" locked="0" layoutInCell="1" hidden="0" allowOverlap="1">
              <wp:simplePos x="0" y="0"/>
              <wp:positionH relativeFrom="margin">
                <wp:align>center</wp:align>
              </wp:positionH>
              <wp:positionV relativeFrom="paragraph">
                <wp:posOffset>0</wp:posOffset>
              </wp:positionV>
              <wp:extent cx="509422" cy="355600"/>
              <wp:effectExtent l="0" t="0" r="0" b="0"/>
              <wp:wrapNone/>
              <wp:docPr id="1" name="文本框 1"/>
              <wp:cNvGraphicFramePr>
                <a:graphicFrameLocks noChangeAspect="0"/>
              </wp:cNvGraphicFramePr>
              <a:graphic>
                <a:graphicData uri="http://schemas.microsoft.com/office/word/2010/wordprocessingShape">
                  <wps:wsp>
                    <wps:cNvSpPr/>
                    <wps:spPr>
                      <a:xfrm rot="0">
                        <a:off x="0" y="0"/>
                        <a:ext cx="509422" cy="355600"/>
                      </a:xfrm>
                      <a:prstGeom prst="rect"/>
                      <a:noFill/>
                      <a:ln w="9525" cmpd="sng" cap="flat">
                        <a:noFill/>
                        <a:prstDash val="solid"/>
                        <a:miter/>
                      </a:ln>
                    </wps:spPr>
                    <wps:txbx id="2">
                      <w:txbxContent>
                        <w:p>
                          <w:pPr>
                            <w:pStyle w:val="16"/>
                            <w:tabs>
                              <w:tab w:val="center" w:pos="4153"/>
                              <w:tab w:val="right" w:pos="8306"/>
                            </w:tabs>
                            <w:rPr>
                              <w:sz w:val="32"/>
                              <w:szCs w:val="32"/>
                            </w:rPr>
                          </w:pPr>
                          <w:r>
                            <w:rPr>
                              <w:sz w:val="32"/>
                              <w:szCs w:val="32"/>
                            </w:rPr>
                            <w:fldChar w:fldCharType="begin"/>
                          </w:r>
                          <w:r>
                            <w:rPr>
                              <w:sz w:val="32"/>
                              <w:szCs w:val="32"/>
                            </w:rPr>
                            <w:instrText xml:space="preserve"> PAGE  \* MERGEFORMAT </w:instrText>
                          </w:r>
                          <w:r>
                            <w:rPr>
                              <w:sz w:val="32"/>
                              <w:szCs w:val="32"/>
                            </w:rPr>
                            <w:fldChar w:fldCharType="separate"/>
                          </w:r>
                          <w:r>
                            <w:rPr>
                              <w:sz w:val="32"/>
                              <w:szCs w:val="32"/>
                            </w:rPr>
                            <w:t>1</w:t>
                          </w:r>
                          <w:r>
                            <w:rPr>
                              <w:sz w:val="32"/>
                              <w:szCs w:val="32"/>
                            </w:rPr>
                            <w:fldChar w:fldCharType="end"/>
                          </w:r>
                        </w:p>
                      </w:txbxContent>
                    </wps:txbx>
                    <wps:bodyPr vert="horz" wrap="none" lIns="0" tIns="0" rIns="0" bIns="0" anchor="t" anchorCtr="0" upright="1">
                      <a:spAutoFit/>
                    </wps:bodyPr>
                  </wps:wsp>
                </a:graphicData>
              </a:graphic>
            </wp:anchor>
          </w:drawing>
        </mc:Choice>
        <mc:Fallback>
          <w:pict>
            <v:shape type="#_x0000_t202" id="文本框 1 3" o:spid="_x0000_s3" filled="f" stroked="f" style="position:absolute;margin-left:0.0pt;margin-top:0.0pt;width:40.112007pt;height:28.000004pt;z-index:10;mso-position-horizontal:center;mso-position-horizontal-relative:margin;mso-position-vertical:absolute;mso-wrap-distance-left:8.999863pt;mso-wrap-distance-right:8.999863pt;mso-wrap-style:none;">
              <v:stroke color="#000000"/>
              <v:textbox id="848" inset="0mm,0mm,0mm,0mm" o:insetmode="custom" style="layout-flow:horizontal;v-text-anchor:top;mso-fit-shape-to-text:t;">
                <w:txbxContent>
                  <w:p>
                    <w:pPr>
                      <w:pStyle w:val="16"/>
                      <w:tabs>
                        <w:tab w:val="center" w:pos="4153"/>
                        <w:tab w:val="right" w:pos="8306"/>
                      </w:tabs>
                      <w:rPr>
                        <w:sz w:val="32"/>
                        <w:szCs w:val="32"/>
                      </w:rPr>
                    </w:pPr>
                    <w:r>
                      <w:rPr>
                        <w:sz w:val="32"/>
                        <w:szCs w:val="32"/>
                      </w:rPr>
                      <w:fldChar w:fldCharType="begin"/>
                    </w:r>
                    <w:r>
                      <w:rPr>
                        <w:sz w:val="32"/>
                        <w:szCs w:val="32"/>
                      </w:rPr>
                      <w:instrText xml:space="preserve"> PAGE  \* MERGEFORMAT </w:instrText>
                    </w:r>
                    <w:r>
                      <w:rPr>
                        <w:sz w:val="32"/>
                        <w:szCs w:val="32"/>
                      </w:rPr>
                      <w:fldChar w:fldCharType="separate"/>
                    </w:r>
                    <w:r>
                      <w:rPr>
                        <w:sz w:val="32"/>
                        <w:szCs w:val="32"/>
                      </w:rPr>
                      <w:t>1</w:t>
                    </w:r>
                    <w:r>
                      <w:rPr>
                        <w:sz w:val="32"/>
                        <w:szCs w:val="32"/>
                      </w:rPr>
                      <w:fldChar w:fldCharType="end"/>
                    </w:r>
                  </w:p>
                </w:txbxContent>
              </v:textbox>
            </v:shape>
          </w:pict>
        </mc:Fallback>
      </mc:AlternateContent>
    </w: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20"/>
  <w:bordersDoNotSurroundHeader/>
  <w:bordersDoNotSurroundFooter/>
  <w:trackRevisions/>
  <w:defaultTabStop w:val="420"/>
  <w:drawingGridHorizontalSpacing w:val="160"/>
  <w:drawingGridVerticalSpacing w:val="156"/>
  <w:displayHorizontalDrawingGridEvery w:val="0"/>
  <w:displayVerticalDrawingGridEvery w:val="1"/>
  <w:noPunctuationKerning/>
  <w:characterSpacingControl w:val="compressPunctuation"/>
  <w:compat>
    <w:spaceForUL/>
    <w:balanceSingleByteDoubleByteWidth/>
    <w:ulTrailSpace/>
    <w:doNotExpandShiftReturn/>
    <w:adjustLineHeightInTable/>
    <w:doNotUseIndentAsNumberingTabStop/>
    <w:compatSetting w:name="compatibilityMode" w:uri="http://schemas.microsoft.com/office/word" w:val="14"/>
  </w:compat>
  <w:docVars>
    <w:docVar w:name="commondata" w:val="eyJoZGlkIjoiNDUyNzVkMDI3MWU4NzNkYjY3YzMxNmUxNDE2YzVlNzY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spacing w:line="560" w:lineRule="exact"/>
      <w:ind w:firstLineChars="200" w:firstLine="200"/>
      <w:jc w:val="both"/>
    </w:pPr>
    <w:rPr>
      <w:rFonts w:ascii="Calibri" w:eastAsia="方正仿宋_GBK" w:cs="Arial" w:hAnsi="Calibri"/>
      <w:kern w:val="2"/>
      <w:sz w:val="32"/>
      <w:szCs w:val="24"/>
      <w:lang w:val="en-US" w:eastAsia="zh-CN" w:bidi="ar-SA"/>
    </w:rPr>
  </w:style>
  <w:style w:type="paragraph" w:styleId="1">
    <w:name w:val="heading 1"/>
    <w:basedOn w:val="0"/>
    <w:pPr>
      <w:spacing w:beforeAutospacing="1" w:afterAutospacing="1"/>
      <w:jc w:val="left"/>
      <w:outlineLvl w:val="0"/>
    </w:pPr>
    <w:rPr>
      <w:rFonts w:ascii="宋体" w:eastAsia="宋体" w:cs="Times New Roman"/>
      <w:b/>
      <w:bCs/>
      <w:kern w:val="44"/>
      <w:sz w:val="48"/>
      <w:szCs w:val="48"/>
    </w:rPr>
  </w:style>
  <w:style w:type="paragraph" w:styleId="2">
    <w:name w:val="heading 2"/>
    <w:basedOn w:val="0"/>
    <w:next w:val="0"/>
    <w:pPr>
      <w:keepNext/>
      <w:keepLines/>
      <w:widowControl w:val="0"/>
      <w:jc w:val="center"/>
      <w:outlineLvl w:val="1"/>
    </w:pPr>
    <w:rPr>
      <w:rFonts w:ascii="Calibri Light" w:eastAsia="方正楷体_GBK" w:cs="Times New Roman" w:hAnsi="Calibri Light"/>
      <w:b/>
      <w:bCs/>
      <w:szCs w:val="32"/>
    </w:rPr>
  </w:style>
  <w:style w:type="paragraph" w:styleId="3">
    <w:name w:val="heading 3"/>
    <w:basedOn w:val="0"/>
    <w:next w:val="0"/>
    <w:pPr>
      <w:spacing w:beforeAutospacing="1" w:afterAutospacing="1"/>
      <w:jc w:val="left"/>
      <w:outlineLvl w:val="2"/>
    </w:pPr>
    <w:rPr>
      <w:rFonts w:ascii="宋体" w:eastAsia="宋体" w:cs="Times New Roman"/>
      <w:b/>
      <w:bCs/>
      <w:kern w:val="0"/>
      <w:sz w:val="27"/>
      <w:szCs w:val="27"/>
    </w:rPr>
  </w:style>
  <w:style w:type="paragraph" w:styleId="4">
    <w:name w:val="heading 4"/>
    <w:basedOn w:val="0"/>
    <w:next w:val="0"/>
    <w:pPr>
      <w:keepNext/>
      <w:keepLines/>
      <w:widowControl w:val="0"/>
      <w:spacing w:before="280" w:after="290" w:line="372" w:lineRule="auto"/>
      <w:outlineLvl w:val="3"/>
    </w:pPr>
    <w:rPr>
      <w:rFonts w:ascii="Arial" w:eastAsia="黑体" w:hAnsi="Arial"/>
      <w:b/>
      <w:sz w:val="28"/>
    </w:rPr>
  </w:style>
  <w:style w:type="character" w:default="1" w:styleId="10">
    <w:name w:val="Default Paragraph Font"/>
  </w:style>
  <w:style w:type="paragraph" w:styleId="15">
    <w:name w:val="Balloon Text"/>
    <w:basedOn w:val="0"/>
    <w:pPr>
      <w:spacing w:line="240" w:lineRule="auto"/>
    </w:pPr>
    <w:rPr>
      <w:sz w:val="18"/>
      <w:szCs w:val="18"/>
    </w:rPr>
  </w:style>
  <w:style w:type="paragraph" w:styleId="16">
    <w:name w:val="footer"/>
    <w:basedOn w:val="0"/>
    <w:pPr>
      <w:tabs>
        <w:tab w:val="center" w:pos="4153"/>
        <w:tab w:val="right" w:pos="8306"/>
      </w:tabs>
      <w:snapToGrid w:val="0"/>
      <w:jc w:val="left"/>
    </w:pPr>
    <w:rPr>
      <w:sz w:val="18"/>
    </w:rPr>
  </w:style>
  <w:style w:type="paragraph" w:styleId="17">
    <w:name w:val="header"/>
    <w:basedOn w:val="0"/>
    <w:pPr>
      <w:pBdr>
        <w:top w:val="none" w:sz="0" w:space="0" w:color="auto"/>
        <w:left w:val="none" w:sz="0" w:space="0" w:color="auto"/>
        <w:bottom w:val="none" w:sz="0" w:space="0" w:color="auto"/>
        <w:right w:val="none" w:sz="0" w:space="0" w:color="auto"/>
      </w:pBdr>
      <w:tabs>
        <w:tab w:val="center" w:pos="4153"/>
        <w:tab w:val="right" w:pos="8306"/>
      </w:tabs>
      <w:snapToGrid w:val="0"/>
      <w:spacing w:line="240" w:lineRule="auto"/>
    </w:pPr>
    <w:rPr>
      <w:sz w:val="18"/>
    </w:rPr>
  </w:style>
  <w:style w:type="paragraph" w:styleId="18">
    <w:name w:val="toc 1"/>
    <w:basedOn w:val="0"/>
    <w:next w:val="0"/>
  </w:style>
  <w:style w:type="paragraph" w:styleId="19">
    <w:name w:val="Normal (Web)"/>
    <w:basedOn w:val="0"/>
    <w:pPr>
      <w:spacing w:beforeAutospacing="1" w:afterAutospacing="1"/>
      <w:jc w:val="left"/>
    </w:pPr>
    <w:rPr>
      <w:rFonts w:cs="Times New Roman"/>
      <w:kern w:val="0"/>
      <w:sz w:val="24"/>
    </w:rPr>
  </w:style>
  <w:style w:type="character" w:styleId="20">
    <w:name w:val="Strong"/>
    <w:basedOn w:val="10"/>
    <w:rPr>
      <w:b/>
    </w:rPr>
  </w:style>
  <w:style w:type="character" w:styleId="21">
    <w:name w:val="Emphasis"/>
    <w:basedOn w:val="10"/>
    <w:rPr>
      <w:i/>
    </w:rPr>
  </w:style>
  <w:style w:type="character" w:styleId="22">
    <w:name w:val="Hyperlink"/>
    <w:basedOn w:val="10"/>
    <w:rPr>
      <w:color w:val="0000FF"/>
      <w:u w:val="single"/>
    </w:rPr>
  </w:style>
  <w:style w:type="paragraph" w:customStyle="1" w:styleId="23">
    <w:name w:val="WPSOffice手动目录 1"/>
    <w:rPr>
      <w:rFonts w:ascii="Calibri" w:eastAsia="宋体" w:cs="Arial" w:hAnsi="Calibri"/>
      <w:lang w:val="en-US" w:eastAsia="zh-CN" w:bidi="ar-SA"/>
    </w:rPr>
  </w:style>
  <w:style w:type="character" w:customStyle="1" w:styleId="24">
    <w:name w:val="不明显强调1"/>
    <w:basedOn w:val="10"/>
    <w:rPr>
      <w:i/>
      <w:iCs/>
      <w:color w:val="7F7F7F"/>
    </w:rPr>
  </w:style>
  <w:style w:type="character" w:customStyle="1" w:styleId="25">
    <w:name w:val="item"/>
    <w:basedOn w:val="10"/>
  </w:style>
  <w:style w:type="character" w:customStyle="1" w:styleId="26">
    <w:name w:val="txt"/>
    <w:basedOn w:val="10"/>
  </w:style>
  <w:style w:type="character" w:customStyle="1" w:styleId="27">
    <w:name w:val="bjh-p"/>
    <w:basedOn w:val="10"/>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s>
</file>

<file path=docProps/app.xml><?xml version="1.0" encoding="utf-8"?>
<Properties xmlns="http://schemas.openxmlformats.org/officeDocument/2006/extended-properties">
  <Template>Normal.eit</Template>
  <TotalTime>1</TotalTime>
  <Application>Yozo_Office</Application>
  <Pages>5</Pages>
  <Words>1480</Words>
  <Characters>1816</Characters>
  <Lines>85</Lines>
  <Paragraphs>32</Paragraphs>
  <CharactersWithSpaces>1878</CharactersWithSpaces>
  <Company>Organization</Company>
</Properties>
</file>

<file path=docProps/core.xml><?xml version="1.0" encoding="utf-8"?>
<cp:coreProperties xmlns:cp="http://schemas.openxmlformats.org/package/2006/metadata/core-properties" xmlns:dc="http://purl.org/dc/elements/1.1/" xmlns:dcterms="http://purl.org/dc/terms/" xmlns:xsi="http://www.w3.org/2001/XMLSchema-instance">
  <dc:creator>86189</dc:creator>
  <cp:lastModifiedBy>申德生</cp:lastModifiedBy>
  <cp:revision>2</cp:revision>
  <dcterms:created xsi:type="dcterms:W3CDTF">2026-09-09T10:30:00Z</dcterms:created>
  <dcterms:modified xsi:type="dcterms:W3CDTF">2026-09-11T06:31:17Z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2052-12.1.0.25835</vt:lpwstr>
  </property>
  <property fmtid="{D5CDD505-2E9C-101B-9397-08002B2CF9AE}" pid="3" name="ICV">
    <vt:lpwstr>16BD2586B13745CBB78290965E8712D4_13</vt:lpwstr>
  </property>
  <property fmtid="{D5CDD505-2E9C-101B-9397-08002B2CF9AE}" pid="4" name="KSOTemplateDocerSaveRecord">
    <vt:lpwstr>eyJoZGlkIjoiNDUyNzVkMDI3MWU4NzNkYjY3YzMxNmUxNDE2YzVlNzYiLCJ1c2VySWQiOiI2OTc5MDIifQ==</vt:lpwstr>
  </property>
</Properties>
</file>