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22"/>
        <w:tabs>
          <w:tab w:val="left" w:pos="4395"/>
        </w:tabs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Hlk25540369"/>
      <w:r>
        <w:rPr>
          <w:rFonts w:ascii="方正小标宋_GBK" w:eastAsia="方正小标宋_GBK" w:cs="方正小标宋_GBK" w:hint="eastAsia"/>
          <w:sz w:val="44"/>
          <w:szCs w:val="44"/>
        </w:rPr>
        <w:t>浑南海关202</w:t>
      </w:r>
      <w:r>
        <w:rPr>
          <w:rFonts w:ascii="方正小标宋_GBK" w:eastAsia="方正小标宋_GBK" w:cs="方正小标宋_GBK"/>
          <w:sz w:val="44"/>
          <w:szCs w:val="44"/>
        </w:rPr>
        <w:t>4</w:t>
      </w:r>
      <w:r>
        <w:rPr>
          <w:rFonts w:ascii="方正小标宋_GBK" w:eastAsia="方正小标宋_GBK" w:cs="方正小标宋_GBK" w:hint="eastAsia"/>
          <w:sz w:val="44"/>
          <w:szCs w:val="44"/>
        </w:rPr>
        <w:t>年政府信息公开工作年度报告</w:t>
      </w:r>
      <w:bookmarkEnd w:id="0"/>
    </w:p>
    <w:p>
      <w:pPr>
        <w:pStyle w:val="21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both"/>
        <w:rPr>
          <w:rFonts w:ascii="楷体_GB2312" w:eastAsia="楷体_GB2312" w:cs="楷体_GB2312"/>
          <w:bCs/>
          <w:sz w:val="32"/>
          <w:szCs w:val="32"/>
          <w:shd w:val="clear" w:color="auto" w:fill="FFFFFF"/>
        </w:rPr>
      </w:pPr>
    </w:p>
    <w:p>
      <w:pPr>
        <w:pStyle w:val="23"/>
        <w:widowControl/>
        <w:numPr>
          <w:ilvl w:val="0"/>
          <w:numId w:val="1"/>
        </w:numPr>
        <w:shd w:val="clear" w:color="auto" w:fill="FFFFFF"/>
        <w:adjustRightInd w:val="0"/>
        <w:snapToGrid w:val="0"/>
        <w:spacing w:beforeAutospacing="0" w:afterAutospacing="0" w:line="560" w:lineRule="exact"/>
        <w:jc w:val="both"/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总体情况</w:t>
      </w:r>
    </w:p>
    <w:p>
      <w:pPr>
        <w:spacing w:line="560" w:lineRule="exact"/>
        <w:ind w:firstLineChars="200" w:firstLine="632"/>
        <w:rPr>
          <w:szCs w:val="32"/>
        </w:rPr>
      </w:pPr>
      <w:r>
        <w:rPr>
          <w:rFonts w:cs="Arial"/>
          <w:szCs w:val="32"/>
        </w:rPr>
        <w:t>2024年</w:t>
      </w:r>
      <w:r>
        <w:rPr>
          <w:rFonts w:cs="Arial" w:hint="eastAsia"/>
          <w:szCs w:val="32"/>
        </w:rPr>
        <w:t>，</w:t>
      </w:r>
      <w:r>
        <w:rPr>
          <w:rFonts w:hint="eastAsia"/>
          <w:szCs w:val="32"/>
        </w:rPr>
        <w:t>浑南海关</w:t>
      </w:r>
      <w:r>
        <w:rPr>
          <w:szCs w:val="32"/>
        </w:rPr>
        <w:t>深入贯彻落实《中华人民共和国政府信息公开条例》，坚持为人民服务的理念，夯实政务公开基础、创新工作方法、加大宣传力度、持续推进本关政府信息公开工作，不断提升政府信息公开工作质量。</w:t>
      </w:r>
    </w:p>
    <w:p>
      <w:pPr>
        <w:pStyle w:val="25"/>
        <w:spacing w:line="560" w:lineRule="exact"/>
        <w:ind w:firstLineChars="200" w:firstLine="632"/>
      </w:pPr>
      <w:r>
        <w:rPr>
          <w:rFonts w:ascii="方正楷体_GBK" w:eastAsia="方正楷体_GBK" w:hint="eastAsia"/>
          <w:b/>
        </w:rPr>
        <w:t>（一）</w:t>
      </w:r>
      <w:r>
        <w:rPr>
          <w:rFonts w:ascii="方正楷体_GBK" w:eastAsia="方正楷体_GBK"/>
          <w:b/>
        </w:rPr>
        <w:t>加强组织领导，抓好工作落实。</w:t>
      </w:r>
      <w:r>
        <w:t>高度重视政府信息公开工作，按照</w:t>
      </w:r>
      <w:r>
        <w:rPr>
          <w:rFonts w:hint="eastAsia"/>
        </w:rPr>
        <w:t>“</w:t>
      </w:r>
      <w:r>
        <w:t>谁公开、谁负责</w:t>
      </w:r>
      <w:r>
        <w:rPr>
          <w:rFonts w:hint="eastAsia"/>
        </w:rPr>
        <w:t>”</w:t>
      </w:r>
      <w:r>
        <w:t>原则，严格做好</w:t>
      </w:r>
      <w:r>
        <w:rPr>
          <w:rFonts w:hint="eastAsia"/>
        </w:rPr>
        <w:t>“</w:t>
      </w:r>
      <w:r>
        <w:t>双随机、一公开</w:t>
      </w:r>
      <w:r>
        <w:rPr>
          <w:rFonts w:hint="eastAsia"/>
        </w:rPr>
        <w:t>”</w:t>
      </w:r>
      <w:r>
        <w:t>的信息公开审核把关工作，形成了主要领导亲自抓、分管领导协同抓、各科室具体抓的齐抓共管局面。有效提升政府信息公开的工作质量；依据工作职责设置专岗信息公开专员，负责本单位政府信息公开工作，根据工作职责动态更新浑南海关政务公开标准目录、政府信息公开指南，切实提升行政相对人获取信息的便捷性；加强相关人员业务培训，认真学习相关文件精神，定期对政务公开工作展开自评，坚持以案促改，不断提高工作人员的政策把握、舆情处置能力。</w:t>
      </w:r>
    </w:p>
    <w:p>
      <w:pPr>
        <w:pStyle w:val="48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560" w:lineRule="exact"/>
        <w:ind w:left="0" w:firstLineChars="200" w:firstLine="632"/>
        <w:jc w:val="both"/>
        <w:rPr>
          <w:rFonts w:ascii="Times New Roman" w:eastAsia="方正仿宋_GBK" w:hAnsi="Times New Roman"/>
          <w:spacing w:val="-6"/>
          <w:sz w:val="32"/>
          <w:szCs w:val="32"/>
        </w:rPr>
      </w:pPr>
      <w:r>
        <w:rPr>
          <w:rFonts w:ascii="方正楷体_GBK" w:eastAsia="方正楷体_GBK" w:hint="eastAsia"/>
          <w:b/>
          <w:sz w:val="32"/>
          <w:szCs w:val="28"/>
        </w:rPr>
        <w:t>（二）注重需求导向，开展政策宣讲。</w:t>
      </w:r>
      <w:r>
        <w:rPr>
          <w:rFonts w:ascii="方正仿宋_GBK" w:eastAsia="方正仿宋_GBK" w:hint="eastAsia"/>
          <w:b/>
          <w:bCs/>
          <w:sz w:val="32"/>
          <w:szCs w:val="32"/>
        </w:rPr>
        <w:t>深入调研</w:t>
      </w:r>
      <w:r>
        <w:rPr>
          <w:rFonts w:ascii="方正仿宋_GBK" w:eastAsia="方正仿宋_GBK" w:hint="eastAsia"/>
          <w:b/>
          <w:bCs/>
          <w:color w:val="000000"/>
          <w:spacing w:val="0"/>
          <w:sz w:val="32"/>
          <w:szCs w:val="32"/>
          <w:shd w:val="clear" w:color="auto" w:fill="FFFFFF"/>
        </w:rPr>
        <w:t>推动“十四五”科技创新政策落实</w:t>
      </w:r>
      <w:r>
        <w:rPr>
          <w:rFonts w:ascii="方正仿宋_GBK" w:eastAsia="方正仿宋_GBK" w:hint="eastAsia"/>
          <w:b/>
          <w:bCs/>
          <w:sz w:val="32"/>
          <w:szCs w:val="32"/>
        </w:rPr>
        <w:t>。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赴科研主体走访调研8次，开展政策宣讲1次，涉及企业87家，累计解决问题11个</w:t>
      </w:r>
      <w:r>
        <w:rPr>
          <w:rFonts w:ascii="Times New Roman" w:eastAsia="方正仿宋_GBK" w:hAnsi="Times New Roman"/>
          <w:spacing w:val="0"/>
          <w:sz w:val="32"/>
          <w:szCs w:val="32"/>
        </w:rPr>
        <w:t>。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审核</w:t>
      </w:r>
      <w:r>
        <w:rPr>
          <w:rFonts w:eastAsia="方正仿宋_GBK"/>
          <w:sz w:val="32"/>
          <w:szCs w:val="32"/>
          <w:shd w:val="clear" w:color="auto" w:fill="FFFFFF"/>
        </w:rPr>
        <w:t>关区减免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税年报122份，合规申报率达97.6%。</w:t>
      </w:r>
      <w:r>
        <w:rPr>
          <w:rFonts w:ascii="Times New Roman" w:eastAsia="方正仿宋_GBK" w:hAnsi="Times New Roman"/>
          <w:sz w:val="32"/>
          <w:szCs w:val="32"/>
        </w:rPr>
        <w:t>提报系统优化建议11条。</w:t>
      </w:r>
      <w:r>
        <w:rPr>
          <w:rFonts w:ascii="方正仿宋_GBK" w:eastAsia="方正仿宋_GBK" w:cs="Times New Roman"/>
          <w:b/>
          <w:color w:val="000000"/>
          <w:sz w:val="32"/>
          <w:szCs w:val="32"/>
        </w:rPr>
        <w:t>深入重点企业开展政策宣讲</w:t>
      </w:r>
      <w:r>
        <w:rPr>
          <w:rFonts w:ascii="方正仿宋_GBK" w:eastAsia="方正仿宋_GBK" w:cs="Times New Roman" w:hint="eastAsia"/>
          <w:b/>
          <w:sz w:val="32"/>
          <w:szCs w:val="32"/>
        </w:rPr>
        <w:t>。</w:t>
      </w:r>
      <w:r>
        <w:rPr>
          <w:rFonts w:eastAsia="方正仿宋_GBK" w:hint="eastAsia"/>
          <w:sz w:val="32"/>
          <w:szCs w:val="32"/>
        </w:rPr>
        <w:t>重点关注原料药、保税维修等新业态，</w:t>
      </w:r>
      <w:r>
        <w:rPr>
          <w:rFonts w:ascii="方正仿宋_GBK" w:eastAsia="方正仿宋_GBK"/>
          <w:spacing w:val="-4"/>
          <w:sz w:val="32"/>
          <w:szCs w:val="32"/>
          <w:shd w:val="clear" w:color="auto" w:fill="FFFFFF"/>
        </w:rPr>
        <w:t>着力推动南航沈阳维修基地保税维修业务开展。</w:t>
      </w:r>
      <w:r>
        <w:rPr>
          <w:rFonts w:ascii="Calibri" w:eastAsia="方正仿宋_GBK" w:hAnsi="Calibri"/>
          <w:vanish w:val="0"/>
          <w:kern w:val="0"/>
          <w:sz w:val="32"/>
          <w:szCs w:val="32"/>
        </w:rPr>
        <w:t>指导华晨汽车集团控股有限公司完成相关工作，</w:t>
      </w:r>
      <w:r>
        <w:rPr>
          <w:rFonts w:ascii="Times New Roman" w:eastAsia="方正仿宋_GBK" w:cs="Times New Roman" w:hAnsi="Times New Roman"/>
          <w:vanish w:val="0"/>
          <w:spacing w:val="-6"/>
          <w:sz w:val="32"/>
          <w:szCs w:val="32"/>
        </w:rPr>
        <w:t>点对点开展相关政策宣讲</w:t>
      </w:r>
      <w:r>
        <w:rPr>
          <w:rFonts w:ascii="Times New Roman" w:eastAsia="方正仿宋_GBK" w:cs="Times New Roman" w:hAnsi="Times New Roman" w:hint="eastAsia"/>
          <w:vanish w:val="0"/>
          <w:spacing w:val="-6"/>
          <w:sz w:val="32"/>
          <w:szCs w:val="32"/>
        </w:rPr>
        <w:t>。</w:t>
      </w:r>
    </w:p>
    <w:p>
      <w:pPr>
        <w:ind w:firstLineChars="200" w:firstLine="632"/>
      </w:pPr>
      <w:r>
        <w:rPr>
          <w:rFonts w:ascii="方正楷体_GBK" w:eastAsia="方正楷体_GBK" w:hint="eastAsia"/>
          <w:b/>
        </w:rPr>
        <w:t>（</w:t>
      </w:r>
      <w:r>
        <w:rPr>
          <w:rFonts w:ascii="方正楷体_GBK" w:eastAsia="方正楷体_GBK"/>
          <w:b/>
        </w:rPr>
        <w:t>三</w:t>
      </w:r>
      <w:r>
        <w:rPr>
          <w:rFonts w:ascii="方正楷体_GBK" w:eastAsia="方正楷体_GBK" w:hint="eastAsia"/>
          <w:b/>
        </w:rPr>
        <w:t>）</w:t>
      </w:r>
      <w:r>
        <w:rPr>
          <w:rFonts w:ascii="方正楷体_GBK" w:eastAsia="方正楷体_GBK"/>
          <w:b/>
        </w:rPr>
        <w:t>畅通公开渠道</w:t>
      </w:r>
      <w:r>
        <w:rPr>
          <w:rFonts w:ascii="方正楷体_GBK" w:eastAsia="方正楷体_GBK" w:hint="eastAsia"/>
          <w:b/>
        </w:rPr>
        <w:t>，提升工作</w:t>
      </w:r>
      <w:r>
        <w:rPr>
          <w:rFonts w:ascii="方正楷体_GBK" w:eastAsia="方正楷体_GBK"/>
          <w:b/>
        </w:rPr>
        <w:t>效能</w:t>
      </w:r>
      <w:r>
        <w:rPr>
          <w:rFonts w:ascii="方正楷体_GBK" w:eastAsia="方正楷体_GBK" w:hint="eastAsia"/>
          <w:b/>
        </w:rPr>
        <w:t>。</w:t>
      </w:r>
      <w:r>
        <w:t>用心用情做好政务服务，</w:t>
      </w:r>
      <w:r>
        <w:rPr>
          <w:rFonts w:hint="eastAsia"/>
        </w:rPr>
        <w:t>有效发挥政务公开对业务改革的反哺作用</w:t>
      </w:r>
      <w:r>
        <w:t>，完善政务公开相关配套设施，及时更新报关厅以及一楼大厅内张贴的相关法律、法规、规章、行政规范性文件等，做好</w:t>
      </w:r>
      <w:r>
        <w:rPr>
          <w:rFonts w:hint="eastAsia"/>
        </w:rPr>
        <w:t>“</w:t>
      </w:r>
      <w:r>
        <w:t>关长接待日</w:t>
      </w:r>
      <w:r>
        <w:rPr>
          <w:rFonts w:hint="eastAsia"/>
        </w:rPr>
        <w:t>”</w:t>
      </w:r>
      <w:r>
        <w:t>工作和信息发布，着力提升服务效能，把</w:t>
      </w:r>
      <w:r>
        <w:rPr>
          <w:rFonts w:hint="eastAsia"/>
        </w:rPr>
        <w:t>“人民海关为人民”的理念落实到具体工作中，关注服务</w:t>
      </w:r>
      <w:r>
        <w:t>对象的需求，为群众提供方便，接受群众的监督，树立人民海关为人民的良好形象。</w:t>
      </w:r>
    </w:p>
    <w:p>
      <w:pPr>
        <w:pStyle w:val="33"/>
        <w:adjustRightInd w:val="0"/>
        <w:snapToGrid w:val="0"/>
        <w:spacing w:beforeLines="50" w:before="290" w:afterLines="50" w:after="290"/>
        <w:ind w:firstLineChars="200" w:firstLine="616"/>
        <w:rPr>
          <w:rFonts w:ascii="方正黑体_GBK" w:eastAsia="方正黑体_GBK" w:cs="楷体_GB2312"/>
          <w:bCs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Cs w:val="32"/>
          <w:shd w:val="clear" w:color="auto" w:fill="FFFFFF"/>
        </w:rPr>
        <w:t>二、主动公开政府信息情况</w:t>
      </w:r>
    </w:p>
    <w:tbl>
      <w:tblPr>
        <w:jc w:val="center"/>
        <w:tblW w:w="8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7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0</w:t>
            </w:r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6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9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0</w:t>
            </w:r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0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0</w:t>
            </w:r>
          </w:p>
        </w:tc>
      </w:tr>
    </w:tbl>
    <w:p>
      <w:pPr>
        <w:pStyle w:val="41"/>
        <w:widowControl/>
        <w:shd w:val="clear" w:color="auto" w:fill="FFFFFF"/>
        <w:adjustRightInd w:val="0"/>
        <w:snapToGrid w:val="0"/>
        <w:spacing w:beforeAutospacing="0" w:afterLines="50" w:after="290" w:afterAutospacing="0" w:line="560" w:lineRule="exact"/>
        <w:ind w:firstLineChars="200" w:firstLine="632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bookmarkStart w:id="1" w:name="_GoBack"/>
      <w:bookmarkEnd w:id="1"/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三、收到和处理政府信息公开申请情况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>
        <w:trPr>
          <w:tblHeader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>
        <w:trPr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总计</w:t>
            </w:r>
          </w:p>
        </w:tc>
      </w:tr>
      <w:tr>
        <w:trPr>
          <w:trHeight w:val="649"/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4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4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4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34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34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34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left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</w:tbl>
    <w:p>
      <w:pPr>
        <w:pStyle w:val="41"/>
        <w:widowControl/>
        <w:shd w:val="clear" w:color="auto" w:fill="FFFFFF"/>
        <w:spacing w:beforeLines="50" w:before="290" w:beforeAutospacing="0" w:after="120" w:afterAutospacing="0"/>
        <w:ind w:firstLineChars="200" w:firstLine="632"/>
        <w:jc w:val="both"/>
        <w:rPr>
          <w:rFonts w:ascii="宋体" w:cs="宋体"/>
          <w:szCs w:val="24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  <w:rPr>
                <w:color w:val="FF0000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5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</w:tbl>
    <w:p>
      <w:pPr>
        <w:pStyle w:val="41"/>
        <w:widowControl/>
        <w:shd w:val="clear" w:color="auto" w:fill="FFFFFF"/>
        <w:spacing w:beforeLines="50" w:before="290" w:beforeAutospacing="0" w:afterAutospacing="0" w:line="560" w:lineRule="exact"/>
        <w:ind w:firstLineChars="200" w:firstLine="632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2"/>
        <w:adjustRightInd w:val="0"/>
        <w:snapToGrid w:val="0"/>
        <w:ind w:firstLineChars="200" w:firstLine="632"/>
        <w:rPr>
          <w:rFonts w:ascii="方正楷体_GBK" w:eastAsia="方正楷体_GBK"/>
          <w:b/>
          <w:bCs/>
          <w:spacing w:val="0"/>
        </w:rPr>
      </w:pPr>
      <w:r>
        <w:rPr>
          <w:rFonts w:ascii="方正楷体_GBK" w:eastAsia="方正楷体_GBK" w:hint="eastAsia"/>
          <w:b/>
          <w:bCs/>
          <w:spacing w:val="0"/>
        </w:rPr>
        <w:t>（一）202</w:t>
      </w:r>
      <w:r>
        <w:rPr>
          <w:rFonts w:ascii="方正楷体_GBK" w:eastAsia="方正楷体_GBK"/>
          <w:b/>
          <w:bCs/>
          <w:spacing w:val="0"/>
        </w:rPr>
        <w:t>3</w:t>
      </w:r>
      <w:r>
        <w:rPr>
          <w:rFonts w:ascii="方正楷体_GBK" w:eastAsia="方正楷体_GBK" w:hint="eastAsia"/>
          <w:b/>
          <w:bCs/>
          <w:spacing w:val="0"/>
        </w:rPr>
        <w:t>年政府信息公开年报提及问题整改情况。</w:t>
      </w:r>
    </w:p>
    <w:p>
      <w:pPr>
        <w:pStyle w:val="45"/>
        <w:adjustRightInd w:val="0"/>
        <w:snapToGrid w:val="0"/>
        <w:ind w:firstLineChars="200" w:firstLine="616"/>
        <w:rPr>
          <w:rFonts w:ascii="方正楷体_GBK" w:eastAsia="方正楷体_GBK" w:cs="楷体_GB2312"/>
          <w:b/>
          <w:bCs/>
          <w:spacing w:val="0"/>
        </w:rPr>
      </w:pPr>
      <w:r>
        <w:rPr>
          <w:rFonts w:cs="楷体_GB2312"/>
          <w:bCs/>
          <w:szCs w:val="32"/>
        </w:rPr>
        <w:t>2023年提及问题：我关在调动社会公众参与的积极性还有待提升，需进一步引导企业增进对海关业务改革的了解，多形式搭建海关与社会公众的良性沟通。</w:t>
      </w:r>
      <w:r>
        <w:rPr>
          <w:bCs/>
        </w:rPr>
        <w:t>对此，改进措施为：积极加强与辖区企业的沟通联系，加强政策宣讲，</w:t>
      </w:r>
      <w:r>
        <w:rPr>
          <w:rFonts w:hint="eastAsia"/>
          <w:bCs/>
        </w:rPr>
        <w:t>“一企</w:t>
      </w:r>
      <w:r>
        <w:rPr>
          <w:bCs/>
        </w:rPr>
        <w:t>一策</w:t>
      </w:r>
      <w:r>
        <w:rPr>
          <w:rFonts w:hint="eastAsia"/>
          <w:bCs/>
        </w:rPr>
        <w:t>”制定方案，提升帮扶企业针对性；</w:t>
      </w:r>
      <w:r>
        <w:rPr>
          <w:bCs/>
        </w:rPr>
        <w:t>积极开展青年志愿服务活动，向社会公众展现海关青春活力；深入多福社区，党总支联合多福社区党支部开展座谈交流会，分享基层网格化管理经验和心得。</w:t>
      </w:r>
    </w:p>
    <w:p>
      <w:pPr>
        <w:pStyle w:val="42"/>
        <w:adjustRightInd w:val="0"/>
        <w:snapToGrid w:val="0"/>
        <w:ind w:firstLineChars="200" w:firstLine="632"/>
        <w:rPr>
          <w:rFonts w:ascii="方正楷体_GBK" w:eastAsia="方正楷体_GBK" w:cs="楷体_GB2312"/>
          <w:b/>
          <w:bCs/>
          <w:spacing w:val="0"/>
        </w:rPr>
      </w:pPr>
      <w:r>
        <w:rPr>
          <w:rFonts w:ascii="方正楷体_GBK" w:eastAsia="方正楷体_GBK" w:cs="楷体_GB2312" w:hint="eastAsia"/>
          <w:b/>
          <w:bCs/>
          <w:spacing w:val="0"/>
        </w:rPr>
        <w:t>（二）目前存在的问题。</w:t>
      </w:r>
    </w:p>
    <w:p>
      <w:pPr>
        <w:pStyle w:val="27"/>
        <w:adjustRightInd/>
        <w:snapToGrid w:val="0"/>
        <w:spacing w:line="560" w:lineRule="exact"/>
        <w:ind w:firstLineChars="200" w:firstLine="616"/>
        <w:contextualSpacing w:val="0"/>
        <w:jc w:val="both"/>
        <w:rPr>
          <w:bCs/>
          <w:spacing w:val="-4"/>
          <w:sz w:val="32"/>
          <w:szCs w:val="28"/>
        </w:rPr>
      </w:pPr>
      <w:r>
        <w:rPr>
          <w:bCs/>
          <w:spacing w:val="-4"/>
          <w:sz w:val="32"/>
          <w:szCs w:val="28"/>
        </w:rPr>
        <w:t>政府信息公开工作深度还不够，缺乏对信息背后深层次原因、影响及发展趋势的分析；渠道相对单一，主要通过门户网站进行公开，难以满足不同群体获取信息的需求。</w:t>
      </w:r>
    </w:p>
    <w:p>
      <w:pPr>
        <w:pStyle w:val="41"/>
        <w:widowControl/>
        <w:shd w:val="clear" w:color="auto" w:fill="FFFFFF"/>
        <w:spacing w:beforeAutospacing="0" w:afterAutospacing="0" w:line="560" w:lineRule="exact"/>
        <w:ind w:firstLineChars="200" w:firstLine="632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  <w:t>六</w:t>
      </w: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、其他需要报告的事项</w:t>
      </w:r>
    </w:p>
    <w:p>
      <w:pPr>
        <w:pStyle w:val="43"/>
        <w:adjustRightInd w:val="0"/>
        <w:snapToGrid w:val="0"/>
        <w:ind w:firstLineChars="200" w:firstLine="616"/>
      </w:pPr>
      <w:r>
        <w:t>浑南海关2024年未收取信息处理费。</w:t>
      </w:r>
    </w:p>
    <w:p>
      <w:pPr>
        <w:pStyle w:val="43"/>
        <w:adjustRightInd w:val="0"/>
        <w:snapToGrid w:val="0"/>
        <w:ind w:firstLineChars="200" w:firstLine="616"/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_GB2312">
    <w:altName w:val="方正楷体_GBK"/>
    <w:panose1 w:val="00000000000000000000"/>
    <w:charset w:val="00"/>
    <w:family w:val="auto"/>
    <w:pitch w:val="variable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Calibri">
    <w:altName w:val="Times New Roman"/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楷体">
    <w:altName w:val="方正楷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Wingdings">
    <w:altName w:val="DejaVu Sans"/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C27257B"/>
    <w:multiLevelType w:val="hybridMultilevel"/>
    <w:tmpl w:val="00000000"/>
    <w:lvl w:ilvl="0">
      <w:start w:val="1"/>
      <w:numFmt w:val="chineseCountingThousand"/>
      <w:lvlRestart w:val="0"/>
      <w:lvlText w:val="%1、"/>
      <w:lvlJc w:val="left"/>
      <w:pPr>
        <w:tabs>
          <w:tab w:val="num" w:pos="1280"/>
        </w:tabs>
        <w:ind w:left="1280" w:hanging="640"/>
      </w:pPr>
      <w:rPr>
        <w:rFonts w:ascii="方正黑体_GBK" w:hAnsi="方正黑体_GBK" w:eastAsia="方正黑体_GBK" w:cs="楷体_GB2312" w:hint="default"/>
        <w:bCs/>
        <w:iCs w:val="0"/>
        <w:sz w:val="32"/>
        <w:szCs w:val="32"/>
      </w:rPr>
    </w:lvl>
    <w:lvl w:ilvl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1">
    <w:nsid w:val="3D37FED5"/>
    <w:multiLevelType w:val="singleLevel"/>
    <w:tmpl w:val="00000000"/>
    <w:lvl w:ilvl="0">
      <w:start w:val="1"/>
      <w:numFmt w:val="bullet"/>
      <w:lvlRestart w:val="0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2">
    <w:nsid w:val="48478465"/>
    <w:multiLevelType w:val="singleLevel"/>
    <w:tmpl w:val="00000000"/>
    <w:lvl w:ilvl="0">
      <w:start w:val="1"/>
      <w:numFmt w:val="bullet"/>
      <w:lvlRestart w:val="0"/>
      <w:pStyle w:val="29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方正仿宋_GBK" w:cs="Times New Roman" w:hAnsi="Times New Roman"/>
      <w:kern w:val="2"/>
      <w:sz w:val="18"/>
      <w:szCs w:val="18"/>
      <w:lang w:val="en-US" w:eastAsia="zh-CN" w:bidi="ar-SA"/>
    </w:rPr>
  </w:style>
  <w:style w:type="character" w:styleId="17">
    <w:name w:val="footnote reference"/>
    <w:basedOn w:val="10"/>
    <w:rPr>
      <w:vertAlign w:val="superscript"/>
    </w:rPr>
  </w:style>
  <w:style w:type="paragraph" w:styleId="18">
    <w:name w:val="Body Text Indent"/>
    <w:basedOn w:val="0"/>
    <w:pPr>
      <w:spacing w:after="120"/>
      <w:ind w:left="420"/>
    </w:pPr>
  </w:style>
  <w:style w:type="paragraph" w:styleId="19">
    <w:name w:val="List Continue 5"/>
    <w:basedOn w:val="0"/>
    <w:pPr>
      <w:spacing w:after="120"/>
      <w:ind w:left="2100"/>
    </w:pPr>
  </w:style>
  <w:style w:type="paragraph" w:styleId="20">
    <w:name w:val="Body Text First Indent 2"/>
    <w:basedOn w:val="18"/>
    <w:pPr>
      <w:ind w:firstLine="420"/>
    </w:pPr>
  </w:style>
  <w:style w:type="paragraph" w:styleId="21">
    <w:name w:val="Normal (Web)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22">
    <w:name w:val="样式 6 三号"/>
    <w:next w:val="17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23">
    <w:name w:val="样式 4 小四"/>
    <w:next w:val="20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24">
    <w:name w:val="样式 14 三号"/>
    <w:next w:val="19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5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26">
    <w:name w:val="Normal Indent"/>
    <w:basedOn w:val="0"/>
    <w:pPr>
      <w:ind w:firstLine="420"/>
    </w:pPr>
  </w:style>
  <w:style w:type="paragraph" w:styleId="27">
    <w:name w:val="footnote text"/>
    <w:basedOn w:val="0"/>
    <w:pPr>
      <w:snapToGrid w:val="0"/>
      <w:jc w:val="left"/>
    </w:pPr>
    <w:rPr>
      <w:sz w:val="18"/>
      <w:szCs w:val="18"/>
    </w:rPr>
  </w:style>
  <w:style w:type="paragraph" w:styleId="28">
    <w:name w:val="endnote text"/>
    <w:basedOn w:val="0"/>
    <w:pPr>
      <w:snapToGrid w:val="0"/>
      <w:jc w:val="left"/>
    </w:pPr>
  </w:style>
  <w:style w:type="paragraph" w:styleId="29">
    <w:name w:val="toa heading"/>
    <w:basedOn w:val="0"/>
    <w:next w:val="0"/>
    <w:pPr>
      <w:spacing w:before="120"/>
    </w:pPr>
    <w:rPr>
      <w:rFonts w:ascii="Arial" w:hAnsi="Arial"/>
      <w:sz w:val="24"/>
      <w:szCs w:val="24"/>
    </w:rPr>
  </w:style>
  <w:style w:type="paragraph" w:styleId="30">
    <w:name w:val="List 2"/>
    <w:basedOn w:val="0"/>
    <w:pPr>
      <w:ind w:left="840" w:hanging="420"/>
    </w:pPr>
  </w:style>
  <w:style w:type="paragraph" w:styleId="31">
    <w:name w:val="List Bullet 2"/>
    <w:basedOn w:val="0"/>
    <w:pPr>
      <w:numPr>
        <w:ilvl w:val="0"/>
        <w:numId w:val="2"/>
      </w:numPr>
    </w:pPr>
  </w:style>
  <w:style w:type="paragraph" w:styleId="32">
    <w:name w:val="List Bullet 3"/>
    <w:basedOn w:val="0"/>
    <w:pPr>
      <w:numPr>
        <w:ilvl w:val="0"/>
        <w:numId w:val="3"/>
      </w:numPr>
    </w:pPr>
  </w:style>
  <w:style w:type="paragraph" w:customStyle="1" w:styleId="33">
    <w:name w:val="样式 50 三号"/>
    <w:next w:val="20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34">
    <w:name w:val="样式 小三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5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6">
    <w:name w:val="样式 5 小三"/>
    <w:next w:val="28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7">
    <w:name w:val="样式 16 小三"/>
    <w:next w:val="31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8">
    <w:name w:val="样式 8 小三"/>
    <w:next w:val="29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9">
    <w:name w:val="样式 17 小三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0">
    <w:name w:val="样式 12 小三"/>
    <w:next w:val="30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1">
    <w:name w:val="样式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42">
    <w:name w:val="样式 8 三号"/>
    <w:next w:val="27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3">
    <w:name w:val="样式 7 三号"/>
    <w:next w:val="26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4">
    <w:name w:val="正文文字 4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5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6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7">
    <w:name w:val="样式 19 小四"/>
    <w:next w:val="18"/>
    <w:pPr>
      <w:widowControl w:val="0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styleId="48">
    <w:name w:val="样式 18 小四"/>
    <w:next w:val="44"/>
    <w:pPr>
      <w:widowControl w:val="0"/>
      <w:spacing w:line="240" w:lineRule="auto"/>
      <w:jc w:val="left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styleId="49">
    <w:name w:val="样式 1 小四"/>
    <w:pPr>
      <w:widowControl w:val="0"/>
      <w:spacing w:line="240" w:lineRule="auto"/>
      <w:jc w:val="left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B6F0544-AA3E-4A29-B4D5-BF600CA0CBFE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112</TotalTime>
  <Application>Yozo_Office27021597764231179</Application>
  <Pages>7</Pages>
  <Words>0</Words>
  <Characters>1798</Characters>
  <Lines>0</Lines>
  <Paragraphs>21</Paragraphs>
  <CharactersWithSpaces>2398</CharactersWithSpaces>
  <Company>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陈森</dc:creator>
  <cp:lastModifiedBy>syhg</cp:lastModifiedBy>
  <cp:revision>1</cp:revision>
  <dcterms:created xsi:type="dcterms:W3CDTF">2025-01-15T02:05:17Z</dcterms:created>
  <dcterms:modified xsi:type="dcterms:W3CDTF">2025-01-22T08:24:24Z</dcterms:modified>
</cp:coreProperties>
</file>