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2026年第35期</w:t>
      </w:r>
    </w:p>
    <w:p>
      <w:pPr>
        <w:overflowPunct w:val="0"/>
        <w:spacing w:afterLines="50" w:after="143" w:line="600" w:lineRule="exact"/>
        <w:jc w:val="center"/>
        <w:rPr>
          <w:rFonts w:eastAsia="方正楷体_GBK"/>
          <w:sz w:val="32"/>
          <w:szCs w:val="32"/>
        </w:rPr>
      </w:pPr>
    </w:p>
    <w:p>
      <w:pPr>
        <w:pStyle w:val="25"/>
        <w:tabs>
          <w:tab w:val="left" w:pos="630"/>
          <w:tab w:val="right" w:leader="dot" w:pos="8608"/>
        </w:tabs>
        <w:rPr>
          <w:rFonts w:ascii="等线" w:eastAsia="等线" w:cs="Arial" w:hAnsi="等线" w:hint="eastAsia"/>
          <w:b w:val="0"/>
          <w:bCs w:val="0"/>
          <w:caps w:val="0"/>
          <w:smallCaps w:val="0"/>
          <w:color w:val="auto"/>
          <w:sz w:val="22"/>
          <w:szCs w:val="24"/>
        </w:rPr>
      </w:pPr>
      <w:r>
        <w:rPr>
          <w:rStyle w:val="33"/>
          <w:rFonts w:ascii="Times New Roman" w:eastAsia="方正仿宋_GBK" w:hAnsi="Times New Roman" w:hint="eastAsia"/>
        </w:rPr>
        <w:fldChar w:fldCharType="begin"/>
      </w:r>
      <w:r>
        <w:rPr>
          <w:rStyle w:val="33"/>
          <w:rFonts w:ascii="Times New Roman" w:eastAsia="方正仿宋_GBK" w:hAnsi="Times New Roman" w:hint="eastAsia"/>
        </w:rPr>
        <w:instrText xml:space="preserve"> TOC \o "1-1" \h \z \u </w:instrText>
      </w:r>
      <w:r>
        <w:rPr>
          <w:rStyle w:val="33"/>
          <w:rFonts w:ascii="Times New Roman" w:eastAsia="方正仿宋_GBK" w:hAnsi="Times New Roman" w:hint="eastAsia"/>
        </w:rPr>
        <w:fldChar w:fldCharType="separate"/>
      </w:r>
      <w:r>
        <w:fldChar w:fldCharType="begin"/>
      </w:r>
      <w:r>
        <w:instrText>Hyperlink \l "_Toc236754480"</w:instrText>
      </w:r>
      <w:r>
        <w:fldChar w:fldCharType="separate"/>
      </w:r>
      <w:r>
        <w:rPr>
          <w:rFonts w:ascii="方正黑体_GBK" w:eastAsia="方正黑体_GBK" w:cs="宋体"/>
          <w:kern w:val="0"/>
        </w:rPr>
        <w:t>一、 进出口食品安全信息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"_Toc236754482"</w:instrText>
      </w:r>
      <w:r>
        <w:fldChar w:fldCharType="separate"/>
      </w:r>
      <w:r>
        <w:rPr>
          <w:rFonts w:ascii="方正楷体_GBK" w:eastAsia="方正楷体_GBK" w:cs="宋体"/>
          <w:kern w:val="0"/>
        </w:rPr>
        <w:t>（一）联合国发布2026年世界粮食安全和营养状况。</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"_Toc236754483"</w:instrText>
      </w:r>
      <w:r>
        <w:fldChar w:fldCharType="separate"/>
      </w:r>
      <w:r>
        <w:rPr>
          <w:rFonts w:ascii="方正楷体_GBK" w:eastAsia="方正楷体_GBK" w:cs="宋体"/>
          <w:kern w:val="0"/>
        </w:rPr>
        <w:t>（二）美国制订部分食品中氯菊酯的最大残留限量。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"_Toc236754484"</w:instrText>
      </w:r>
      <w:r>
        <w:fldChar w:fldCharType="separate"/>
      </w:r>
      <w:r>
        <w:rPr>
          <w:rFonts w:ascii="方正楷体_GBK" w:eastAsia="方正楷体_GBK" w:cs="宋体"/>
          <w:kern w:val="0"/>
        </w:rPr>
        <w:t>（三）美国制订部分食品中氟嘧草啶的最大残留限量。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"_Toc236754485"</w:instrText>
      </w:r>
      <w:r>
        <w:fldChar w:fldCharType="separate"/>
      </w:r>
      <w:r>
        <w:rPr>
          <w:rFonts w:ascii="方正楷体_GBK" w:eastAsia="方正楷体_GBK" w:cs="宋体"/>
          <w:kern w:val="0"/>
        </w:rPr>
        <w:t>（四）欧盟制订婴幼儿加工谷基食品和婴儿食品中呋喃、2-甲基呋喃和3-甲基呋喃总和的最大限量。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"_Toc236754486"</w:instrText>
      </w:r>
      <w:r>
        <w:fldChar w:fldCharType="separate"/>
      </w:r>
      <w:r>
        <w:rPr>
          <w:rFonts w:ascii="方正楷体_GBK" w:eastAsia="方正楷体_GBK" w:cs="宋体"/>
          <w:kern w:val="0"/>
        </w:rPr>
        <w:t>（五）欧盟制修订部分食品中3-单氯丙二醇和缩水甘油脂肪酸酯的最大含量。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"_Toc236754487"</w:instrText>
      </w:r>
      <w:r>
        <w:fldChar w:fldCharType="separate"/>
      </w:r>
      <w:r>
        <w:rPr>
          <w:rFonts w:ascii="方正楷体_GBK" w:eastAsia="方正楷体_GBK" w:cs="宋体"/>
          <w:kern w:val="0"/>
        </w:rPr>
        <w:t>（六）欧盟修订肉与肉制品名称相关法规。</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"_Toc236754488"</w:instrText>
      </w:r>
      <w:r>
        <w:fldChar w:fldCharType="separate"/>
      </w:r>
      <w:r>
        <w:rPr>
          <w:rFonts w:ascii="方正楷体_GBK" w:eastAsia="方正楷体_GBK" w:cs="宋体"/>
          <w:kern w:val="0"/>
        </w:rPr>
        <w:t>（七）欧盟制订大麻叶浸液中Δ9-四氢大麻酚的最大含量。</w:t>
      </w:r>
      <w:r>
        <w:fldChar w:fldCharType="end"/>
      </w:r>
    </w:p>
    <w:p>
      <w:pPr>
        <w:pStyle w:val="25"/>
        <w:tabs>
          <w:tab w:val="left" w:pos="630"/>
          <w:tab w:val="left" w:pos="168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"_Toc236754489"</w:instrText>
      </w:r>
      <w:r>
        <w:fldChar w:fldCharType="separate"/>
      </w:r>
      <w:r>
        <w:rPr>
          <w:rFonts w:ascii="方正楷体_GBK" w:eastAsia="方正楷体_GBK" w:cs="宋体"/>
          <w:kern w:val="0"/>
        </w:rPr>
        <w:t>（八）欧盟拟批准苏亨氏厌氧丁酸菌CH106作为新型食品。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"_Toc236754490"</w:instrText>
      </w:r>
      <w:r>
        <w:fldChar w:fldCharType="separate"/>
      </w:r>
      <w:r>
        <w:rPr>
          <w:rFonts w:ascii="方正楷体_GBK" w:eastAsia="方正楷体_GBK" w:cs="宋体"/>
          <w:kern w:val="0"/>
        </w:rPr>
        <w:t>（九）欧盟拟修订芹菜中灭螨醌的最大残留限量。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"_Toc236754491"</w:instrText>
      </w:r>
      <w:r>
        <w:fldChar w:fldCharType="separate"/>
      </w:r>
      <w:r>
        <w:rPr>
          <w:rFonts w:ascii="方正楷体_GBK" w:eastAsia="方正楷体_GBK" w:cs="宋体"/>
          <w:kern w:val="0"/>
        </w:rPr>
        <w:t>（十）欧盟新增多种马科食用动物禁用兽药。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"_Toc236754492"</w:instrText>
      </w:r>
      <w:r>
        <w:fldChar w:fldCharType="separate"/>
      </w:r>
      <w:r>
        <w:rPr>
          <w:rFonts w:ascii="方正楷体_GBK" w:eastAsia="方正楷体_GBK" w:cs="宋体"/>
          <w:kern w:val="0"/>
        </w:rPr>
        <w:t>（十一）欧盟修订动物源性食品检疫相关法规。</w:t>
      </w:r>
      <w:r>
        <w:fldChar w:fldCharType="end"/>
      </w:r>
    </w:p>
    <w:p>
      <w:pPr>
        <w:pStyle w:val="25"/>
        <w:tabs>
          <w:tab w:val="left" w:pos="630"/>
          <w:tab w:val="left" w:pos="210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"_Toc236754493"</w:instrText>
      </w:r>
      <w:r>
        <w:fldChar w:fldCharType="separate"/>
      </w:r>
      <w:r>
        <w:rPr>
          <w:rFonts w:ascii="方正楷体_GBK" w:eastAsia="方正楷体_GBK" w:cs="宋体"/>
          <w:kern w:val="0"/>
        </w:rPr>
        <w:t>（十二）英国修订部分食品中氟啶虫酰胺的最大残留限量。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"_Toc236754494"</w:instrText>
      </w:r>
      <w:r>
        <w:fldChar w:fldCharType="separate"/>
      </w:r>
      <w:r>
        <w:rPr>
          <w:rFonts w:ascii="方正楷体_GBK" w:eastAsia="方正楷体_GBK" w:cs="宋体"/>
          <w:kern w:val="0"/>
        </w:rPr>
        <w:t>（十三）英国发布小微食品企业食品安全调查报告。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"_Toc236754495"</w:instrText>
      </w:r>
      <w:r>
        <w:fldChar w:fldCharType="separate"/>
      </w:r>
      <w:r>
        <w:rPr>
          <w:rFonts w:ascii="方正楷体_GBK" w:eastAsia="方正楷体_GBK" w:cs="宋体"/>
          <w:kern w:val="0"/>
        </w:rPr>
        <w:t>（十四）德国发布2025年官方食品监管年度报告。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"_Toc236754496"</w:instrText>
      </w:r>
      <w:r>
        <w:fldChar w:fldCharType="separate"/>
      </w:r>
      <w:r>
        <w:rPr>
          <w:rFonts w:ascii="方正楷体_GBK" w:eastAsia="方正楷体_GBK" w:cs="宋体"/>
          <w:kern w:val="0"/>
        </w:rPr>
        <w:t>（十五）奥地利发布2026年上半年部分食品中丙烯酰胺专项抽检报告。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"_Toc236754497"</w:instrText>
      </w:r>
      <w:r>
        <w:fldChar w:fldCharType="separate"/>
      </w:r>
      <w:r>
        <w:rPr>
          <w:rFonts w:ascii="方正楷体_GBK" w:eastAsia="方正楷体_GBK" w:cs="宋体"/>
          <w:kern w:val="0"/>
        </w:rPr>
        <w:t>（十六）法国发布2023年食品地理标志检查报告。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"_Toc236754498"</w:instrText>
      </w:r>
      <w:r>
        <w:fldChar w:fldCharType="separate"/>
      </w:r>
      <w:r>
        <w:rPr>
          <w:rFonts w:ascii="方正楷体_GBK" w:eastAsia="方正楷体_GBK" w:cs="宋体"/>
          <w:kern w:val="0"/>
        </w:rPr>
        <w:t>（十七）法国发布2023年度食品标签数量标识检查报告。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"_Toc236754499"</w:instrText>
      </w:r>
      <w:r>
        <w:fldChar w:fldCharType="separate"/>
      </w:r>
      <w:r>
        <w:rPr>
          <w:rFonts w:ascii="方正楷体_GBK" w:eastAsia="方正楷体_GBK" w:cs="宋体"/>
          <w:kern w:val="0"/>
        </w:rPr>
        <w:t>（十八）卢森堡发布2024年食品中转基因生物监测报告。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"_Toc236754500"</w:instrText>
      </w:r>
      <w:r>
        <w:fldChar w:fldCharType="separate"/>
      </w:r>
      <w:r>
        <w:rPr>
          <w:rFonts w:ascii="方正楷体_GBK" w:eastAsia="方正楷体_GBK" w:cs="宋体"/>
          <w:kern w:val="0"/>
        </w:rPr>
        <w:t>（十九）卢森堡发布2024年食品中霉菌毒素监测报告。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"_Toc236754501"</w:instrText>
      </w:r>
      <w:r>
        <w:fldChar w:fldCharType="separate"/>
      </w:r>
      <w:r>
        <w:rPr>
          <w:rFonts w:ascii="方正楷体_GBK" w:eastAsia="方正楷体_GBK" w:cs="宋体"/>
          <w:kern w:val="0"/>
        </w:rPr>
        <w:t>（二十）卢森堡发布2024年食品中污染物年度报告。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"_Toc236754502"</w:instrText>
      </w:r>
      <w:r>
        <w:fldChar w:fldCharType="separate"/>
      </w:r>
      <w:r>
        <w:rPr>
          <w:rFonts w:ascii="方正楷体_GBK" w:eastAsia="方正楷体_GBK" w:cs="宋体"/>
          <w:kern w:val="0"/>
        </w:rPr>
        <w:t>（二十一）卢森堡发布婴幼儿谷物制品及食品法规。</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"_Toc236754503"</w:instrText>
      </w:r>
      <w:r>
        <w:fldChar w:fldCharType="separate"/>
      </w:r>
      <w:r>
        <w:rPr>
          <w:rFonts w:ascii="方正楷体_GBK" w:eastAsia="方正楷体_GBK" w:cs="宋体"/>
          <w:kern w:val="0"/>
        </w:rPr>
        <w:t>（二十二）商务部：延长对加拿大豌豆淀粉反倾销调查至明年2月。</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"_Toc236754504"</w:instrText>
      </w:r>
      <w:r>
        <w:fldChar w:fldCharType="separate"/>
      </w:r>
      <w:r>
        <w:rPr>
          <w:rFonts w:ascii="方正楷体_GBK" w:eastAsia="方正楷体_GBK" w:cs="宋体"/>
          <w:kern w:val="0"/>
        </w:rPr>
        <w:t>（二十三）加拿大正式将酒精饮料中氨基甲酸乙酯限量纳入法规清单。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"_Toc236754505"</w:instrText>
      </w:r>
      <w:r>
        <w:fldChar w:fldCharType="separate"/>
      </w:r>
      <w:r>
        <w:rPr>
          <w:rFonts w:ascii="方正楷体_GBK" w:eastAsia="方正楷体_GBK" w:cs="宋体"/>
          <w:kern w:val="0"/>
        </w:rPr>
        <w:t>（二十四）阿根廷修订食品法典。</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"_Toc236754506"</w:instrText>
      </w:r>
      <w:r>
        <w:fldChar w:fldCharType="separate"/>
      </w:r>
      <w:r>
        <w:rPr>
          <w:rFonts w:ascii="方正楷体_GBK" w:eastAsia="方正楷体_GBK" w:cs="宋体"/>
          <w:kern w:val="0"/>
        </w:rPr>
        <w:t>（二十五）日本发布对食品卫生法修订实施5年后的全面检讨总结报告。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"_Toc236754507"</w:instrText>
      </w:r>
      <w:r>
        <w:fldChar w:fldCharType="separate"/>
      </w:r>
      <w:r>
        <w:rPr>
          <w:rFonts w:ascii="方正楷体_GBK" w:eastAsia="方正楷体_GBK" w:cs="宋体"/>
          <w:kern w:val="0"/>
        </w:rPr>
        <w:t>（二十六）韩国新增他喷他多为禁止进口到韩国国内的海外食品等的原料成分。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"_Toc236754508"</w:instrText>
      </w:r>
      <w:r>
        <w:fldChar w:fldCharType="separate"/>
      </w:r>
      <w:r>
        <w:rPr>
          <w:rFonts w:ascii="方正楷体_GBK" w:eastAsia="方正楷体_GBK" w:cs="宋体"/>
          <w:kern w:val="0"/>
        </w:rPr>
        <w:t>（二十七）韩国新增異丙嗪等为禁止进口到韩国国内的海外食品等的原料成分。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"_Toc236754509"</w:instrText>
      </w:r>
      <w:r>
        <w:fldChar w:fldCharType="separate"/>
      </w:r>
      <w:r>
        <w:rPr>
          <w:rFonts w:ascii="方正楷体_GBK" w:eastAsia="方正楷体_GBK" w:cs="宋体"/>
          <w:kern w:val="0"/>
        </w:rPr>
        <w:t>（二十八）韩国发布2026年食品药品统计年报。</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"_Toc236754510"</w:instrText>
      </w:r>
      <w:r>
        <w:fldChar w:fldCharType="separate"/>
      </w:r>
      <w:r>
        <w:rPr>
          <w:rFonts w:ascii="方正楷体_GBK" w:eastAsia="方正楷体_GBK" w:cs="宋体"/>
          <w:kern w:val="0"/>
        </w:rPr>
        <w:t>（二十九）韩国修订食品标准和规范。</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"_Toc236754511"</w:instrText>
      </w:r>
      <w:r>
        <w:fldChar w:fldCharType="separate"/>
      </w:r>
      <w:r>
        <w:rPr>
          <w:rFonts w:ascii="方正楷体_GBK" w:eastAsia="方正楷体_GBK" w:cs="宋体"/>
          <w:kern w:val="0"/>
        </w:rPr>
        <w:t>（三十）越南公开征求食品安全法修订意见。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"_Toc236754512"</w:instrText>
      </w:r>
      <w:r>
        <w:fldChar w:fldCharType="separate"/>
      </w:r>
      <w:r>
        <w:rPr>
          <w:rFonts w:ascii="方正楷体_GBK" w:eastAsia="方正楷体_GBK" w:cs="宋体"/>
          <w:kern w:val="0"/>
        </w:rPr>
        <w:t>（三十一）中国香港公布2026年6月食物安全报告。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"_Toc236754513"</w:instrText>
      </w:r>
      <w:r>
        <w:fldChar w:fldCharType="separate"/>
      </w:r>
      <w:r>
        <w:rPr>
          <w:rFonts w:ascii="方正楷体_GBK" w:eastAsia="方正楷体_GBK" w:cs="宋体"/>
          <w:kern w:val="0"/>
        </w:rPr>
        <w:t>（三十二）中国澳门发布2026年第二季度食品安全监督常规抽检情況。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"_Toc236754514"</w:instrText>
      </w:r>
      <w:r>
        <w:fldChar w:fldCharType="separate"/>
      </w:r>
      <w:r>
        <w:rPr>
          <w:rFonts w:ascii="方正楷体_GBK" w:eastAsia="方正楷体_GBK" w:cs="宋体"/>
          <w:kern w:val="0"/>
        </w:rPr>
        <w:t>（三十三）绿豆糕等多项行业标准和地方标准发布。</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"_Toc236754515"</w:instrText>
      </w:r>
      <w:r>
        <w:fldChar w:fldCharType="separate"/>
      </w:r>
      <w:r>
        <w:rPr>
          <w:rFonts w:ascii="方正楷体_GBK" w:eastAsia="方正楷体_GBK" w:cs="宋体"/>
          <w:kern w:val="0"/>
        </w:rPr>
        <w:t>（三十四）冷冻饮品生产许可审查细则公开征求意见。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"_Toc236754516"</w:instrText>
      </w:r>
      <w:r>
        <w:fldChar w:fldCharType="separate"/>
      </w:r>
      <w:r>
        <w:rPr>
          <w:rFonts w:ascii="方正楷体_GBK" w:eastAsia="方正楷体_GBK" w:cs="宋体"/>
          <w:kern w:val="0"/>
        </w:rPr>
        <w:t>（三十五）水果制品生产许可审查细则公开征求意见。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"_Toc236754517"</w:instrText>
      </w:r>
      <w:r>
        <w:fldChar w:fldCharType="separate"/>
      </w:r>
      <w:r>
        <w:rPr>
          <w:rFonts w:ascii="方正楷体_GBK" w:eastAsia="方正楷体_GBK" w:cs="宋体"/>
          <w:kern w:val="0"/>
        </w:rPr>
        <w:t>（三十六）使用动物或植物原料的保健食品注册申报管理规定公开征求意见。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"_Toc236754518"</w:instrText>
      </w:r>
      <w:r>
        <w:fldChar w:fldCharType="separate"/>
      </w:r>
      <w:r>
        <w:rPr>
          <w:rFonts w:ascii="方正黑体_GBK" w:eastAsia="方正黑体_GBK" w:cs="宋体"/>
          <w:kern w:val="0"/>
        </w:rPr>
        <w:t>二、 进出口化妆品安全信息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"_Toc236754520"</w:instrText>
      </w:r>
      <w:r>
        <w:fldChar w:fldCharType="separate"/>
      </w:r>
      <w:r>
        <w:rPr>
          <w:rFonts w:ascii="方正楷体_GBK" w:eastAsia="方正楷体_GBK" w:cs="宋体"/>
          <w:kern w:val="0"/>
        </w:rPr>
        <w:t>（一）国家药监局发布化妆品注册备案有关事项的公告。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"_Toc236754521"</w:instrText>
      </w:r>
      <w:r>
        <w:fldChar w:fldCharType="separate"/>
      </w:r>
      <w:r>
        <w:rPr>
          <w:rFonts w:ascii="方正楷体_GBK" w:eastAsia="方正楷体_GBK" w:cs="宋体"/>
          <w:kern w:val="0"/>
        </w:rPr>
        <w:t>（二）口腔清洁护理液行业标准计划项目公开征求意见。</w:t>
      </w:r>
      <w:r>
        <w:fldChar w:fldCharType="end"/>
      </w:r>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cols w:num="1" w:space="720"/>
          <w:titlePg/>
          <w:docGrid w:type="linesAndChars" w:linePitch="286" w:charSpace="-1637"/>
        </w:sectPr>
      </w:pPr>
      <w:r>
        <w:rPr>
          <w:rStyle w:val="33"/>
          <w:rFonts w:ascii="Times New Roman" w:eastAsia="方正仿宋_GBK" w:hAnsi="Times New Roman" w:hint="eastAsia"/>
          <w:bCs w:val="0"/>
          <w:caps w:val="0"/>
          <w:smallCaps w:val="0"/>
        </w:rPr>
        <w:fldChar w:fldCharType="end"/>
      </w:r>
      <w:bookmarkStart w:id="1" w:name="_Toc380680048"/>
      <w:bookmarkStart w:id="2" w:name="_Toc380748631"/>
      <w:bookmarkStart w:id="3" w:name="_Toc381014220"/>
      <w:bookmarkStart w:id="4" w:name="_Toc381603250"/>
      <w:bookmarkStart w:id="5" w:name="_Toc381688430"/>
      <w:bookmarkStart w:id="6" w:name="_Toc381714594"/>
      <w:bookmarkStart w:id="7" w:name="_Toc381868041"/>
      <w:bookmarkStart w:id="8" w:name="_Toc382231490"/>
      <w:bookmarkStart w:id="9" w:name="_Toc382300350"/>
      <w:bookmarkStart w:id="10" w:name="_Toc382488250"/>
      <w:bookmarkStart w:id="11" w:name="_Toc382917929"/>
      <w:bookmarkStart w:id="12" w:name="_Toc382989805"/>
      <w:bookmarkStart w:id="13" w:name="_Toc383607961"/>
      <w:bookmarkStart w:id="14" w:name="_Toc383692749"/>
      <w:bookmarkStart w:id="15" w:name="_Toc383790255"/>
      <w:bookmarkStart w:id="16" w:name="_Toc384107750"/>
      <w:bookmarkStart w:id="17" w:name="_Toc384135045"/>
      <w:bookmarkStart w:id="18" w:name="_Toc384216879"/>
      <w:bookmarkStart w:id="19" w:name="_Toc384297032"/>
      <w:bookmarkStart w:id="20" w:name="_Toc384392435"/>
      <w:bookmarkStart w:id="21" w:name="_Toc386007250"/>
      <w:bookmarkStart w:id="22" w:name="_Toc386461011"/>
      <w:bookmarkStart w:id="23" w:name="_Toc387394066"/>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4" w:name="_Toc112669649"/>
      <w:bookmarkStart w:id="25" w:name="_Toc117169775"/>
      <w:bookmarkStart w:id="26" w:name="_Toc117169776"/>
      <w:bookmarkStart w:id="27" w:name="_Toc117169777"/>
      <w:bookmarkStart w:id="28" w:name="_Toc117169778"/>
      <w:bookmarkStart w:id="29" w:name="_Toc117169779"/>
      <w:bookmarkStart w:id="30" w:name="_Toc117169780"/>
      <w:bookmarkStart w:id="31" w:name="_Toc117169781"/>
      <w:bookmarkStart w:id="32" w:name="_Toc117169782"/>
      <w:bookmarkStart w:id="33" w:name="_Toc206758575"/>
      <w:bookmarkStart w:id="34" w:name="_Toc207104924"/>
      <w:bookmarkStart w:id="35" w:name="_Toc207869824"/>
      <w:bookmarkStart w:id="36" w:name="_Toc208834442"/>
      <w:bookmarkStart w:id="37" w:name="_Toc209601406"/>
      <w:bookmarkStart w:id="38" w:name="_Toc210997005"/>
      <w:bookmarkStart w:id="39" w:name="_Toc212104932"/>
      <w:bookmarkStart w:id="40" w:name="_Toc216345333"/>
      <w:bookmarkStart w:id="41" w:name="_Toc217294217"/>
      <w:bookmarkStart w:id="42" w:name="_Toc217560074"/>
      <w:bookmarkStart w:id="43" w:name="_Toc206668172"/>
      <w:bookmarkStart w:id="44" w:name="_Toc195267364"/>
      <w:bookmarkStart w:id="45" w:name="_Toc195604773"/>
      <w:bookmarkStart w:id="46" w:name="_Toc196727745"/>
      <w:bookmarkStart w:id="47" w:name="_Toc197604105"/>
      <w:bookmarkStart w:id="48" w:name="_Toc197945063"/>
      <w:bookmarkStart w:id="49" w:name="_Toc198900643"/>
      <w:bookmarkStart w:id="50" w:name="_Toc200355680"/>
      <w:bookmarkStart w:id="51" w:name="_Toc200617649"/>
      <w:bookmarkStart w:id="52" w:name="_Toc201742889"/>
      <w:bookmarkStart w:id="53" w:name="_Toc202249418"/>
      <w:bookmarkStart w:id="54" w:name="_Toc203045211"/>
      <w:bookmarkStart w:id="55" w:name="_Toc199929914"/>
      <w:bookmarkStart w:id="56" w:name="_Toc193106999"/>
      <w:bookmarkStart w:id="57" w:name="_Toc194315311"/>
      <w:bookmarkStart w:id="58" w:name="_Toc195003190"/>
      <w:bookmarkStart w:id="59" w:name="_Toc195486920"/>
      <w:bookmarkStart w:id="60" w:name="_Toc196214860"/>
      <w:bookmarkStart w:id="61" w:name="_Toc195267365"/>
      <w:bookmarkStart w:id="62" w:name="_Toc195604774"/>
      <w:bookmarkStart w:id="63" w:name="_Toc204255212"/>
      <w:bookmarkStart w:id="64" w:name="_Toc205211241"/>
      <w:bookmarkStart w:id="65" w:name="_Toc206758576"/>
      <w:bookmarkStart w:id="66" w:name="_Toc207869825"/>
      <w:bookmarkStart w:id="67" w:name="_Toc208834443"/>
      <w:bookmarkStart w:id="68" w:name="_Toc209601407"/>
      <w:bookmarkStart w:id="69" w:name="_Toc210899604"/>
      <w:bookmarkStart w:id="70" w:name="_Toc212636957"/>
      <w:bookmarkStart w:id="71" w:name="_Toc213060751"/>
      <w:bookmarkStart w:id="72" w:name="_Toc213316496"/>
      <w:bookmarkStart w:id="73" w:name="_Toc213751756"/>
      <w:bookmarkStart w:id="74" w:name="_Toc213932210"/>
      <w:bookmarkStart w:id="75" w:name="_Toc214962157"/>
      <w:bookmarkStart w:id="76" w:name="_Toc215567798"/>
      <w:bookmarkStart w:id="77" w:name="_Toc216085124"/>
      <w:bookmarkStart w:id="78" w:name="_Toc216345334"/>
      <w:bookmarkStart w:id="79" w:name="_Toc216871361"/>
      <w:bookmarkStart w:id="80" w:name="_Toc217294218"/>
      <w:bookmarkStart w:id="81" w:name="_Toc218498870"/>
      <w:bookmarkStart w:id="82" w:name="_Toc223551053"/>
      <w:bookmarkStart w:id="83" w:name="_Toc198299102"/>
      <w:bookmarkStart w:id="84" w:name="_Toc198720082"/>
      <w:bookmarkStart w:id="85" w:name="_Toc198900644"/>
      <w:bookmarkStart w:id="86" w:name="_Toc200707734"/>
      <w:bookmarkStart w:id="87" w:name="_Toc203045212"/>
      <w:bookmarkStart w:id="88" w:name="_Toc195851993"/>
      <w:bookmarkStart w:id="89" w:name="_Toc196388242"/>
      <w:bookmarkStart w:id="90" w:name="_Toc196727746"/>
      <w:bookmarkStart w:id="91" w:name="_Toc197430475"/>
      <w:bookmarkStart w:id="92" w:name="_Toc197604106"/>
      <w:bookmarkStart w:id="93" w:name="_Toc197945064"/>
      <w:bookmarkStart w:id="94" w:name="_Toc219885051"/>
      <w:bookmarkStart w:id="95" w:name="_Toc223551054"/>
      <w:bookmarkStart w:id="96" w:name="_Toc222871205"/>
      <w:bookmarkStart w:id="97" w:name="_Toc219714251"/>
      <w:bookmarkStart w:id="98" w:name="_Toc65499608"/>
      <w:bookmarkStart w:id="99" w:name="_Toc133950721"/>
      <w:bookmarkStart w:id="100" w:name="_Toc133778250"/>
      <w:bookmarkStart w:id="101" w:name="_Toc134037981"/>
      <w:bookmarkStart w:id="102" w:name="_Toc160794599"/>
      <w:bookmarkStart w:id="103" w:name="_Toc63606952"/>
      <w:bookmarkStart w:id="104" w:name="_Toc65486255"/>
      <w:bookmarkStart w:id="105" w:name="_Toc207708249"/>
      <w:bookmarkStart w:id="106" w:name="_Toc23675448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方正黑体_GBK" w:eastAsia="方正黑体_GBK" w:cs="宋体" w:hint="eastAsia"/>
          <w:b w:val="0"/>
          <w:kern w:val="0"/>
          <w:sz w:val="32"/>
          <w:szCs w:val="32"/>
        </w:rPr>
        <w:t>进出口食品安全信息</w:t>
      </w:r>
      <w:bookmarkEnd w:id="106"/>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7" w:name="_Toc235747108"/>
      <w:bookmarkStart w:id="108" w:name="_Toc235745237"/>
      <w:bookmarkStart w:id="109" w:name="_Toc235691919"/>
      <w:bookmarkStart w:id="110" w:name="_Toc235092658"/>
      <w:bookmarkStart w:id="111" w:name="_Toc234484644"/>
      <w:bookmarkStart w:id="112" w:name="_Toc233887153"/>
      <w:bookmarkStart w:id="113" w:name="_Toc233887151"/>
      <w:bookmarkStart w:id="114" w:name="_Toc232683647"/>
      <w:bookmarkStart w:id="115" w:name="_Toc232594359"/>
      <w:bookmarkStart w:id="116" w:name="_Toc230766828"/>
      <w:bookmarkStart w:id="117" w:name="_Toc230137389"/>
      <w:bookmarkStart w:id="118" w:name="_Toc228352392"/>
      <w:bookmarkStart w:id="119" w:name="_Toc227718102"/>
      <w:bookmarkStart w:id="120" w:name="_Toc227143197"/>
      <w:bookmarkStart w:id="121" w:name="_Toc226636823"/>
      <w:bookmarkStart w:id="122" w:name="_Toc228267846"/>
      <w:bookmarkStart w:id="123" w:name="_Toc227921436"/>
      <w:bookmarkStart w:id="124" w:name="_Toc225296114"/>
      <w:bookmarkStart w:id="125" w:name="_Toc224554043"/>
      <w:bookmarkStart w:id="126" w:name="_Toc224780225"/>
      <w:bookmarkStart w:id="127" w:name="_Toc225845270"/>
      <w:bookmarkStart w:id="128" w:name="_Toc225498386"/>
      <w:bookmarkStart w:id="129" w:name="_Toc225410571"/>
      <w:bookmarkStart w:id="130" w:name="_Toc226029316"/>
      <w:bookmarkStart w:id="131" w:name="_Toc225930327"/>
      <w:bookmarkStart w:id="132" w:name="_Toc229040525"/>
      <w:bookmarkStart w:id="133" w:name="_Toc229734319"/>
      <w:bookmarkStart w:id="134" w:name="_Toc229646216"/>
      <w:bookmarkStart w:id="135" w:name="_Toc230552600"/>
      <w:bookmarkStart w:id="136" w:name="_Toc230336185"/>
      <w:bookmarkStart w:id="137" w:name="_Toc231384719"/>
      <w:bookmarkStart w:id="138" w:name="_Toc232070246"/>
      <w:bookmarkStart w:id="139" w:name="_Toc232510769"/>
      <w:bookmarkStart w:id="140" w:name="_Toc233288804"/>
      <w:bookmarkStart w:id="141" w:name="_Toc234835482"/>
      <w:bookmarkStart w:id="142" w:name="_Toc235485429"/>
      <w:bookmarkStart w:id="143" w:name="_Toc223500555"/>
      <w:bookmarkStart w:id="144" w:name="_Toc224031093"/>
      <w:bookmarkStart w:id="145" w:name="_Toc224207043"/>
      <w:bookmarkStart w:id="146" w:name="_Toc224291269"/>
      <w:bookmarkStart w:id="147" w:name="_Toc236307804"/>
      <w:bookmarkStart w:id="148" w:name="_Toc236668285"/>
      <w:bookmarkStart w:id="149" w:name="_Toc23675448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Fonts w:ascii="方正楷体_GBK" w:eastAsia="方正楷体_GBK" w:cs="宋体" w:hint="eastAsia"/>
          <w:bCs w:val="0"/>
          <w:kern w:val="0"/>
          <w:sz w:val="32"/>
          <w:szCs w:val="32"/>
        </w:rPr>
        <w:t>联合国发布2026年世界粮食安全和营养状况。</w:t>
      </w:r>
      <w:bookmarkEnd w:id="148"/>
      <w:bookmarkEnd w:id="149"/>
    </w:p>
    <w:p>
      <w:pPr>
        <w:overflowPunct w:val="0"/>
        <w:ind w:firstLineChars="200" w:firstLine="624"/>
        <w:rPr>
          <w:rFonts w:eastAsia="方正仿宋_GBK"/>
          <w:kern w:val="0"/>
          <w:sz w:val="32"/>
          <w:szCs w:val="32"/>
        </w:rPr>
      </w:pPr>
      <w:r>
        <w:rPr>
          <w:rFonts w:eastAsia="方正仿宋_GBK" w:hint="eastAsia"/>
          <w:kern w:val="0"/>
          <w:sz w:val="32"/>
          <w:szCs w:val="32"/>
        </w:rPr>
        <w:t>2026年7月21日，联合国粮农组织、农发基金、儿基会、粮食署和世卫组织联合发布《2026年世界粮食安全和营养状况》报告，主要内容包括：（1）2025年全球约7.8%的人口遭受饥饿困扰，低于2024年的8.1%和2022年的8.6%，形势总体向好，但各区域的进展情况参差不齐，非洲超过半数人口（56.6%）面临中度或重度粮食不安全，亚洲为20.3%，拉丁美洲及加勒比为22.9%，北美和欧洲为8.7%；（2）全球营养目标进展缓慢，距离包括2030年营养目标在内的各项国际承诺仍有不小差距，6至23个月龄婴幼儿中，仅30.8%能摄入最低限度多样化膳食；5岁以下儿童中，至今仍有1.5亿人发育迟缓；（3）在健康膳食成本结构中，动物源性食品、水果和蔬菜占了大头，而淀粉类主食占比相对较低，例如，在非洲，动物源性食品是推高健康膳食成本的最大因素；而在拉丁美洲及加勒比区域，蔬菜则是最大的开支项。要想降低健康膳食的成本，要扩大营养食物的供给，压减农业粮食价值链各环节的结构性成本，具体就是既要加大对基础设施、研发创新、灌溉系统和冷链物流的投入，又要推进补贴机制、贸易便利化和监管框架等方面的改革。</w:t>
      </w:r>
    </w:p>
    <w:p>
      <w:pPr>
        <w:overflowPunct w:val="0"/>
        <w:ind w:firstLineChars="200" w:firstLine="624"/>
        <w:rPr>
          <w:rFonts w:eastAsia="方正仿宋_GBK"/>
          <w:kern w:val="0"/>
          <w:sz w:val="32"/>
          <w:szCs w:val="32"/>
        </w:rPr>
      </w:pPr>
      <w:r>
        <w:rPr>
          <w:rFonts w:eastAsia="方正仿宋_GBK"/>
          <w:kern w:val="0"/>
          <w:sz w:val="32"/>
          <w:szCs w:val="32"/>
        </w:rPr>
        <w:t>https://www.fao.org/publications/fao-flagship-publications/the-state-of-food-security-and-nutrition-in-the-world/zh</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0" w:name="_Toc236668286"/>
      <w:bookmarkStart w:id="151" w:name="_Toc236754483"/>
      <w:r>
        <w:rPr>
          <w:rFonts w:ascii="方正楷体_GBK" w:eastAsia="方正楷体_GBK" w:cs="宋体" w:hint="eastAsia"/>
          <w:bCs w:val="0"/>
          <w:kern w:val="0"/>
          <w:sz w:val="32"/>
          <w:szCs w:val="32"/>
        </w:rPr>
        <w:t>美国制订部分食品中氯菊酯的最大残留限量。</w:t>
      </w:r>
      <w:bookmarkEnd w:id="150"/>
      <w:bookmarkEnd w:id="151"/>
    </w:p>
    <w:p>
      <w:pPr>
        <w:overflowPunct w:val="0"/>
        <w:ind w:firstLineChars="200" w:firstLine="624"/>
        <w:rPr>
          <w:rFonts w:eastAsia="方正仿宋_GBK"/>
          <w:kern w:val="0"/>
          <w:sz w:val="32"/>
          <w:szCs w:val="32"/>
        </w:rPr>
      </w:pPr>
      <w:r>
        <w:rPr>
          <w:rFonts w:eastAsia="方正仿宋_GBK" w:hint="eastAsia"/>
          <w:kern w:val="0"/>
          <w:sz w:val="32"/>
          <w:szCs w:val="32"/>
        </w:rPr>
        <w:t>美国联邦公报2026年7月31日消息，美国环保署（EPA）发布2026-15634号公告，将黑胡椒中氯菊酯（Permethrin）的最大残留限量制订为0.1mg/kg。该公告将在2026年8月3日的联邦公报上正式发布，并自发布之日起生效，如有意见应于60日内反馈。</w:t>
      </w:r>
    </w:p>
    <w:p>
      <w:pPr>
        <w:overflowPunct w:val="0"/>
        <w:ind w:firstLineChars="200" w:firstLine="624"/>
        <w:rPr>
          <w:rFonts w:eastAsia="方正仿宋_GBK"/>
          <w:kern w:val="0"/>
          <w:sz w:val="32"/>
          <w:szCs w:val="32"/>
        </w:rPr>
      </w:pPr>
      <w:r>
        <w:rPr>
          <w:rFonts w:eastAsia="方正仿宋_GBK"/>
          <w:kern w:val="0"/>
          <w:sz w:val="32"/>
          <w:szCs w:val="32"/>
        </w:rPr>
        <w:t>https://public-inspection.federalregister.gov/2026-15634.pdf</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2" w:name="_Toc236754484"/>
      <w:r>
        <w:rPr>
          <w:rFonts w:ascii="方正楷体_GBK" w:eastAsia="方正楷体_GBK" w:cs="宋体" w:hint="eastAsia"/>
          <w:bCs w:val="0"/>
          <w:kern w:val="0"/>
          <w:sz w:val="32"/>
          <w:szCs w:val="32"/>
        </w:rPr>
        <w:t>美国制订部分食品中氟嘧草啶的最大残留限量。</w:t>
      </w:r>
      <w:bookmarkEnd w:id="147"/>
      <w:bookmarkEnd w:id="152"/>
    </w:p>
    <w:p>
      <w:pPr>
        <w:overflowPunct w:val="0"/>
        <w:ind w:firstLineChars="200" w:firstLine="624"/>
        <w:rPr>
          <w:rFonts w:eastAsia="方正仿宋_GBK"/>
          <w:kern w:val="0"/>
          <w:sz w:val="32"/>
          <w:szCs w:val="32"/>
        </w:rPr>
      </w:pPr>
      <w:r>
        <w:rPr>
          <w:rFonts w:eastAsia="方正仿宋_GBK" w:hint="eastAsia"/>
          <w:kern w:val="0"/>
          <w:sz w:val="32"/>
          <w:szCs w:val="32"/>
        </w:rPr>
        <w:t>美国联邦公报2026年7月27日消息，美国环保署（EPA）发布2026-15191号公告，将油菜籽中</w:t>
      </w:r>
      <w:r>
        <w:rPr>
          <w:rFonts w:eastAsia="方正仿宋_GBK"/>
          <w:kern w:val="0"/>
          <w:sz w:val="32"/>
          <w:szCs w:val="32"/>
        </w:rPr>
        <w:t>氟嘧草啶（Epyrifenacil）</w:t>
      </w:r>
      <w:r>
        <w:rPr>
          <w:rFonts w:eastAsia="方正仿宋_GBK" w:hint="eastAsia"/>
          <w:kern w:val="0"/>
          <w:sz w:val="32"/>
          <w:szCs w:val="32"/>
        </w:rPr>
        <w:t>的最大残留限量制订为0.005mg/kg。该公告将在2026年7月28日的联邦公报上正式发布，并自发布之日起生效，如有意见应于60日内反馈。</w:t>
      </w:r>
    </w:p>
    <w:p>
      <w:pPr>
        <w:overflowPunct w:val="0"/>
        <w:ind w:firstLineChars="200" w:firstLine="624"/>
        <w:rPr>
          <w:rFonts w:eastAsia="方正仿宋_GBK"/>
          <w:kern w:val="0"/>
          <w:sz w:val="32"/>
          <w:szCs w:val="32"/>
        </w:rPr>
      </w:pPr>
      <w:r>
        <w:rPr>
          <w:rFonts w:eastAsia="方正仿宋_GBK"/>
          <w:kern w:val="0"/>
          <w:sz w:val="32"/>
          <w:szCs w:val="32"/>
        </w:rPr>
        <w:t>https://public-inspection.federalregister.gov/2026-15191.pdf</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3" w:name="_Toc236307805"/>
      <w:bookmarkStart w:id="154" w:name="_Toc236668287"/>
      <w:bookmarkStart w:id="155" w:name="_Toc236754485"/>
      <w:r>
        <w:rPr>
          <w:rFonts w:ascii="方正楷体_GBK" w:eastAsia="方正楷体_GBK" w:cs="宋体" w:hint="eastAsia"/>
          <w:bCs w:val="0"/>
          <w:kern w:val="0"/>
          <w:sz w:val="32"/>
          <w:szCs w:val="32"/>
        </w:rPr>
        <w:t>欧盟制订婴幼儿加工谷基食品和婴儿食品中呋喃、2-甲基呋喃和3-甲基呋喃总和的最大限量。</w:t>
      </w:r>
      <w:bookmarkEnd w:id="154"/>
      <w:bookmarkEnd w:id="155"/>
    </w:p>
    <w:p>
      <w:pPr>
        <w:overflowPunct w:val="0"/>
        <w:ind w:firstLineChars="200" w:firstLine="624"/>
        <w:rPr>
          <w:rFonts w:eastAsia="方正仿宋_GBK"/>
          <w:kern w:val="0"/>
          <w:sz w:val="32"/>
          <w:szCs w:val="32"/>
        </w:rPr>
      </w:pPr>
      <w:r>
        <w:rPr>
          <w:rFonts w:eastAsia="方正仿宋_GBK" w:hint="eastAsia"/>
          <w:kern w:val="0"/>
          <w:sz w:val="32"/>
          <w:szCs w:val="32"/>
        </w:rPr>
        <w:t>2026年7月30日，欧盟官方公报发布 （EU） 2026/1890号条例，修订（EU） 2023/915条例，制</w:t>
      </w:r>
      <w:r>
        <w:rPr>
          <w:rFonts w:eastAsia="方正仿宋_GBK"/>
          <w:kern w:val="0"/>
          <w:sz w:val="32"/>
          <w:szCs w:val="32"/>
        </w:rPr>
        <w:t>订</w:t>
      </w:r>
      <w:r>
        <w:rPr>
          <w:rFonts w:eastAsia="方正仿宋_GBK" w:hint="eastAsia"/>
          <w:kern w:val="0"/>
          <w:sz w:val="32"/>
          <w:szCs w:val="32"/>
        </w:rPr>
        <w:t>关于婴幼儿加工谷基食品和婴儿食品中呋喃、2-甲基呋喃和3-甲基呋喃总和的最大限量，详见下表。自公告后第20天生效，自2028年1月1日起适用，具有完整约束力，并直接适用于所有成员国。</w:t>
      </w:r>
    </w:p>
    <w:tbl>
      <w:tblPr>
        <w:jc w:val="center"/>
        <w:tblW w:w="8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94"/>
        <w:gridCol w:w="3325"/>
        <w:gridCol w:w="1318"/>
        <w:gridCol w:w="3436"/>
      </w:tblGrid>
      <w:tr>
        <w:trPr>
          <w:trHeight w:val="151"/>
          <w:tblHeader/>
        </w:trPr>
        <w:tc>
          <w:tcPr>
            <w:tcW w:w="89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5.6</w:t>
            </w:r>
          </w:p>
        </w:tc>
        <w:tc>
          <w:tcPr>
            <w:tcW w:w="3325"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呋喃、2-甲基呋喃和3-甲基呋喃的总和（以呋喃计）</w:t>
            </w:r>
          </w:p>
        </w:tc>
        <w:tc>
          <w:tcPr>
            <w:tcW w:w="131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最大限量（μg/kg）</w:t>
            </w:r>
          </w:p>
        </w:tc>
        <w:tc>
          <w:tcPr>
            <w:tcW w:w="343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备注</w:t>
            </w:r>
          </w:p>
        </w:tc>
      </w:tr>
      <w:tr>
        <w:trPr>
          <w:trHeight w:val="151"/>
          <w:tblHeader/>
        </w:trPr>
        <w:tc>
          <w:tcPr>
            <w:tcW w:w="89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p>
        </w:tc>
        <w:tc>
          <w:tcPr>
            <w:tcW w:w="332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p>
        </w:tc>
        <w:tc>
          <w:tcPr>
            <w:tcW w:w="13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p>
        </w:tc>
        <w:tc>
          <w:tcPr>
            <w:tcW w:w="34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对于呋喃、2-甲基呋喃和3-甲基呋喃的总和（以呋喃计），最大限量指下限浓度，其计算基于所有低于定量限的值均为零的假设。 对2-甲基呋喃和3-甲基呋喃的水平应用系数0.83，最大限量指呋喃 + 0.83 × 2-甲基呋喃 + 0.83 × 3-甲基呋喃的总和</w:t>
            </w:r>
          </w:p>
        </w:tc>
      </w:tr>
      <w:tr>
        <w:trPr>
          <w:trHeight w:val="151"/>
          <w:tblHeader/>
        </w:trPr>
        <w:tc>
          <w:tcPr>
            <w:tcW w:w="89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5.6.1</w:t>
            </w:r>
          </w:p>
        </w:tc>
        <w:tc>
          <w:tcPr>
            <w:tcW w:w="332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婴幼儿加工谷基食品</w:t>
            </w:r>
          </w:p>
        </w:tc>
        <w:tc>
          <w:tcPr>
            <w:tcW w:w="13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40</w:t>
            </w:r>
          </w:p>
        </w:tc>
        <w:tc>
          <w:tcPr>
            <w:tcW w:w="34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p>
        </w:tc>
      </w:tr>
      <w:tr>
        <w:trPr>
          <w:trHeight w:val="151"/>
          <w:tblHeader/>
        </w:trPr>
        <w:tc>
          <w:tcPr>
            <w:tcW w:w="89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5.6.2</w:t>
            </w:r>
          </w:p>
        </w:tc>
        <w:tc>
          <w:tcPr>
            <w:tcW w:w="332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婴儿食品</w:t>
            </w:r>
          </w:p>
        </w:tc>
        <w:tc>
          <w:tcPr>
            <w:tcW w:w="13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p>
        </w:tc>
        <w:tc>
          <w:tcPr>
            <w:tcW w:w="34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p>
        </w:tc>
      </w:tr>
      <w:tr>
        <w:trPr>
          <w:trHeight w:val="151"/>
          <w:tblHeader/>
        </w:trPr>
        <w:tc>
          <w:tcPr>
            <w:tcW w:w="89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5.6.2.1</w:t>
            </w:r>
          </w:p>
        </w:tc>
        <w:tc>
          <w:tcPr>
            <w:tcW w:w="332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乳基和水果基婴儿食品</w:t>
            </w:r>
          </w:p>
          <w:p>
            <w:pPr>
              <w:widowControl w:val="0"/>
              <w:suppressAutoHyphens/>
              <w:overflowPunct w:val="0"/>
              <w:snapToGrid w:val="0"/>
              <w:spacing w:line="400" w:lineRule="exact"/>
              <w:jc w:val="center"/>
              <w:rPr>
                <w:rFonts w:eastAsia="方正仿宋_GBK"/>
                <w:sz w:val="24"/>
              </w:rPr>
            </w:pPr>
            <w:r>
              <w:rPr>
                <w:rFonts w:eastAsia="方正仿宋_GBK"/>
                <w:sz w:val="24"/>
              </w:rPr>
              <w:t>由乳和水果混合物组成的婴儿食品</w:t>
            </w:r>
          </w:p>
        </w:tc>
        <w:tc>
          <w:tcPr>
            <w:tcW w:w="13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30</w:t>
            </w:r>
          </w:p>
        </w:tc>
        <w:tc>
          <w:tcPr>
            <w:tcW w:w="34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该最大限量适用于含有至少80%乳、水果或乳和水果混合物的婴儿食品</w:t>
            </w:r>
          </w:p>
        </w:tc>
      </w:tr>
      <w:tr>
        <w:trPr>
          <w:trHeight w:val="151"/>
          <w:tblHeader/>
        </w:trPr>
        <w:tc>
          <w:tcPr>
            <w:tcW w:w="89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5.6.2.2</w:t>
            </w:r>
          </w:p>
        </w:tc>
        <w:tc>
          <w:tcPr>
            <w:tcW w:w="332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其他婴儿食品</w:t>
            </w:r>
          </w:p>
        </w:tc>
        <w:tc>
          <w:tcPr>
            <w:tcW w:w="13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80</w:t>
            </w:r>
          </w:p>
        </w:tc>
        <w:tc>
          <w:tcPr>
            <w:tcW w:w="34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sd </w:t>
            </w:r>
          </w:p>
        </w:tc>
      </w:tr>
    </w:tbl>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https://eur-lex.europa.eu/legal-content/EN/TXT/?uri=OJ:L_202601890</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6" w:name="_Toc236668288"/>
      <w:bookmarkStart w:id="157" w:name="_Toc236754486"/>
      <w:r>
        <w:rPr>
          <w:rFonts w:ascii="方正楷体_GBK" w:eastAsia="方正楷体_GBK" w:cs="宋体" w:hint="eastAsia"/>
          <w:bCs w:val="0"/>
          <w:kern w:val="0"/>
          <w:sz w:val="32"/>
          <w:szCs w:val="32"/>
        </w:rPr>
        <w:t>欧盟制修订部分食品中3-单氯丙二醇和缩水甘油脂肪酸酯的最大含量。</w:t>
      </w:r>
      <w:bookmarkEnd w:id="156"/>
      <w:bookmarkEnd w:id="157"/>
    </w:p>
    <w:p>
      <w:pPr>
        <w:overflowPunct w:val="0"/>
        <w:ind w:firstLineChars="200" w:firstLine="624"/>
        <w:rPr>
          <w:rFonts w:eastAsia="方正仿宋_GBK"/>
          <w:kern w:val="0"/>
          <w:sz w:val="32"/>
          <w:szCs w:val="32"/>
        </w:rPr>
      </w:pPr>
      <w:r>
        <w:rPr>
          <w:rFonts w:eastAsia="方正仿宋_GBK" w:hint="eastAsia"/>
          <w:kern w:val="0"/>
          <w:sz w:val="32"/>
          <w:szCs w:val="32"/>
        </w:rPr>
        <w:t>2026年7月30日，欧盟官方公报发布</w:t>
      </w:r>
      <w:r>
        <w:rPr>
          <w:rFonts w:eastAsia="方正仿宋_GBK"/>
          <w:kern w:val="0"/>
          <w:sz w:val="32"/>
          <w:szCs w:val="32"/>
        </w:rPr>
        <w:t>（EU） 2026/1825</w:t>
      </w:r>
      <w:r>
        <w:rPr>
          <w:rFonts w:eastAsia="方正仿宋_GBK" w:hint="eastAsia"/>
          <w:kern w:val="0"/>
          <w:sz w:val="32"/>
          <w:szCs w:val="32"/>
        </w:rPr>
        <w:t>号条例，修订</w:t>
      </w:r>
      <w:r>
        <w:rPr>
          <w:rFonts w:eastAsia="方正仿宋_GBK"/>
          <w:kern w:val="0"/>
          <w:sz w:val="32"/>
          <w:szCs w:val="32"/>
        </w:rPr>
        <w:t>（EU） 2023/915号</w:t>
      </w:r>
      <w:r>
        <w:rPr>
          <w:rFonts w:eastAsia="方正仿宋_GBK" w:hint="eastAsia"/>
          <w:kern w:val="0"/>
          <w:sz w:val="32"/>
          <w:szCs w:val="32"/>
        </w:rPr>
        <w:t>条例</w:t>
      </w:r>
      <w:r>
        <w:rPr>
          <w:rFonts w:eastAsia="方正仿宋_GBK"/>
          <w:kern w:val="0"/>
          <w:sz w:val="32"/>
          <w:szCs w:val="32"/>
        </w:rPr>
        <w:t>。</w:t>
      </w:r>
      <w:r>
        <w:rPr>
          <w:rFonts w:eastAsia="方正仿宋_GBK" w:hint="eastAsia"/>
          <w:kern w:val="0"/>
          <w:sz w:val="32"/>
          <w:szCs w:val="32"/>
        </w:rPr>
        <w:t>主要</w:t>
      </w:r>
      <w:r>
        <w:rPr>
          <w:rFonts w:eastAsia="方正仿宋_GBK"/>
          <w:kern w:val="0"/>
          <w:sz w:val="32"/>
          <w:szCs w:val="32"/>
        </w:rPr>
        <w:t>修订内容为：制修订部分食品中3-单氯丙二醇 （3-MCPD）、</w:t>
      </w:r>
      <w:r>
        <w:rPr>
          <w:rFonts w:eastAsia="方正仿宋_GBK" w:hint="eastAsia"/>
          <w:kern w:val="0"/>
          <w:sz w:val="32"/>
          <w:szCs w:val="32"/>
        </w:rPr>
        <w:t>缩水甘油脂肪酸酯</w:t>
      </w:r>
      <w:r>
        <w:rPr>
          <w:rFonts w:eastAsia="方正仿宋_GBK"/>
          <w:kern w:val="0"/>
          <w:sz w:val="32"/>
          <w:szCs w:val="32"/>
        </w:rPr>
        <w:t>的最大含量，具体内容如下表所示。 </w:t>
      </w:r>
      <w:r>
        <w:rPr>
          <w:rFonts w:eastAsia="方正仿宋_GBK" w:hint="eastAsia"/>
          <w:kern w:val="0"/>
          <w:sz w:val="32"/>
          <w:szCs w:val="32"/>
        </w:rPr>
        <w:t>该法规自欧盟官方公报发布</w:t>
      </w:r>
      <w:r>
        <w:rPr>
          <w:rFonts w:eastAsia="方正仿宋_GBK"/>
          <w:kern w:val="0"/>
          <w:sz w:val="32"/>
          <w:szCs w:val="32"/>
        </w:rPr>
        <w:t>20</w:t>
      </w:r>
      <w:r>
        <w:rPr>
          <w:rFonts w:eastAsia="方正仿宋_GBK" w:hint="eastAsia"/>
          <w:kern w:val="0"/>
          <w:sz w:val="32"/>
          <w:szCs w:val="32"/>
        </w:rPr>
        <w:t>日后生效。</w:t>
      </w:r>
    </w:p>
    <w:tbl>
      <w:tblPr>
        <w:jc w:val="cente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672"/>
        <w:gridCol w:w="2547"/>
        <w:gridCol w:w="2131"/>
        <w:gridCol w:w="1980"/>
      </w:tblGrid>
      <w:tr>
        <w:trPr>
          <w:trHeight w:val="151"/>
          <w:tblHeader/>
        </w:trPr>
        <w:tc>
          <w:tcPr>
            <w:tcW w:w="167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污染物名称</w:t>
            </w:r>
          </w:p>
        </w:tc>
        <w:tc>
          <w:tcPr>
            <w:tcW w:w="2547"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食品种类</w:t>
            </w:r>
          </w:p>
        </w:tc>
        <w:tc>
          <w:tcPr>
            <w:tcW w:w="2131"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原最大残留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μg/kg</w:t>
            </w:r>
            <w:r>
              <w:rPr>
                <w:rFonts w:eastAsia="方正仿宋_GBK" w:hint="eastAsia"/>
                <w:b/>
                <w:bCs/>
                <w:sz w:val="24"/>
              </w:rPr>
              <w:t>）</w:t>
            </w:r>
          </w:p>
        </w:tc>
        <w:tc>
          <w:tcPr>
            <w:tcW w:w="198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制修订的最大残留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μg/kg</w:t>
            </w:r>
            <w:r>
              <w:rPr>
                <w:rFonts w:eastAsia="方正仿宋_GBK" w:hint="eastAsia"/>
                <w:b/>
                <w:bCs/>
                <w:sz w:val="24"/>
              </w:rPr>
              <w:t>）</w:t>
            </w:r>
          </w:p>
        </w:tc>
      </w:tr>
      <w:tr>
        <w:trPr>
          <w:trHeight w:val="151"/>
          <w:tblHeader/>
        </w:trPr>
        <w:tc>
          <w:tcPr>
            <w:tcW w:w="1672"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3-单氯丙二醇 （3-MCPD）</w:t>
            </w:r>
          </w:p>
        </w:tc>
        <w:tc>
          <w:tcPr>
            <w:tcW w:w="254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婴儿配方奶粉</w:t>
            </w:r>
          </w:p>
        </w:tc>
        <w:tc>
          <w:tcPr>
            <w:tcW w:w="213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125</w:t>
            </w:r>
          </w:p>
        </w:tc>
        <w:tc>
          <w:tcPr>
            <w:tcW w:w="198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80</w:t>
            </w:r>
          </w:p>
        </w:tc>
      </w:tr>
      <w:tr>
        <w:trPr>
          <w:trHeight w:val="151"/>
          <w:tblHeader/>
        </w:trPr>
        <w:tc>
          <w:tcPr>
            <w:tcW w:w="1672" w:type="dxa"/>
            <w:vMerge/>
            <w:tcBorders>
              <w:left w:val="single" w:sz="4" w:space="0" w:color="auto"/>
              <w:right w:val="single" w:sz="4" w:space="0" w:color="auto"/>
            </w:tcBorders>
            <w:vAlign w:val="center"/>
          </w:tcPr>
          <w:p/>
        </w:tc>
        <w:tc>
          <w:tcPr>
            <w:tcW w:w="254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婴儿配方奶粉以液体形式投放市场</w:t>
            </w:r>
          </w:p>
        </w:tc>
        <w:tc>
          <w:tcPr>
            <w:tcW w:w="213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w:t>
            </w:r>
          </w:p>
        </w:tc>
        <w:tc>
          <w:tcPr>
            <w:tcW w:w="198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12</w:t>
            </w:r>
          </w:p>
        </w:tc>
      </w:tr>
      <w:tr>
        <w:trPr>
          <w:trHeight w:val="151"/>
          <w:tblHeader/>
        </w:trPr>
        <w:tc>
          <w:tcPr>
            <w:tcW w:w="1672" w:type="dxa"/>
            <w:vMerge/>
            <w:tcBorders>
              <w:left w:val="single" w:sz="4" w:space="0" w:color="auto"/>
              <w:right w:val="single" w:sz="4" w:space="0" w:color="auto"/>
            </w:tcBorders>
            <w:vAlign w:val="center"/>
          </w:tcPr>
          <w:p/>
        </w:tc>
        <w:tc>
          <w:tcPr>
            <w:tcW w:w="254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婴幼儿加工谷物食品</w:t>
            </w:r>
          </w:p>
        </w:tc>
        <w:tc>
          <w:tcPr>
            <w:tcW w:w="213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8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50</w:t>
            </w:r>
          </w:p>
        </w:tc>
      </w:tr>
      <w:tr>
        <w:trPr>
          <w:trHeight w:val="151"/>
          <w:tblHeader/>
        </w:trPr>
        <w:tc>
          <w:tcPr>
            <w:tcW w:w="1672" w:type="dxa"/>
            <w:vMerge/>
            <w:tcBorders>
              <w:left w:val="single" w:sz="4" w:space="0" w:color="auto"/>
              <w:bottom w:val="single" w:sz="4" w:space="0" w:color="auto"/>
              <w:right w:val="single" w:sz="4" w:space="0" w:color="auto"/>
            </w:tcBorders>
            <w:vAlign w:val="center"/>
          </w:tcPr>
          <w:p/>
        </w:tc>
        <w:tc>
          <w:tcPr>
            <w:tcW w:w="254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仅含有其他植物油和脂肪，鱼油的油脂和脂肪</w:t>
            </w:r>
          </w:p>
        </w:tc>
        <w:tc>
          <w:tcPr>
            <w:tcW w:w="213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8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1250</w:t>
            </w:r>
          </w:p>
        </w:tc>
      </w:tr>
      <w:tr>
        <w:trPr>
          <w:trHeight w:val="151"/>
          <w:tblHeader/>
        </w:trPr>
        <w:tc>
          <w:tcPr>
            <w:tcW w:w="1672"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缩水甘油脂肪酸酯</w:t>
            </w:r>
          </w:p>
        </w:tc>
        <w:tc>
          <w:tcPr>
            <w:tcW w:w="254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婴幼儿加工谷物食品</w:t>
            </w:r>
          </w:p>
        </w:tc>
        <w:tc>
          <w:tcPr>
            <w:tcW w:w="213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8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25</w:t>
            </w:r>
          </w:p>
        </w:tc>
      </w:tr>
      <w:tr>
        <w:trPr>
          <w:trHeight w:val="151"/>
          <w:tblHeader/>
        </w:trPr>
        <w:tc>
          <w:tcPr>
            <w:tcW w:w="1672" w:type="dxa"/>
            <w:vMerge/>
            <w:tcBorders>
              <w:left w:val="single" w:sz="4" w:space="0" w:color="auto"/>
              <w:bottom w:val="single" w:sz="4" w:space="0" w:color="auto"/>
              <w:right w:val="single" w:sz="4" w:space="0" w:color="auto"/>
            </w:tcBorders>
            <w:vAlign w:val="center"/>
          </w:tcPr>
          <w:p/>
        </w:tc>
        <w:tc>
          <w:tcPr>
            <w:tcW w:w="254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复合食品，脂肪含量超过 5%，并添加了植物油和脂肪和/或鱼油和/或来自其他海洋生物的油，但 5.4.3 和 5.4.4 中列出的产品除外</w:t>
            </w:r>
          </w:p>
        </w:tc>
        <w:tc>
          <w:tcPr>
            <w:tcW w:w="213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8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1 000  </w:t>
            </w:r>
          </w:p>
        </w:tc>
      </w:tr>
    </w:tbl>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https://eur-lex.europa.eu/legal-content/EN/TXT/?uri=OJ:L_202601825</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8" w:name="_Toc236668289"/>
      <w:bookmarkStart w:id="159" w:name="_Toc236754487"/>
      <w:r>
        <w:rPr>
          <w:rFonts w:ascii="方正楷体_GBK" w:eastAsia="方正楷体_GBK" w:cs="宋体" w:hint="eastAsia"/>
          <w:bCs w:val="0"/>
          <w:kern w:val="0"/>
          <w:sz w:val="32"/>
          <w:szCs w:val="32"/>
        </w:rPr>
        <w:t>欧盟修订肉与肉制品名称相关法规。</w:t>
      </w:r>
      <w:bookmarkEnd w:id="158"/>
      <w:bookmarkEnd w:id="159"/>
    </w:p>
    <w:p>
      <w:pPr>
        <w:overflowPunct w:val="0"/>
        <w:ind w:firstLineChars="200" w:firstLine="624"/>
        <w:rPr>
          <w:rFonts w:eastAsia="方正仿宋_GBK"/>
          <w:kern w:val="0"/>
          <w:sz w:val="32"/>
          <w:szCs w:val="32"/>
        </w:rPr>
      </w:pPr>
      <w:r>
        <w:rPr>
          <w:rFonts w:eastAsia="方正仿宋_GBK" w:hint="eastAsia"/>
          <w:kern w:val="0"/>
          <w:sz w:val="32"/>
          <w:szCs w:val="32"/>
        </w:rPr>
        <w:t>2026年7月29日，欧盟官方公报发布（EU）2026/1739号欧洲议会和理事会条例，修订了（EU）No 1308/2013、（EU）2021/2115和（EU）2021/2116等法规，拟加强农民在食品供应链中的地位，将自官方公告后第20日生效，具有全面约束力，并直接适用于所有成员国。其中与食品相关主要是在（EU）No 1308/2013法规附件VII新增第Ia部分，旨在应对近年来植物基替代品和细胞培养肉产品在市场上使用传统肉类术语所带来的消费者混淆问题。主要内容包括：（1）明确了肉及肉制品的定义范围，肉指在本条例适用范围内的动物的可食用部分，肉类制品指源自肉类的产品，可以添加其制造所需的物质，只要这些物质并非用于全部或部分替代任何肉类成分；（2）列明了“牛肉”“里脊”“培根”“排骨”等31个名称术语，仅可用于肉类制品（水产品可豁免限制），肉和上述术语不得用于指代由源自动物、植物、微生物、真菌或藻类的细胞培养物或组织培养物组成、分离自或生产自这些培养物的食品；（3）肉和上述术语可组合使用以指代肉类制品，也可与一个或多个词结合使用，以指代复合产品，其任何部分均未取代或意图取代任何肉类成分，且肉类在数量上或产品特性上是基本组成部分；（4）该规则自2029年8月19日起适用，不符合新名称规则但已在欧盟内生产或进口的产品，可继续销售至2032年8月19日或库存耗尽。</w:t>
      </w:r>
    </w:p>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https://eur-lex.europa.eu/legal-content/EN/TXT/?uri=OJ:L_202601739</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0" w:name="_Toc236754488"/>
      <w:r>
        <w:rPr>
          <w:rFonts w:ascii="方正楷体_GBK" w:eastAsia="方正楷体_GBK" w:cs="宋体" w:hint="eastAsia"/>
          <w:bCs w:val="0"/>
          <w:kern w:val="0"/>
          <w:sz w:val="32"/>
          <w:szCs w:val="32"/>
        </w:rPr>
        <w:t>欧盟制订大麻叶浸液中Δ9-四氢大麻酚的最大含量。</w:t>
      </w:r>
      <w:bookmarkEnd w:id="153"/>
      <w:bookmarkEnd w:id="160"/>
    </w:p>
    <w:p>
      <w:pPr>
        <w:overflowPunct w:val="0"/>
        <w:ind w:firstLineChars="200" w:firstLine="624"/>
        <w:rPr>
          <w:rFonts w:eastAsia="方正仿宋_GBK"/>
          <w:kern w:val="0"/>
          <w:sz w:val="32"/>
          <w:szCs w:val="32"/>
        </w:rPr>
      </w:pPr>
      <w:r>
        <w:rPr>
          <w:rFonts w:eastAsia="方正仿宋_GBK" w:hint="eastAsia"/>
          <w:kern w:val="0"/>
          <w:sz w:val="32"/>
          <w:szCs w:val="32"/>
        </w:rPr>
        <w:t>2026年7月29日，欧盟委员会发布</w:t>
      </w:r>
      <w:r>
        <w:rPr>
          <w:rFonts w:eastAsia="方正仿宋_GBK"/>
          <w:kern w:val="0"/>
          <w:sz w:val="32"/>
          <w:szCs w:val="32"/>
        </w:rPr>
        <w:t>（EU）2026/1828</w:t>
      </w:r>
      <w:r>
        <w:rPr>
          <w:rFonts w:eastAsia="方正仿宋_GBK" w:hint="eastAsia"/>
          <w:kern w:val="0"/>
          <w:sz w:val="32"/>
          <w:szCs w:val="32"/>
        </w:rPr>
        <w:t>号法规，修订</w:t>
      </w:r>
      <w:r>
        <w:rPr>
          <w:rFonts w:eastAsia="方正仿宋_GBK"/>
          <w:kern w:val="0"/>
          <w:sz w:val="32"/>
          <w:szCs w:val="32"/>
        </w:rPr>
        <w:t>（EU）2023/915</w:t>
      </w:r>
      <w:r>
        <w:rPr>
          <w:rFonts w:eastAsia="方正仿宋_GBK" w:hint="eastAsia"/>
          <w:kern w:val="0"/>
          <w:sz w:val="32"/>
          <w:szCs w:val="32"/>
        </w:rPr>
        <w:t>号法规《食品中污染物最大残留量法规》。主要修订内容为：（1）新增水泡的麻叶中Δ-9-四氢大麻酚（Δ9-THC）最大残留量40mg/kg，标签：仅用于水泡，婴幼儿禁用，浸泡过程中不得添加奶油或牛奶等脂肪成分；（2）即饮麻叶茶Δ-9-四氢大麻酚（Δ9-THC）最大残留量0.02mg/kg。该法规自欧盟官方公报发布20日后生效。</w:t>
      </w:r>
    </w:p>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https://eur-lex.europa.eu/legal-content/EN/TXT/?uri=OJ:L_202601828</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1" w:name="_Toc236307806"/>
      <w:bookmarkStart w:id="162" w:name="_Toc236754489"/>
      <w:r>
        <w:rPr>
          <w:rFonts w:ascii="方正楷体_GBK" w:eastAsia="方正楷体_GBK" w:cs="宋体" w:hint="eastAsia"/>
          <w:bCs w:val="0"/>
          <w:kern w:val="0"/>
          <w:sz w:val="32"/>
          <w:szCs w:val="32"/>
        </w:rPr>
        <w:t>欧盟拟批准</w:t>
      </w:r>
      <w:r>
        <w:rPr>
          <w:rFonts w:ascii="方正楷体_GBK" w:eastAsia="方正楷体_GBK" w:cs="宋体"/>
          <w:bCs w:val="0"/>
          <w:kern w:val="0"/>
          <w:sz w:val="32"/>
          <w:szCs w:val="32"/>
        </w:rPr>
        <w:t>苏亨氏厌氧丁酸菌CH106</w:t>
      </w:r>
      <w:r>
        <w:rPr>
          <w:rFonts w:ascii="方正楷体_GBK" w:eastAsia="方正楷体_GBK" w:cs="宋体" w:hint="eastAsia"/>
          <w:bCs w:val="0"/>
          <w:kern w:val="0"/>
          <w:sz w:val="32"/>
          <w:szCs w:val="32"/>
        </w:rPr>
        <w:t>作为新型食品。</w:t>
      </w:r>
      <w:bookmarkEnd w:id="161"/>
      <w:bookmarkEnd w:id="162"/>
    </w:p>
    <w:p>
      <w:pPr>
        <w:overflowPunct w:val="0"/>
        <w:ind w:firstLineChars="200" w:firstLine="624"/>
        <w:rPr>
          <w:rFonts w:eastAsia="方正仿宋_GBK"/>
          <w:kern w:val="0"/>
          <w:sz w:val="32"/>
          <w:szCs w:val="32"/>
        </w:rPr>
      </w:pPr>
      <w:r>
        <w:rPr>
          <w:rFonts w:eastAsia="方正仿宋_GBK"/>
          <w:kern w:val="0"/>
          <w:sz w:val="32"/>
          <w:szCs w:val="32"/>
        </w:rPr>
        <w:t>202</w:t>
      </w:r>
      <w:r>
        <w:rPr>
          <w:rFonts w:eastAsia="方正仿宋_GBK" w:hint="eastAsia"/>
          <w:kern w:val="0"/>
          <w:sz w:val="32"/>
          <w:szCs w:val="32"/>
        </w:rPr>
        <w:t>6年7月28日，欧洲食品安全局（EFSA）发布2026.10255号文件，欧盟营养、新型食品和食物过敏原（NDA）研究小组就苏亨氏厌氧丁酸菌（Anaerobutyricum soehngenii）CH106作为新型食品的安全性发表科学意见。经过评估，专家小组得出结论，对于一般成年人（不包括孕妇和哺乳期妇女）来说，苏亨氏厌氧丁酸菌CH106在2.0×10</w:t>
      </w:r>
      <w:r>
        <w:rPr>
          <w:rFonts w:eastAsia="方正仿宋_GBK" w:hint="eastAsia"/>
          <w:kern w:val="0"/>
          <w:sz w:val="32"/>
          <w:szCs w:val="32"/>
          <w:vertAlign w:val="superscript"/>
        </w:rPr>
        <w:t>9</w:t>
      </w:r>
      <w:r>
        <w:rPr>
          <w:rFonts w:eastAsia="方正仿宋_GBK" w:hint="eastAsia"/>
          <w:kern w:val="0"/>
          <w:sz w:val="32"/>
          <w:szCs w:val="32"/>
        </w:rPr>
        <w:t>AFU/天的剂量下是安全的。</w:t>
      </w:r>
    </w:p>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https://efsa.onlinelibrary.wiley.com/doi/10.2903/j.efsa.2026.10255</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3" w:name="_Toc236307807"/>
      <w:bookmarkStart w:id="164" w:name="_Toc236754490"/>
      <w:r>
        <w:rPr>
          <w:rFonts w:ascii="方正楷体_GBK" w:eastAsia="方正楷体_GBK" w:cs="宋体" w:hint="eastAsia"/>
          <w:bCs w:val="0"/>
          <w:kern w:val="0"/>
          <w:sz w:val="32"/>
          <w:szCs w:val="32"/>
        </w:rPr>
        <w:t>欧盟拟修订芹菜中灭螨醌的最大残留限量。</w:t>
      </w:r>
      <w:bookmarkEnd w:id="163"/>
      <w:bookmarkEnd w:id="164"/>
    </w:p>
    <w:p>
      <w:pPr>
        <w:overflowPunct w:val="0"/>
        <w:ind w:firstLineChars="200" w:firstLine="624"/>
        <w:rPr>
          <w:rFonts w:eastAsia="方正仿宋_GBK"/>
          <w:kern w:val="0"/>
          <w:sz w:val="32"/>
          <w:szCs w:val="32"/>
        </w:rPr>
      </w:pPr>
      <w:r>
        <w:rPr>
          <w:rFonts w:eastAsia="方正仿宋_GBK" w:hint="eastAsia"/>
          <w:kern w:val="0"/>
          <w:sz w:val="32"/>
          <w:szCs w:val="32"/>
        </w:rPr>
        <w:t>2026年7月27日，欧洲食品安全局（EFSA）发布2026.10261号文件，拟将芹菜中灭螨醌（acequinocyl）的最大残留限量由原0.01*mg/kg修订为3mg/kg。（“*”表示MRL的设定或接近分析定量的极限）。该修订将在欧盟官方公报发布后正式生效。</w:t>
      </w:r>
    </w:p>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https://efsa.onlinelibrary.wiley.com/doi/10.2903/j.efsa.2026.10261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5" w:name="_Toc236307808"/>
      <w:bookmarkStart w:id="166" w:name="_Toc236668290"/>
      <w:bookmarkStart w:id="167" w:name="_Toc236754491"/>
      <w:r>
        <w:rPr>
          <w:rFonts w:ascii="方正楷体_GBK" w:eastAsia="方正楷体_GBK" w:cs="宋体" w:hint="eastAsia"/>
          <w:bCs w:val="0"/>
          <w:kern w:val="0"/>
          <w:sz w:val="32"/>
          <w:szCs w:val="32"/>
        </w:rPr>
        <w:t>欧盟新增多种马科食用动物禁用兽药。</w:t>
      </w:r>
      <w:bookmarkEnd w:id="166"/>
      <w:bookmarkEnd w:id="167"/>
    </w:p>
    <w:p>
      <w:pPr>
        <w:overflowPunct w:val="0"/>
        <w:ind w:firstLineChars="200" w:firstLine="624"/>
        <w:rPr>
          <w:rFonts w:eastAsia="方正仿宋_GBK"/>
          <w:kern w:val="0"/>
          <w:sz w:val="32"/>
          <w:szCs w:val="32"/>
        </w:rPr>
      </w:pPr>
      <w:r>
        <w:rPr>
          <w:rFonts w:eastAsia="方正仿宋_GBK" w:hint="eastAsia"/>
          <w:kern w:val="0"/>
          <w:sz w:val="32"/>
          <w:szCs w:val="32"/>
        </w:rPr>
        <w:t>2026年7月27日，欧盟官方公报发布（EU）2026/1810号欧委会实施条例，修订（EU）2025/901和（EC）No 1950/2006关于马科食用动物相关法规，于公告次日生效，具有全面约束力，并直接适用于所有成员国。主要内容包括：（1）新增七氟烷（Sevoflurane、麻醉剂）可用于幼驹面罩诱导麻醉，咪达唑仑（Midazolam、神经系统/镇静）可用于抗惊厥及麻醉前用药；（2）酮康唑（Ketoconazole）由“必需物质”调整为“额外临床效益”物质，仅可局部用于咽囊真菌病的辅助治疗；（3）地高辛（Digoxin）、多佐胺（Dorzolamide）、灰黄霉素（Griseofulvin）、丙咪嗪（Imipramine）、苯妥英（Phenytoin）等5种药物因即使遵守六个月停药期，也无法排除消费者安全风险被禁用，替卡西林（Ticarcillin）因已被保留仅用于人类特定感染治疗，不允许在动物中使用。</w:t>
      </w:r>
    </w:p>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https://eur-lex.europa.eu/legal-content/EN/TXT/?uri=OJ:L_202601810</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8" w:name="_Toc236668291"/>
      <w:bookmarkStart w:id="169" w:name="_Toc236754492"/>
      <w:r>
        <w:rPr>
          <w:rFonts w:ascii="方正楷体_GBK" w:eastAsia="方正楷体_GBK" w:cs="宋体" w:hint="eastAsia"/>
          <w:bCs w:val="0"/>
          <w:kern w:val="0"/>
          <w:sz w:val="32"/>
          <w:szCs w:val="32"/>
        </w:rPr>
        <w:t>欧盟修订动物源性食品检疫相关法规。</w:t>
      </w:r>
      <w:bookmarkEnd w:id="168"/>
      <w:bookmarkEnd w:id="169"/>
    </w:p>
    <w:p>
      <w:pPr>
        <w:overflowPunct w:val="0"/>
        <w:ind w:firstLineChars="200" w:firstLine="624"/>
        <w:rPr>
          <w:rFonts w:eastAsia="方正仿宋_GBK"/>
          <w:kern w:val="0"/>
          <w:sz w:val="32"/>
          <w:szCs w:val="32"/>
        </w:rPr>
      </w:pPr>
      <w:r>
        <w:rPr>
          <w:rFonts w:eastAsia="方正仿宋_GBK" w:hint="eastAsia"/>
          <w:kern w:val="0"/>
          <w:sz w:val="32"/>
          <w:szCs w:val="32"/>
        </w:rPr>
        <w:t>2026年7月23日，欧盟官方公报发布（EU）2026/1052号条例，修订了关于进口动物及动物产品检疫相关的（EU）2016/429和（EU）2020/692法规，将自公告后第20日生效，具有完整约束力，并直接适用于所有成员国。与食品相关主要修订内容包括：（1）根据EFSA意见修订（EU）2020/692附件XXVII关于乳及乳制品的风险消解措施清单，其中超高温处理（UHT）由温度不低于135℃保持适宜时间修订为不低于132℃，保持至少1秒；针对PH不低于7.0的乳，连续两次72℃、15秒高温短时巴氏杀菌（HTST）后，取消了立即检测碱性磷酸酶并阴性的要求；（2）修订（EU）2020/692附件XXVIII关于蛋制品的检疫风险消解措施清单，其中关于高致病性禽流感病毒的灭活，新增对于纯蛋黄的处理要求中心温度60℃、持续时间288秒；关于新城疫病毒的灭活，新增对于纯蛋黄的处理要求61.1℃/3分30秒或60℃/6分12秒，新增强化蛋的处理要求62.2℃/3分30秒或61.1℃/6分12秒，新增加糖/加盐蛋的处理要求63.3℃/3分30秒或62.2℃/6分12秒；（3）修订（EU）2020/692附件XXIX关于三代虫感染、鲑甲病毒病等水生动物疫病易感物种清单，如细菌性肾病由鲑科所有鱼类修订为Anoplopoma fimbria（黑鳕）、Lota lota（江鳕）等18种，鲑甲病毒病易感物种增加Limanda limanda（黄盖鲽）。</w:t>
      </w:r>
    </w:p>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https://eur-lex.europa.eu/legal-content/EN/TXT/?uri=OJ:L_202601052</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0" w:name="_Toc236668292"/>
      <w:bookmarkStart w:id="171" w:name="_Toc236754493"/>
      <w:r>
        <w:rPr>
          <w:rFonts w:ascii="方正楷体_GBK" w:eastAsia="方正楷体_GBK" w:cs="宋体" w:hint="eastAsia"/>
          <w:bCs w:val="0"/>
          <w:kern w:val="0"/>
          <w:sz w:val="32"/>
          <w:szCs w:val="32"/>
        </w:rPr>
        <w:t>英国修订部分食品中氟啶虫酰胺的最大残留限量。</w:t>
      </w:r>
      <w:bookmarkEnd w:id="170"/>
      <w:bookmarkEnd w:id="171"/>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2026年7月31日，英国健康与安全执行局（HSE）发布GB MRL 2026/017号文件，修订部分食品中氟啶虫酰胺（Flonicamid）的最大残留量，部分内容如下表所示（*表示最大残留限量（MRL）设定在定量/定性检测限）。该修订2026年7月31日实施。</w:t>
      </w:r>
    </w:p>
    <w:tbl>
      <w:tblPr>
        <w:jc w:val="center"/>
        <w:tblW w:w="8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51"/>
        <w:gridCol w:w="2268"/>
        <w:gridCol w:w="1961"/>
        <w:gridCol w:w="1859"/>
      </w:tblGrid>
      <w:tr>
        <w:trPr>
          <w:trHeight w:val="151"/>
          <w:tblHeader/>
        </w:trPr>
        <w:tc>
          <w:tcPr>
            <w:tcW w:w="1951"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农药</w:t>
            </w:r>
            <w:r>
              <w:rPr>
                <w:rFonts w:eastAsia="方正仿宋_GBK"/>
                <w:b/>
                <w:bCs/>
                <w:sz w:val="24"/>
              </w:rPr>
              <w:t>名称</w:t>
            </w:r>
          </w:p>
        </w:tc>
        <w:tc>
          <w:tcPr>
            <w:tcW w:w="226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食品类别</w:t>
            </w:r>
          </w:p>
        </w:tc>
        <w:tc>
          <w:tcPr>
            <w:tcW w:w="1961"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原最大残留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1859"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制修订最大残留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1951"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氟啶虫酰胺（Flonicamid）</w:t>
            </w: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土豆</w:t>
            </w:r>
          </w:p>
        </w:tc>
        <w:tc>
          <w:tcPr>
            <w:tcW w:w="196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0.09</w:t>
            </w:r>
          </w:p>
        </w:tc>
        <w:tc>
          <w:tcPr>
            <w:tcW w:w="1859"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r>
      <w:tr>
        <w:trPr>
          <w:trHeight w:val="151"/>
          <w:tblHeader/>
        </w:trPr>
        <w:tc>
          <w:tcPr>
            <w:tcW w:w="1951"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生菜</w:t>
            </w:r>
          </w:p>
        </w:tc>
        <w:tc>
          <w:tcPr>
            <w:tcW w:w="196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c>
          <w:tcPr>
            <w:tcW w:w="1859"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2.0</w:t>
            </w:r>
          </w:p>
        </w:tc>
      </w:tr>
      <w:tr>
        <w:trPr>
          <w:trHeight w:val="151"/>
          <w:tblHeader/>
        </w:trPr>
        <w:tc>
          <w:tcPr>
            <w:tcW w:w="1951" w:type="dxa"/>
            <w:vMerge/>
            <w:tcBorders>
              <w:left w:val="single" w:sz="4" w:space="0" w:color="auto"/>
              <w:bottom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菊苣</w:t>
            </w:r>
          </w:p>
        </w:tc>
        <w:tc>
          <w:tcPr>
            <w:tcW w:w="196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c>
          <w:tcPr>
            <w:tcW w:w="1859"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0.6</w:t>
            </w:r>
          </w:p>
        </w:tc>
      </w:tr>
    </w:tbl>
    <w:p>
      <w:pPr>
        <w:overflowPunct w:val="0"/>
        <w:ind w:firstLineChars="200" w:firstLine="624"/>
        <w:rPr>
          <w:rFonts w:eastAsia="方正仿宋_GBK"/>
          <w:kern w:val="0"/>
          <w:sz w:val="32"/>
          <w:szCs w:val="32"/>
        </w:rPr>
      </w:pPr>
      <w:r>
        <w:rPr>
          <w:rFonts w:eastAsia="方正仿宋_GBK"/>
          <w:kern w:val="0"/>
          <w:sz w:val="32"/>
          <w:szCs w:val="32"/>
        </w:rPr>
        <w:t>https://www.hse.gov.uk/pesticides/mrls/gb-pubs-spreadsheet.htm</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https://www.hse.gov.uk/pesticides/assets/docs/mrln-abkx-1221.pdf</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https://www.hse.gov.uk/pesticides/assets/docs/mrln-abkw-1220.pdf</w:t>
      </w:r>
      <w:r>
        <w:rPr>
          <w:rFonts w:eastAsia="方正仿宋_GBK" w:hint="eastAsia"/>
          <w:kern w:val="0"/>
          <w:sz w:val="32"/>
          <w:szCs w:val="32"/>
        </w:rPr>
        <w:t xml:space="preserve"> </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2" w:name="_Toc236668293"/>
      <w:bookmarkStart w:id="173" w:name="_Toc236734289"/>
      <w:bookmarkStart w:id="174" w:name="_Toc236734291"/>
      <w:bookmarkStart w:id="175" w:name="_Toc236754494"/>
      <w:r>
        <w:rPr>
          <w:rFonts w:ascii="方正楷体_GBK" w:eastAsia="方正楷体_GBK" w:cs="宋体" w:hint="eastAsia"/>
          <w:bCs w:val="0"/>
          <w:kern w:val="0"/>
          <w:sz w:val="32"/>
          <w:szCs w:val="32"/>
        </w:rPr>
        <w:t>英国发布小微食品企业食品安全调查报告。</w:t>
      </w:r>
      <w:bookmarkEnd w:id="174"/>
      <w:bookmarkEnd w:id="175"/>
    </w:p>
    <w:p>
      <w:pPr>
        <w:overflowPunct w:val="0"/>
        <w:ind w:firstLineChars="200" w:firstLine="624"/>
        <w:rPr>
          <w:rFonts w:eastAsia="方正仿宋_GBK"/>
          <w:kern w:val="0"/>
          <w:sz w:val="32"/>
          <w:szCs w:val="32"/>
        </w:rPr>
      </w:pPr>
      <w:r>
        <w:rPr>
          <w:rFonts w:eastAsia="方正仿宋_GBK" w:hint="eastAsia"/>
          <w:kern w:val="0"/>
          <w:sz w:val="32"/>
          <w:szCs w:val="32"/>
        </w:rPr>
        <w:t>2026年7月29日，英国食品标准局（FSA）发布《小微食品企业食品安全调查报告》。《报告》称，十分之九的小微食品企业表示信任FSA食品安全工作质量和食品安全标准，并表示会向顾客提供过敏原信息。大多数小微食品企业认为自己对影响其经营的法规有充分的了解（88%），几乎所有企业均表示相信食品安全法规在保护公众方面是有效的（96%），并且是合理、切合实际的（88%）。98%的销售即食食品企业、外卖、在销售点包装食品的企业表示会向顾客提供过敏原信息；其中三分之二（66%）的企业使用了FSA针对非预包装食品提供的工具，近半数企业使用了过敏原宣传海报。九成企业（91%）表示信任FSA会努力确保食品安全和法规正确，85%的企业表示FSA能够处理标准缺失问题。虽然相关数据仍然居高不下，但与上一次追踪调查相比，均有所下降。表示对FSA“非常了解”的企业比例也从32%降到24%，对FSA使用企业提供信息的信任度从94%降至87%，FSA将改善与小微企业的互动与沟通。三分之二（67%）的受访者表示，与生活成本状况相关的客户行为变化令人担忧，而通货膨胀、能源成本、招聘压力依然显著。英格兰、威尔士、北爱尔兰的小微食品企业依然高度重视食品安全，对FSA的信任度很高。相关小微企业正在培训员工、妥善管理过敏原，并积极采纳FSA的指导建议，同时正面临着巨大的挑战和经济压力。被调查的小型食品企业拥有10-49名员工，被调查的微型食品企业拥有少于10名员工，对英格兰、威尔士、北爱尔兰的700家小微食品企业进行了调查。</w:t>
      </w:r>
    </w:p>
    <w:p>
      <w:pPr>
        <w:overflowPunct w:val="0"/>
        <w:ind w:firstLineChars="200" w:firstLine="624"/>
        <w:rPr>
          <w:rFonts w:eastAsia="方正仿宋_GBK"/>
          <w:kern w:val="0"/>
          <w:sz w:val="32"/>
          <w:szCs w:val="32"/>
        </w:rPr>
      </w:pPr>
      <w:r>
        <w:rPr>
          <w:rFonts w:eastAsia="方正仿宋_GBK"/>
          <w:kern w:val="0"/>
          <w:sz w:val="32"/>
          <w:szCs w:val="32"/>
        </w:rPr>
        <w:t>https://www.gov.uk/government/news/small-and-micro-food-businesses-show-strong-commitment-to-food-safety</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6" w:name="_Toc236754495"/>
      <w:r>
        <w:rPr>
          <w:rFonts w:ascii="方正楷体_GBK" w:eastAsia="方正楷体_GBK" w:cs="宋体" w:hint="eastAsia"/>
          <w:bCs w:val="0"/>
          <w:kern w:val="0"/>
          <w:sz w:val="32"/>
          <w:szCs w:val="32"/>
        </w:rPr>
        <w:t>德国发布2025年官方食品监管年度报告。</w:t>
      </w:r>
      <w:bookmarkEnd w:id="173"/>
      <w:bookmarkEnd w:id="176"/>
    </w:p>
    <w:p>
      <w:pPr>
        <w:overflowPunct w:val="0"/>
        <w:ind w:firstLineChars="200" w:firstLine="624"/>
        <w:rPr>
          <w:rFonts w:eastAsia="方正仿宋_GBK"/>
          <w:kern w:val="0"/>
          <w:sz w:val="32"/>
          <w:szCs w:val="32"/>
        </w:rPr>
      </w:pPr>
      <w:r>
        <w:rPr>
          <w:rFonts w:eastAsia="方正仿宋_GBK" w:hint="eastAsia"/>
          <w:kern w:val="0"/>
          <w:sz w:val="32"/>
          <w:szCs w:val="32"/>
        </w:rPr>
        <w:t>2026年7月31日，德国化学和兽医调查办公室（CUAV）发布2025年官方食品监管年度报告。主要内容如下：（1）2025年，食品安全部门对约60000家企业进行了超过90900次检查。其中14%的受检企业存在违规行为。共采集了超过47000个官方样本。在食品、消费品、化妆品中14%被发现不合格。仅有0.4%被认定为对健康有害；不合格的产品中69%是由于标签不合格，产品被微生物污染物占16%等；（2）80%的美甲产品不符合法律规定。实验室在18个样本中发现了仅允许专业人士使用的物质，但却缺少必要的使用说明。这些缺陷可能会增加接触性过敏的风险；（3）投诉率最高的食品类别包括油脂（22.7%）以及特殊消费群体食品和膳食补充剂（21.5%）。造成偏差的主要原因是标签和包装问题；植物性食品和动物性食品的投诉率则显著较低，分别为10.6%和10.2%。这些类别包括咖啡和茶（4.8%）、鸡蛋和蛋制品（7.0%）以及鱼类和海鲜（7.1%）。微生物污染是导致动物性食品投诉的主要原因；（4）对9个抹茶样品进行了铝含量检测。检测结果显示，铝含量范围为512至2085毫克/千克；对33份大米样品进行了感官品质、砷含量和杂质检测。所有大米样品中无机砷含量均未超过最高允许限值。</w:t>
      </w:r>
    </w:p>
    <w:p>
      <w:pPr>
        <w:overflowPunct w:val="0"/>
        <w:ind w:firstLineChars="200" w:firstLine="624"/>
        <w:rPr>
          <w:rFonts w:eastAsia="方正仿宋_GBK"/>
          <w:kern w:val="0"/>
          <w:sz w:val="32"/>
          <w:szCs w:val="32"/>
        </w:rPr>
      </w:pPr>
      <w:r>
        <w:rPr>
          <w:rFonts w:eastAsia="方正仿宋_GBK"/>
          <w:kern w:val="0"/>
          <w:sz w:val="32"/>
          <w:szCs w:val="32"/>
        </w:rPr>
        <w:t>https://mlr.baden-wuerttemberg.de/de/unser-service/presse-und-oeffentlichkeitsarbeit/pressemitteilungen/pressemitteilung/pid/jahresbericht-der-amtlichen-lebensmittelueberwachung</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7" w:name="_Toc236754496"/>
      <w:r>
        <w:rPr>
          <w:rFonts w:ascii="方正楷体_GBK" w:eastAsia="方正楷体_GBK" w:cs="宋体" w:hint="eastAsia"/>
          <w:bCs w:val="0"/>
          <w:kern w:val="0"/>
          <w:sz w:val="32"/>
          <w:szCs w:val="32"/>
        </w:rPr>
        <w:t>奥地利发布2026年上半年部分食品中丙烯酰胺专项抽检报告。</w:t>
      </w:r>
      <w:bookmarkEnd w:id="172"/>
      <w:bookmarkEnd w:id="177"/>
    </w:p>
    <w:p>
      <w:pPr>
        <w:overflowPunct w:val="0"/>
        <w:ind w:firstLineChars="200" w:firstLine="624"/>
        <w:rPr>
          <w:rFonts w:eastAsia="方正仿宋_GBK"/>
          <w:kern w:val="0"/>
          <w:sz w:val="32"/>
          <w:szCs w:val="32"/>
        </w:rPr>
      </w:pPr>
      <w:r>
        <w:rPr>
          <w:rFonts w:eastAsia="方正仿宋_GBK" w:hint="eastAsia"/>
          <w:kern w:val="0"/>
          <w:sz w:val="32"/>
          <w:szCs w:val="32"/>
        </w:rPr>
        <w:t>2026年7月30日，奥地利健康与食品安全局（AGES）发布2026年上半年油炸食品和华夫饼等食品中丙烯酰胺专项抽检报告，2026年上半年AGES共抽取70份食品检测丙烯酰胺，抽检样品包括红薯薯条、部分华夫饼制品、洋葱圈及其他油炸蔬菜，共计10份样品超标，整体不合格率14.3%。主要内容如下：（1）抽取红薯薯条22份，其中6份不合格；（2）抽取薄脆华夫饼制品19份，其中4份不合格；（3）抽取洋葱圈及其他油炸蔬菜29份，全部合格；（4）红薯薯条、薄脆华夫饼制品这两类高风险产品均存在大量达标样品，说明欧盟规定的丙烯酰胺减量措施（控温、控糖、控烘烤色泽、添加酶制剂等）落地后可有效降低丙烯酰胺含量。</w:t>
      </w:r>
    </w:p>
    <w:p>
      <w:pPr>
        <w:overflowPunct w:val="0"/>
        <w:ind w:firstLineChars="200" w:firstLine="624"/>
        <w:rPr>
          <w:rFonts w:eastAsia="方正仿宋_GBK"/>
          <w:kern w:val="0"/>
          <w:sz w:val="32"/>
          <w:szCs w:val="32"/>
        </w:rPr>
      </w:pPr>
      <w:r>
        <w:rPr>
          <w:rFonts w:eastAsia="方正仿宋_GBK"/>
          <w:kern w:val="0"/>
          <w:sz w:val="32"/>
          <w:szCs w:val="32"/>
        </w:rPr>
        <w:t>https://www.ages.at/download/sdl-eyJ0eXAiOiJKV1QiLCJhbGciOiJIUzI1NiJ9.eyJpYXQiOjE2MDk0NTkyMDAsImV4cCI6NDA3MDkwODgwMCwidXNlciI6MCwiZ3JvdXBzIjpbMCwtMV0sImZpbGUiOiJmaWxlYWRtaW4vQUdFU18yMDIyLzJfTUVOU0NIL1NjaHdlcnB1bmt0ZS9MZWJlbnNtaXR0ZWxrb250cm9sbGUvU2NoYWRzdG9mZmUvMjAyNi9BLTcwMS0yNl9BY3J5bGFtaWRfaW5fZnJpdHRpZXJ0ZW5fUHJvZHVrdGVuX2F1c19kZXJfR2FzdHJvbm9taWVfdW5kX2luX2RcdTAwZmNubmVuX1dhZmZlbHByb2R1a3Rlbi5wZGYiLCJwYWdlIjoyMjgzfQ.CHorPRvyfISk-Biv_EueO5TbiiCXKm3XE-meNlqwcjk/A-701-26_Acrylamid_in_frittierten_Produkten_aus_der_Gastronomie_und_in_d%C3%BCnnen_Waffelprodukten.pdf</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8" w:name="_Toc236668294"/>
      <w:bookmarkStart w:id="179" w:name="_Toc236734290"/>
      <w:bookmarkStart w:id="180" w:name="_Toc236754497"/>
      <w:r>
        <w:rPr>
          <w:rFonts w:ascii="方正楷体_GBK" w:eastAsia="方正楷体_GBK" w:cs="宋体" w:hint="eastAsia"/>
          <w:bCs w:val="0"/>
          <w:kern w:val="0"/>
          <w:sz w:val="32"/>
          <w:szCs w:val="32"/>
        </w:rPr>
        <w:t>法国发布2023年食品地理标志检查报告。</w:t>
      </w:r>
      <w:bookmarkEnd w:id="179"/>
      <w:bookmarkEnd w:id="180"/>
    </w:p>
    <w:p>
      <w:pPr>
        <w:overflowPunct w:val="0"/>
        <w:ind w:firstLineChars="200" w:firstLine="624"/>
        <w:rPr>
          <w:rFonts w:eastAsia="方正仿宋_GBK"/>
          <w:kern w:val="0"/>
          <w:sz w:val="32"/>
          <w:szCs w:val="32"/>
        </w:rPr>
      </w:pPr>
      <w:r>
        <w:rPr>
          <w:rFonts w:eastAsia="方正仿宋_GBK" w:hint="eastAsia"/>
          <w:kern w:val="0"/>
          <w:sz w:val="32"/>
          <w:szCs w:val="32"/>
        </w:rPr>
        <w:t>2026年7月30日，法国竞争、消费和反欺诈总局（DGCCRF）发布2023年食品地理标志检查报告。主要内容如下：（1）检查范围：2023年DGCCRF对近1770家销售标注地理标志（原产地命名保护（AOP）、受保护地理标志（IGP））食品的企业进行了检查，涵盖各个阶段，包括所有类型（无论是否经过加工）和所有来源（法国、欧盟、第三国）的食品，以及用AOP或IGP作原料使用的情况；（2）检查结果：违规行为主要涉及冒用AOP（在无AOP标识的袋装洋葱旁悬挂“</w:t>
      </w:r>
      <w:r>
        <w:rPr>
          <w:rFonts w:eastAsia="方正仿宋_GBK"/>
          <w:kern w:val="0"/>
          <w:sz w:val="32"/>
          <w:szCs w:val="32"/>
        </w:rPr>
        <w:t>ROSCOFF</w:t>
      </w:r>
      <w:r>
        <w:rPr>
          <w:rFonts w:eastAsia="方正仿宋_GBK" w:hint="eastAsia"/>
          <w:kern w:val="0"/>
          <w:sz w:val="32"/>
          <w:szCs w:val="32"/>
        </w:rPr>
        <w:t xml:space="preserve"> </w:t>
      </w:r>
      <w:r>
        <w:rPr>
          <w:rFonts w:eastAsia="方正仿宋_GBK"/>
          <w:kern w:val="0"/>
          <w:sz w:val="32"/>
          <w:szCs w:val="32"/>
        </w:rPr>
        <w:t>AOP</w:t>
      </w:r>
      <w:r>
        <w:rPr>
          <w:rFonts w:eastAsia="方正仿宋_GBK" w:hint="eastAsia"/>
          <w:kern w:val="0"/>
          <w:sz w:val="32"/>
          <w:szCs w:val="32"/>
        </w:rPr>
        <w:t>洋葱”标牌）、虚假商业宣传（销售未获得IGP认证的牡蛎标示IGP标志及“Marennes-Oléron牡蛎”）、以及不遵守AOP/IGP规范标准（销售不符合规范的AOP奶酪）；（3）处罚措施：本次检查共出具71份刑事报告，发出197份合规整改令。</w:t>
      </w:r>
    </w:p>
    <w:p>
      <w:pPr>
        <w:overflowPunct w:val="0"/>
        <w:ind w:firstLineChars="200" w:firstLine="624"/>
        <w:rPr>
          <w:rFonts w:eastAsia="方正仿宋_GBK"/>
          <w:kern w:val="0"/>
          <w:sz w:val="32"/>
          <w:szCs w:val="32"/>
        </w:rPr>
      </w:pPr>
      <w:r>
        <w:rPr>
          <w:rFonts w:eastAsia="方正仿宋_GBK"/>
          <w:kern w:val="0"/>
          <w:sz w:val="32"/>
          <w:szCs w:val="32"/>
        </w:rPr>
        <w:t>https://www.economie.gouv.fr/dgccrf/laction-de-la-dgccrf/les-enquetes-et-les-controles/trop-de-mesusages-et-tromperies-sur-les-indications-geographiques-aop-et-igp</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1" w:name="_Toc236754498"/>
      <w:r>
        <w:rPr>
          <w:rFonts w:ascii="方正楷体_GBK" w:eastAsia="方正楷体_GBK" w:cs="宋体" w:hint="eastAsia"/>
          <w:bCs w:val="0"/>
          <w:kern w:val="0"/>
          <w:sz w:val="32"/>
          <w:szCs w:val="32"/>
        </w:rPr>
        <w:t>法国发布2023年度食品标签数量标识检查报告。</w:t>
      </w:r>
      <w:bookmarkEnd w:id="178"/>
      <w:bookmarkEnd w:id="181"/>
    </w:p>
    <w:p>
      <w:pPr>
        <w:overflowPunct w:val="0"/>
        <w:ind w:firstLineChars="200" w:firstLine="624"/>
        <w:rPr>
          <w:rFonts w:eastAsia="方正仿宋_GBK"/>
          <w:kern w:val="0"/>
          <w:sz w:val="32"/>
          <w:szCs w:val="32"/>
        </w:rPr>
      </w:pPr>
      <w:r>
        <w:rPr>
          <w:rFonts w:eastAsia="方正仿宋_GBK" w:hint="eastAsia"/>
          <w:kern w:val="0"/>
          <w:sz w:val="32"/>
          <w:szCs w:val="32"/>
        </w:rPr>
        <w:t>2026年7月29日，法国竞争、消费和反欺诈总局（DGCCRF）发布2023年度食品标签数量标识检查报告。主要内容如下：（1）检查事项：2023年1月1日至2024年3月31日期间，DGCCRF检查了738个商家产品包装上数量标识合规性，其中25%的非食品（如牙膏、沐浴露、指甲油等）、75%的食品，包括大中型超市非定量包装的食品（如熟食、奶酪、水果和蔬菜等）。此外还检验了商家测量工具的合规性，以及为确保预包装产品标注数量准确而实施的内部质量控制措施；（2）检查结果：在自检环节，超过半数的商家存在自检不足的情况。如包装重量经常被低估，预包装产品分拣人员也极少接受专业检查，检测用的仪器大多未经校准认证，约四分之一的测量工具存在缺陷。超过三分之一被检查商家的产品实际数量与标示不符，其中非定量包装食品（如部分预包装奶酪、水果或网兜/盒装蔬菜发现48%的不合规率），通常源于称量设备的零点校准错误。在名义定量的产品上也存在偏差（食品类不合规率23.5%、非食品类15.8%）；（3）处罚措施。2023年共发布了110项强制禁令（较2022年增长41%），开具了71份刑事和行政罚单（增长51%），发出215份警告信（增长32.7%）。这些数字表明在预包装数量规定方面存在明显的严重违规行为。在这些商家中，最频繁出现的问题包括缺乏或不充分的内部检查、未经认可的称重设备以及标示数量与实际数量之间存在显著差异。</w:t>
      </w:r>
    </w:p>
    <w:p>
      <w:pPr>
        <w:overflowPunct w:val="0"/>
        <w:ind w:firstLineChars="200" w:firstLine="624"/>
        <w:rPr>
          <w:rFonts w:eastAsia="方正仿宋_GBK"/>
          <w:kern w:val="0"/>
          <w:sz w:val="32"/>
          <w:szCs w:val="32"/>
        </w:rPr>
      </w:pPr>
      <w:r>
        <w:rPr>
          <w:rFonts w:eastAsia="方正仿宋_GBK"/>
          <w:kern w:val="0"/>
          <w:sz w:val="32"/>
          <w:szCs w:val="32"/>
        </w:rPr>
        <w:t>https://www.economie.gouv.fr/dgccrf/laction-de-la-dgccrf/les-enquetes-et-les-controles/attention-aux-quantites-indiquees-sur-les-produits-preemballes</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2" w:name="_Toc236734292"/>
      <w:bookmarkStart w:id="183" w:name="_Toc236754499"/>
      <w:r>
        <w:rPr>
          <w:rFonts w:ascii="方正楷体_GBK" w:eastAsia="方正楷体_GBK" w:cs="宋体" w:hint="eastAsia"/>
          <w:bCs w:val="0"/>
          <w:kern w:val="0"/>
          <w:sz w:val="32"/>
          <w:szCs w:val="32"/>
        </w:rPr>
        <w:t>卢森堡发布2024年食品中转基因生物监测报告。</w:t>
      </w:r>
      <w:bookmarkEnd w:id="182"/>
      <w:bookmarkEnd w:id="183"/>
    </w:p>
    <w:p>
      <w:pPr>
        <w:overflowPunct w:val="0"/>
        <w:ind w:firstLineChars="200" w:firstLine="624"/>
        <w:rPr>
          <w:rFonts w:eastAsia="方正仿宋_GBK"/>
          <w:kern w:val="0"/>
          <w:sz w:val="32"/>
          <w:szCs w:val="32"/>
        </w:rPr>
      </w:pPr>
      <w:r>
        <w:rPr>
          <w:rFonts w:eastAsia="方正仿宋_GBK" w:hint="eastAsia"/>
          <w:kern w:val="0"/>
          <w:sz w:val="32"/>
          <w:szCs w:val="32"/>
        </w:rPr>
        <w:t>2026年7月24日，卢森堡食品安全管理局发布2024年食品中转基因生物（OGM）监测报告。主要内容如下：在2024年，卢森堡食品中转基因生物（OGM）监测共抽取96个样品，涉及玉米、大豆、大米、油菜、亚麻、西葫芦、木瓜及芥菜籽等多种基质，有6个（占6.25%）因热处理或挤压加工导致DNA严重破坏而无法扩增定量，主要包括1份南瓜籽、1份豆制甜点和4份米纸样品，后者已送交替代实验室作例外分析。在可分析的样品中，3.3%检出转基因成分但含量均低于0.9%的法定标签阈值，属于欧盟法规允许的偶然且技术上不可避免的污染，涉及1份玉米面粉和1份玉米零食检出MON810转基因玉米事件痕迹，以及1份豆奶检出CV-127-9转基因大豆事件痕迹。有机产品专项监测方面，40个有机样品中有2个因DNA提取失败未完成分析，在其余样品中仅1份有机豆奶检出35S启动子和NOS终止子等筛选元件，但未检出任何特异性转基因事件，表明污染水平极低且未影响有机认证合规性。总体而言，卢森堡市场食品中OGM污染处于极低水平，未发生违规情况，但3.3%的低浓度检出率仍提示常规及有机生产链难以完全避免转基因作物的意外混入。</w:t>
      </w:r>
    </w:p>
    <w:p>
      <w:pPr>
        <w:overflowPunct w:val="0"/>
        <w:ind w:firstLineChars="200" w:firstLine="624"/>
        <w:rPr>
          <w:rFonts w:eastAsia="方正仿宋_GBK"/>
          <w:kern w:val="0"/>
          <w:sz w:val="32"/>
          <w:szCs w:val="32"/>
        </w:rPr>
      </w:pPr>
      <w:r>
        <w:rPr>
          <w:rFonts w:eastAsia="方正仿宋_GBK"/>
          <w:kern w:val="0"/>
          <w:sz w:val="32"/>
          <w:szCs w:val="32"/>
        </w:rPr>
        <w:t>https://securite-alimentaire.public.lu/fr/publications/rapports/rapport-ogm-2024.html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4" w:name="_Toc236734293"/>
      <w:bookmarkStart w:id="185" w:name="_Toc236754500"/>
      <w:r>
        <w:rPr>
          <w:rFonts w:ascii="方正楷体_GBK" w:eastAsia="方正楷体_GBK" w:cs="宋体" w:hint="eastAsia"/>
          <w:bCs w:val="0"/>
          <w:kern w:val="0"/>
          <w:sz w:val="32"/>
          <w:szCs w:val="32"/>
        </w:rPr>
        <w:t>卢森堡发布2024年食品中霉菌毒素监测报告。</w:t>
      </w:r>
      <w:bookmarkEnd w:id="184"/>
      <w:bookmarkEnd w:id="185"/>
    </w:p>
    <w:p>
      <w:pPr>
        <w:overflowPunct w:val="0"/>
        <w:ind w:firstLineChars="200" w:firstLine="624"/>
        <w:rPr>
          <w:rFonts w:eastAsia="方正仿宋_GBK"/>
          <w:kern w:val="0"/>
          <w:sz w:val="32"/>
          <w:szCs w:val="32"/>
        </w:rPr>
      </w:pPr>
      <w:r>
        <w:rPr>
          <w:rFonts w:eastAsia="方正仿宋_GBK" w:hint="eastAsia"/>
          <w:kern w:val="0"/>
          <w:sz w:val="32"/>
          <w:szCs w:val="32"/>
        </w:rPr>
        <w:t>2026年7月24日，卢森堡食品安全管理局发布2024年食品中霉菌毒素监测报告。主要内容如下：在2024年，卢森堡食品中霉菌毒素监测共对356个样品进行了818项分析，在811项有效评估中检出不合格3项，不合格率为0.4%，为近年来最低水平之一，整体合格率达99.6%。全部不合格均涉及已设定法规限值的项目：1份荞麦面粉因黄曲霉毒素总和超标、2份玉米面粉因伏马菌素总和超标，相关产品均已被召回，并同步通报欧盟食品和饲料快速预警系统。对于白僵菌素、恩镰孢菌素等新兴霉菌毒素，虽尚无欧盟法规限值，但本次监测已完成对多种面粉的筛查，均未检出阳性，相关数据已报送欧洲食品安全局（EFSA），为后续风险评估和未来限值制定提供科学支撑。</w:t>
      </w:r>
    </w:p>
    <w:p>
      <w:pPr>
        <w:overflowPunct w:val="0"/>
        <w:ind w:firstLineChars="200" w:firstLine="624"/>
        <w:rPr>
          <w:rFonts w:eastAsia="方正仿宋_GBK"/>
          <w:kern w:val="0"/>
          <w:sz w:val="32"/>
          <w:szCs w:val="32"/>
        </w:rPr>
      </w:pPr>
      <w:r>
        <w:rPr>
          <w:rFonts w:eastAsia="方正仿宋_GBK"/>
          <w:kern w:val="0"/>
          <w:sz w:val="32"/>
          <w:szCs w:val="32"/>
        </w:rPr>
        <w:t>https://securite-alimentaire.public.lu/fr/publications/rapports/rapport-mycotoxines-2024.html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6" w:name="_Toc236734294"/>
      <w:bookmarkStart w:id="187" w:name="_Toc236754501"/>
      <w:r>
        <w:rPr>
          <w:rFonts w:ascii="方正楷体_GBK" w:eastAsia="方正楷体_GBK" w:cs="宋体" w:hint="eastAsia"/>
          <w:bCs w:val="0"/>
          <w:kern w:val="0"/>
          <w:sz w:val="32"/>
          <w:szCs w:val="32"/>
        </w:rPr>
        <w:t>卢森堡发布2024年食品中污染物年度报告。</w:t>
      </w:r>
      <w:bookmarkEnd w:id="186"/>
      <w:bookmarkEnd w:id="187"/>
    </w:p>
    <w:p>
      <w:pPr>
        <w:overflowPunct w:val="0"/>
        <w:ind w:firstLineChars="200" w:firstLine="624"/>
        <w:rPr>
          <w:rFonts w:eastAsia="方正仿宋_GBK"/>
          <w:kern w:val="0"/>
          <w:sz w:val="32"/>
          <w:szCs w:val="32"/>
        </w:rPr>
      </w:pPr>
      <w:r>
        <w:rPr>
          <w:rFonts w:eastAsia="方正仿宋_GBK" w:hint="eastAsia"/>
          <w:kern w:val="0"/>
          <w:sz w:val="32"/>
          <w:szCs w:val="32"/>
        </w:rPr>
        <w:t>2026年7月24日，卢森堡食品安全管理局发布2024年食品中污染物年度报告。主要内容如下：在2024年，共对1022个样品进行了1670项分析，覆盖工业、农业及环境三大类污染物，98.32%的样品符合现行法规要求，不合格率为1.68%，共计28项样品超出法规限值或目标水平，较2023年的14项有所增加，但分析总量亦同步上升。不合格问题主要集中在几类污染物上：马铃薯制品中茄碱与卡茄碱总和超标最为突出，共10项，占全部不合格的36%，虽仅超出建议性指标，但已通知生产者优化种植与储运环节；丙烯酰胺在饼干、早餐麦片、零食及马铃薯制品中检出6项超标，相关企业被要求重新审查工艺以降低含量；矿物油芳香烃（MOAH）在咖啡和乳制品零食中各有1项超标，已依据JRC指南限值作撤市处理；全氟和多氟烷基物质（PFAS）在水果和蔬菜中各检出1项超出指示值，经核实为PFOS成分，已告知生产者溯源整改；此外，吡咯里西啶生物碱（香料和香草）、总3-MCPD、缩水甘油酯、托烷生物碱、多环芳烃及镉等各出现1项不合格，均依法采取撤出市场或消费者召回措施。</w:t>
      </w:r>
    </w:p>
    <w:p>
      <w:pPr>
        <w:overflowPunct w:val="0"/>
        <w:ind w:firstLineChars="200" w:firstLine="624"/>
        <w:rPr>
          <w:rFonts w:eastAsia="方正仿宋_GBK"/>
          <w:kern w:val="0"/>
          <w:sz w:val="32"/>
          <w:szCs w:val="32"/>
        </w:rPr>
      </w:pPr>
      <w:r>
        <w:rPr>
          <w:rFonts w:eastAsia="方正仿宋_GBK"/>
          <w:kern w:val="0"/>
          <w:sz w:val="32"/>
          <w:szCs w:val="32"/>
        </w:rPr>
        <w:t>https://securite-alimentaire.public.lu/fr/publications/rapports/rapport-contaminants-2024.html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8" w:name="_Toc236754502"/>
      <w:r>
        <w:rPr>
          <w:rFonts w:ascii="方正楷体_GBK" w:eastAsia="方正楷体_GBK" w:cs="宋体" w:hint="eastAsia"/>
          <w:bCs w:val="0"/>
          <w:kern w:val="0"/>
          <w:sz w:val="32"/>
          <w:szCs w:val="32"/>
        </w:rPr>
        <w:t>卢森堡发布婴幼儿谷物制品及食品法规。</w:t>
      </w:r>
      <w:bookmarkEnd w:id="165"/>
      <w:bookmarkEnd w:id="188"/>
    </w:p>
    <w:p>
      <w:pPr>
        <w:overflowPunct w:val="0"/>
        <w:ind w:firstLineChars="200" w:firstLine="624"/>
        <w:rPr>
          <w:rFonts w:eastAsia="方正仿宋_GBK"/>
          <w:kern w:val="0"/>
          <w:sz w:val="32"/>
          <w:szCs w:val="32"/>
        </w:rPr>
      </w:pPr>
      <w:r>
        <w:rPr>
          <w:rFonts w:eastAsia="方正仿宋_GBK" w:hint="eastAsia"/>
          <w:kern w:val="0"/>
          <w:sz w:val="32"/>
          <w:szCs w:val="32"/>
        </w:rPr>
        <w:t>2026年7月24日，卢森堡官方公报发布A375号公告，制订婴幼儿食用谷物基制品和婴幼儿食品法规，2026年7月28日生效。主要内容如下：（1）适用范围。谷物基制品分为四类（冲调谷物、加蛋白谷物、煮制面食、即食饼干），其他婴幼儿食品如果泥肉泥等亦受管辖，但幼儿配方乳品除外；（2）成分和营养标准。成分标准要求所有原料须经科学证明适宜该人群。谷物制品中蛋白质≤1.3g/100kJ、钠≤25mg/100kJ、硫胺素≥25µg/100kJ等；婴幼儿食品则根据蛋白质来源（肉/鱼/禽等）设置不同添加比例及含量；（3）农残标准。农药残留通用限量为0.01mg/kg，附件VI对硫线磷、氟虫腈等5种物质设0.004–0.008mg/kg的更低限值，附件VII则完全禁止19种高毒农药用于相关原料生产，多数以0.003mg/kg为检出阈值；（4）标签与信息告知。标签须标明适用年龄（不得早于4个月）、若适用年龄&lt;6个月须标示麸质有无、能量及营养素数值，可自愿标示维生素矿物质占参考值百分比（含量≥15%时）；不得对6个月以下产品声称“无麸质”。违反标签规定处行政罚款，违反成分、安全或农药残留条款则面临刑事处罚。法规自2026年7月28日生效，由农业、食品和葡萄酒部执行。</w:t>
      </w:r>
    </w:p>
    <w:p>
      <w:pPr>
        <w:overflowPunct w:val="0"/>
        <w:ind w:firstLineChars="200" w:firstLine="624"/>
        <w:rPr>
          <w:rFonts w:eastAsia="方正仿宋_GBK"/>
          <w:kern w:val="0"/>
          <w:sz w:val="32"/>
          <w:szCs w:val="32"/>
        </w:rPr>
      </w:pPr>
      <w:r>
        <w:rPr>
          <w:rFonts w:eastAsia="方正仿宋_GBK"/>
          <w:kern w:val="0"/>
          <w:sz w:val="32"/>
          <w:szCs w:val="32"/>
        </w:rPr>
        <w:t>https://legilux.public.lu/eli/etat/leg/rgd/2026/07/06/a375/jo</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9" w:name="_Toc236307809"/>
      <w:bookmarkStart w:id="190" w:name="_Toc236668295"/>
      <w:bookmarkStart w:id="191" w:name="_Toc236754503"/>
      <w:r>
        <w:rPr>
          <w:rFonts w:ascii="方正楷体_GBK" w:eastAsia="方正楷体_GBK" w:cs="宋体" w:hint="eastAsia"/>
          <w:bCs w:val="0"/>
          <w:kern w:val="0"/>
          <w:sz w:val="32"/>
          <w:szCs w:val="32"/>
        </w:rPr>
        <w:t>商务部：延长对加拿大豌豆淀粉反倾销调查至明年2月。</w:t>
      </w:r>
      <w:bookmarkEnd w:id="190"/>
      <w:bookmarkEnd w:id="191"/>
    </w:p>
    <w:p>
      <w:pPr>
        <w:overflowPunct w:val="0"/>
        <w:ind w:firstLineChars="200" w:firstLine="624"/>
        <w:rPr>
          <w:rFonts w:eastAsia="方正仿宋_GBK"/>
          <w:kern w:val="0"/>
          <w:sz w:val="32"/>
          <w:szCs w:val="32"/>
        </w:rPr>
      </w:pPr>
      <w:r>
        <w:rPr>
          <w:rFonts w:eastAsia="方正仿宋_GBK" w:hint="eastAsia"/>
          <w:kern w:val="0"/>
          <w:sz w:val="32"/>
          <w:szCs w:val="32"/>
        </w:rPr>
        <w:t>2026年7月31日，商务部发布公告，根据《中华人民共和国反倾销条例》的规定，2025年8月12日，商务部发布2025年第41号公告，决定对原产于加拿大的进口豌豆淀粉进行反倾销立案调查。鉴于案情复杂，根据《中华人民共和国反倾销条例》第二十六条的规定，商务部决定将本案调查期延长至2027年2月12日。</w:t>
      </w:r>
    </w:p>
    <w:p>
      <w:pPr>
        <w:overflowPunct w:val="0"/>
        <w:ind w:firstLineChars="200" w:firstLine="624"/>
        <w:rPr>
          <w:rFonts w:eastAsia="方正仿宋_GBK"/>
          <w:kern w:val="0"/>
          <w:sz w:val="32"/>
          <w:szCs w:val="32"/>
        </w:rPr>
      </w:pPr>
      <w:r>
        <w:rPr>
          <w:rFonts w:eastAsia="方正仿宋_GBK"/>
          <w:kern w:val="0"/>
          <w:sz w:val="32"/>
          <w:szCs w:val="32"/>
        </w:rPr>
        <w:t>https://www.mofcom.gov.cn/zcfb/gpmy/art/2026/art_baa069b25f3c402b94220ba4874f9df9.html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2" w:name="_Toc236754504"/>
      <w:r>
        <w:rPr>
          <w:rFonts w:ascii="方正楷体_GBK" w:eastAsia="方正楷体_GBK" w:cs="宋体" w:hint="eastAsia"/>
          <w:bCs w:val="0"/>
          <w:kern w:val="0"/>
          <w:sz w:val="32"/>
          <w:szCs w:val="32"/>
        </w:rPr>
        <w:t>加拿大正式将酒精饮料中氨基甲酸乙酯限量纳入法规清单。</w:t>
      </w:r>
      <w:bookmarkEnd w:id="189"/>
      <w:bookmarkEnd w:id="192"/>
    </w:p>
    <w:p>
      <w:pPr>
        <w:overflowPunct w:val="0"/>
        <w:ind w:firstLineChars="200" w:firstLine="624"/>
        <w:rPr>
          <w:rFonts w:eastAsia="方正仿宋_GBK"/>
          <w:kern w:val="0"/>
          <w:sz w:val="32"/>
          <w:szCs w:val="32"/>
        </w:rPr>
      </w:pPr>
      <w:r>
        <w:rPr>
          <w:rFonts w:eastAsia="方正仿宋_GBK"/>
          <w:kern w:val="0"/>
          <w:sz w:val="32"/>
          <w:szCs w:val="32"/>
        </w:rPr>
        <w:t>2026年7月24日，加拿大卫生部发布MCON-2605号公告，正式将酒精饮料中氨基甲酸乙酯（Ethyl</w:t>
      </w:r>
      <w:r>
        <w:rPr>
          <w:rFonts w:eastAsia="方正仿宋_GBK" w:hint="eastAsia"/>
          <w:kern w:val="0"/>
          <w:sz w:val="32"/>
          <w:szCs w:val="32"/>
        </w:rPr>
        <w:t xml:space="preserve"> </w:t>
      </w:r>
      <w:r>
        <w:rPr>
          <w:rFonts w:eastAsia="方正仿宋_GBK"/>
          <w:kern w:val="0"/>
          <w:sz w:val="32"/>
          <w:szCs w:val="32"/>
        </w:rPr>
        <w:t>Carbamate）的最大限量从行政性的《食品中各种化学污染物最高限量清单》转移至法规性的《食品中污染物和其他掺假物质清单》第2部分。该修订即日起生效。修订后的限量按产品类别设定：枫糖浆酒、米酒及白酒为200ug/</w:t>
      </w:r>
      <w:r>
        <w:rPr>
          <w:rFonts w:eastAsia="方正仿宋_GBK" w:hint="eastAsia"/>
          <w:kern w:val="0"/>
          <w:sz w:val="32"/>
          <w:szCs w:val="32"/>
        </w:rPr>
        <w:t>L</w:t>
      </w:r>
      <w:r>
        <w:rPr>
          <w:rFonts w:eastAsia="方正仿宋_GBK"/>
          <w:kern w:val="0"/>
          <w:sz w:val="32"/>
          <w:szCs w:val="32"/>
        </w:rPr>
        <w:t>；蒸馏酒（水果蒸馏酒除外）为150ug/</w:t>
      </w:r>
      <w:r>
        <w:rPr>
          <w:rFonts w:eastAsia="方正仿宋_GBK" w:hint="eastAsia"/>
          <w:kern w:val="0"/>
          <w:sz w:val="32"/>
          <w:szCs w:val="32"/>
        </w:rPr>
        <w:t>L</w:t>
      </w:r>
      <w:r>
        <w:rPr>
          <w:rFonts w:eastAsia="方正仿宋_GBK"/>
          <w:kern w:val="0"/>
          <w:sz w:val="32"/>
          <w:szCs w:val="32"/>
        </w:rPr>
        <w:t>；水果蒸馏酒及陈年20年以上强化葡萄酒为400ug/</w:t>
      </w:r>
      <w:r>
        <w:rPr>
          <w:rFonts w:eastAsia="方正仿宋_GBK" w:hint="eastAsia"/>
          <w:kern w:val="0"/>
          <w:sz w:val="32"/>
          <w:szCs w:val="32"/>
        </w:rPr>
        <w:t>L</w:t>
      </w:r>
      <w:r>
        <w:rPr>
          <w:rFonts w:eastAsia="方正仿宋_GBK"/>
          <w:kern w:val="0"/>
          <w:sz w:val="32"/>
          <w:szCs w:val="32"/>
        </w:rPr>
        <w:t>；强化葡萄酒（陈年20年以上除外）、陈年20年以上葡萄酒及残糖大于60g/L的葡萄酒为100ug/</w:t>
      </w:r>
      <w:r>
        <w:rPr>
          <w:rFonts w:eastAsia="方正仿宋_GBK" w:hint="eastAsia"/>
          <w:kern w:val="0"/>
          <w:sz w:val="32"/>
          <w:szCs w:val="32"/>
        </w:rPr>
        <w:t>L</w:t>
      </w:r>
      <w:r>
        <w:rPr>
          <w:rFonts w:eastAsia="方正仿宋_GBK"/>
          <w:kern w:val="0"/>
          <w:sz w:val="32"/>
          <w:szCs w:val="32"/>
        </w:rPr>
        <w:t>；其他葡萄酒为30ug/</w:t>
      </w:r>
      <w:r>
        <w:rPr>
          <w:rFonts w:eastAsia="方正仿宋_GBK" w:hint="eastAsia"/>
          <w:kern w:val="0"/>
          <w:sz w:val="32"/>
          <w:szCs w:val="32"/>
        </w:rPr>
        <w:t>L</w:t>
      </w:r>
      <w:r>
        <w:rPr>
          <w:rFonts w:eastAsia="方正仿宋_GBK"/>
          <w:kern w:val="0"/>
          <w:sz w:val="32"/>
          <w:szCs w:val="32"/>
        </w:rPr>
        <w:t>。相关出口企业应尽快建立内部质量控制体系，确保对加出口产品持续符合最新法规要求。</w:t>
      </w:r>
    </w:p>
    <w:p>
      <w:pPr>
        <w:overflowPunct w:val="0"/>
        <w:ind w:firstLineChars="200" w:firstLine="624"/>
        <w:rPr>
          <w:rFonts w:eastAsia="方正仿宋_GBK"/>
          <w:kern w:val="0"/>
          <w:sz w:val="32"/>
          <w:szCs w:val="32"/>
        </w:rPr>
      </w:pPr>
      <w:r>
        <w:rPr>
          <w:rFonts w:eastAsia="方正仿宋_GBK"/>
          <w:kern w:val="0"/>
          <w:sz w:val="32"/>
          <w:szCs w:val="32"/>
        </w:rPr>
        <w:t>https://www.canada.ca/en/health-canada/services/food-nutrition/legislation-guidelines/acts-regulations/notices-proposal-notices-modification/contaminants-ethyl-carbamate-alcoholic-beverages.html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3" w:name="_Toc236307811"/>
      <w:bookmarkStart w:id="194" w:name="_Toc236668296"/>
      <w:bookmarkStart w:id="195" w:name="_Toc236754505"/>
      <w:r>
        <w:rPr>
          <w:rFonts w:ascii="方正楷体_GBK" w:eastAsia="方正楷体_GBK" w:cs="宋体" w:hint="eastAsia"/>
          <w:bCs w:val="0"/>
          <w:kern w:val="0"/>
          <w:sz w:val="32"/>
          <w:szCs w:val="32"/>
        </w:rPr>
        <w:t>阿根廷修订食品法典。</w:t>
      </w:r>
      <w:bookmarkEnd w:id="194"/>
      <w:bookmarkEnd w:id="195"/>
    </w:p>
    <w:p>
      <w:pPr>
        <w:overflowPunct w:val="0"/>
        <w:ind w:firstLineChars="200" w:firstLine="624"/>
        <w:rPr>
          <w:rFonts w:eastAsia="方正仿宋_GBK"/>
          <w:kern w:val="0"/>
          <w:sz w:val="32"/>
          <w:szCs w:val="32"/>
        </w:rPr>
      </w:pPr>
      <w:r>
        <w:rPr>
          <w:rFonts w:eastAsia="方正仿宋_GBK" w:hint="eastAsia"/>
          <w:kern w:val="0"/>
          <w:sz w:val="32"/>
          <w:szCs w:val="32"/>
        </w:rPr>
        <w:t>2026年7月30日，阿根廷国家药品、食品和医疗器械管理局（ANMAT）与农牧渔业秘书处联合发布第10/2026号决议，修订《阿根廷食品法典》第6条，确立相关定义，自官方公报发布次日起生效。主要内容如下：（1）消费者：指为自己或他人采购食品的任何自然人团体或机构；（2）食品：指天然或加工的物质或混合物，为人体提供维持生命过程所需的营养物质和能量；该术语还包括通常与食品一起摄入的物质或混合物（如调味品），无论其是否具有营养价值；（3）食品添加剂：指有意添加到食品中，旨在改变食品在制造、加工、制备、处理、包装、储存、运输或销售过程中物理、化学、生物或感官特性的任何成分（不包括为维持或改善营养特性而加入的营养物质），前提是同时满足以下要求：a）其本身或通过其作为添加剂在使用条件下引发作用；b）其使用基于技术、卫生、营养或感官原因具有正当理由；c）符合本《法典》规定的纯度和规格要求；（4）真品或正常食品：指符合法规要求且不含未经授权物质的食品，不含有欺骗性的掺杂行为，并在法定名称和一般标志下销售，没有可能误导其种类、性质或质量的标志、符号或图案；（5）变质食品：指由于自然原因或物理、化学和/或技术不当处理，或由于缺乏处理，单独或组合作用下，其固有特性和/或营养价值发生退化的食品；（6）受污染食品（本次修订新增）：指含有以下物质的食品：a）活的病原体（病毒、微生物）或寄生虫；b）不属于食品正常成分或不应存在于食品中的重金属、有毒物质、农药或其他物质；c）浓度超过法规要求允许限量的天然有毒成分；（7）掺假食品：指在部分或完全去除其有用元素或特征的情况下，或通过掺入未经授权的异物，或经过旨在改变或掩盖原材料固有质量缺陷或加工缺陷的任何处理而被剥夺的食品；（8）伪造食品：指具有合法产品的一般外观和特征，但没有真实的包装或注册商标，且并非来自其真正的制造商或生产区域的食品，其真相被隐瞒。</w:t>
      </w:r>
    </w:p>
    <w:p>
      <w:pPr>
        <w:overflowPunct w:val="0"/>
        <w:ind w:firstLineChars="200" w:firstLine="624"/>
        <w:rPr>
          <w:rFonts w:eastAsia="方正仿宋_GBK"/>
          <w:kern w:val="0"/>
          <w:sz w:val="32"/>
          <w:szCs w:val="32"/>
        </w:rPr>
      </w:pPr>
      <w:r>
        <w:rPr>
          <w:rFonts w:eastAsia="方正仿宋_GBK"/>
          <w:kern w:val="0"/>
          <w:sz w:val="32"/>
          <w:szCs w:val="32"/>
        </w:rPr>
        <w:t>https://www.boletinoficial.gob.ar/detalleAviso/primera/345193/20260730</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6" w:name="_Toc236668297"/>
      <w:bookmarkStart w:id="197" w:name="_Toc236754506"/>
      <w:r>
        <w:rPr>
          <w:rFonts w:ascii="方正楷体_GBK" w:eastAsia="方正楷体_GBK" w:cs="宋体" w:hint="eastAsia"/>
          <w:bCs w:val="0"/>
          <w:kern w:val="0"/>
          <w:sz w:val="32"/>
          <w:szCs w:val="32"/>
        </w:rPr>
        <w:t>日本发布对食品卫生法修订实施5年后的全面检讨总结报告。</w:t>
      </w:r>
      <w:bookmarkEnd w:id="196"/>
      <w:bookmarkEnd w:id="197"/>
    </w:p>
    <w:p>
      <w:pPr>
        <w:overflowPunct w:val="0"/>
        <w:ind w:firstLineChars="200" w:firstLine="624"/>
        <w:rPr>
          <w:rFonts w:eastAsia="方正仿宋_GBK"/>
          <w:kern w:val="0"/>
          <w:sz w:val="32"/>
          <w:szCs w:val="32"/>
        </w:rPr>
      </w:pPr>
      <w:r>
        <w:rPr>
          <w:rFonts w:eastAsia="方正仿宋_GBK" w:hint="eastAsia"/>
          <w:kern w:val="0"/>
          <w:sz w:val="32"/>
          <w:szCs w:val="32"/>
        </w:rPr>
        <w:t>2026年7月31日，日本厚生省发布报告，是对《食品卫生法》在2018年修订实施5年后的全面检讨总结，旨在评估既有制度的施行状况，并针对小林制药红曲事件暴露出的监管漏洞提出具体的改进方针。</w:t>
      </w:r>
    </w:p>
    <w:p>
      <w:pPr>
        <w:overflowPunct w:val="0"/>
        <w:ind w:firstLineChars="200" w:firstLine="624"/>
        <w:rPr>
          <w:rFonts w:eastAsia="方正仿宋_GBK"/>
          <w:kern w:val="0"/>
          <w:sz w:val="32"/>
          <w:szCs w:val="32"/>
        </w:rPr>
      </w:pPr>
      <w:r>
        <w:rPr>
          <w:rFonts w:eastAsia="方正仿宋_GBK" w:hint="eastAsia"/>
          <w:kern w:val="0"/>
          <w:sz w:val="32"/>
          <w:szCs w:val="32"/>
        </w:rPr>
        <w:t>报告首先回顾了HACCP（危害分析与关键控制点）卫生管理制度的实施情况，指出尽管整体导入率已达8至9成，但在员工4人以下的小规模设施中普及率仍然偏低，且存在计划流于形式、记录习惯未确立等问题。为此，报告提出将利用营业许可申请环节强制指导业者在开业前完成计划制定，并对拒不配合者实施行政处分，同时开发工具减轻记录负担。其次，针对指定成分健康食品的健康被害报告制度，报告发现因缺乏销售总量数据而难以计算实际发生率，且无法全面掌握相关设施情况。对此，报告决定义务化产品销售总量的报告，并强制要求在营业许可或届出时申报“指定成分处理有无”。此外，报告还确认了食品召回制度与器具容器包装正面清单制度的运行基本顺利，将继续完善运用与周知。</w:t>
      </w:r>
    </w:p>
    <w:p>
      <w:pPr>
        <w:overflowPunct w:val="0"/>
        <w:ind w:firstLineChars="200" w:firstLine="624"/>
        <w:rPr>
          <w:rFonts w:eastAsia="方正仿宋_GBK"/>
          <w:kern w:val="0"/>
          <w:sz w:val="32"/>
          <w:szCs w:val="32"/>
        </w:rPr>
      </w:pPr>
      <w:r>
        <w:rPr>
          <w:rFonts w:eastAsia="方正仿宋_GBK" w:hint="eastAsia"/>
          <w:kern w:val="0"/>
          <w:sz w:val="32"/>
          <w:szCs w:val="32"/>
        </w:rPr>
        <w:t>报告的核心部分是关于“补充剂”（Supplement）规制的重新审视。受小林制药红曲事件影响，报告首次明确了“补充剂”的定义，即“以辅助通常饮食的营养摄取或生理机能调节为目的，且成分经过浓缩或为锭剂、胶囊等易导致过量摄取形状的食品”。在制造管理上，报告决定对锭剂、胶囊等食品强制实施GMP（适正制造规范），以确保产品均一性；而对于软糖等其他形状的补充剂，则暂时除外于GMP义务，但鼓励业界自主实施。同时，报告还义务化了补充剂的健康被害报告，并要求在营业届出时必须申报“补充剂制造·加工有无”，以便行政部门掌握实情。</w:t>
      </w:r>
    </w:p>
    <w:p>
      <w:pPr>
        <w:overflowPunct w:val="0"/>
        <w:ind w:firstLineChars="200" w:firstLine="624"/>
        <w:rPr>
          <w:rFonts w:eastAsia="方正仿宋_GBK"/>
          <w:kern w:val="0"/>
          <w:sz w:val="32"/>
          <w:szCs w:val="32"/>
        </w:rPr>
      </w:pPr>
      <w:r>
        <w:rPr>
          <w:rFonts w:eastAsia="方正仿宋_GBK" w:hint="eastAsia"/>
          <w:kern w:val="0"/>
          <w:sz w:val="32"/>
          <w:szCs w:val="32"/>
        </w:rPr>
        <w:t>最后，报告还讨论了汽车饮食店营业的跨区管理问题，提出通过强制记载详细营业场所、共享业者与车辆信息、设置消费者联络方式等措施，来强化跨管辖区域营业时的监管与追溯能力。</w:t>
      </w:r>
    </w:p>
    <w:p>
      <w:pPr>
        <w:overflowPunct w:val="0"/>
        <w:ind w:firstLineChars="200" w:firstLine="624"/>
        <w:rPr>
          <w:rFonts w:eastAsia="方正仿宋_GBK"/>
          <w:kern w:val="0"/>
          <w:sz w:val="32"/>
          <w:szCs w:val="32"/>
        </w:rPr>
      </w:pPr>
      <w:r>
        <w:rPr>
          <w:rFonts w:eastAsia="方正仿宋_GBK"/>
          <w:kern w:val="0"/>
          <w:sz w:val="32"/>
          <w:szCs w:val="32"/>
        </w:rPr>
        <w:t>https://www.mhlw.go.jp/stf/newpage_75197.html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8" w:name="_Toc236668298"/>
      <w:bookmarkStart w:id="199" w:name="_Toc236754507"/>
      <w:r>
        <w:rPr>
          <w:rFonts w:ascii="方正楷体_GBK" w:eastAsia="方正楷体_GBK" w:cs="宋体" w:hint="eastAsia"/>
          <w:bCs w:val="0"/>
          <w:kern w:val="0"/>
          <w:sz w:val="32"/>
          <w:szCs w:val="32"/>
        </w:rPr>
        <w:t>韩国新增他喷他多为禁止进口到韩国国内的海外食品等的原料成分。</w:t>
      </w:r>
      <w:bookmarkEnd w:id="198"/>
      <w:bookmarkEnd w:id="199"/>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7月31日，韩国食药部（MFDS）发布2026-377号公告，依据《进口食品安全管理特别法》第25条之3第1项及《进口食品安全管理特别法施行细则》第44条之3第1款第1项，新增他喷他多（Tapentadol）为禁止进口到韩国国内的海外食品等的原料成分。</w:t>
      </w:r>
    </w:p>
    <w:p>
      <w:pPr>
        <w:overflowPunct w:val="0"/>
        <w:ind w:firstLineChars="200" w:firstLine="624"/>
        <w:rPr>
          <w:rFonts w:eastAsia="方正仿宋_GBK"/>
          <w:kern w:val="0"/>
          <w:sz w:val="32"/>
          <w:szCs w:val="32"/>
        </w:rPr>
      </w:pPr>
      <w:r>
        <w:rPr>
          <w:rFonts w:eastAsia="方正仿宋_GBK"/>
          <w:kern w:val="0"/>
          <w:sz w:val="32"/>
          <w:szCs w:val="32"/>
        </w:rPr>
        <w:t>https://www.mfds.go.kr/brd/m_76/view.do?seq=16337&amp;srchFr=&amp;srchTo=&amp;srchWord=&amp;srchTp=&amp;itm_seq_1=0&amp;itm_seq_2=0&amp;multi_itm_seq=0&amp;company_cd=&amp;company_nm=&amp;page=1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0" w:name="_Toc236668299"/>
      <w:bookmarkStart w:id="201" w:name="_Toc236734296"/>
      <w:bookmarkStart w:id="202" w:name="_Toc236754508"/>
      <w:r>
        <w:rPr>
          <w:rFonts w:ascii="方正楷体_GBK" w:eastAsia="方正楷体_GBK" w:cs="宋体" w:hint="eastAsia"/>
          <w:bCs w:val="0"/>
          <w:kern w:val="0"/>
          <w:sz w:val="32"/>
          <w:szCs w:val="32"/>
        </w:rPr>
        <w:t>韩国新增異丙嗪等为禁止进口到韩国国内的海外食品等的原料成分。</w:t>
      </w:r>
      <w:bookmarkEnd w:id="201"/>
      <w:bookmarkEnd w:id="202"/>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3日，韩国食药部（MFDS）发布2026-067号公告，新增新增異丙嗪（Promethazine）、苯丙哌啶（Benproperine）、吴茱萸胺（Evodiamine）、4-氨基安替比林（4-Aminoantipyrine）为禁止进口到韩国国内的海外食品等的原料成分，并调整三果木（Terminalia arjuna）的异名：将其异名由“Arjuna Terminalia bellirica”修改为“Arjuna”。</w:t>
      </w:r>
    </w:p>
    <w:p>
      <w:pPr>
        <w:overflowPunct w:val="0"/>
        <w:ind w:firstLineChars="200" w:firstLine="624"/>
        <w:rPr>
          <w:rFonts w:eastAsia="方正仿宋_GBK"/>
          <w:kern w:val="0"/>
          <w:sz w:val="32"/>
          <w:szCs w:val="32"/>
        </w:rPr>
      </w:pPr>
      <w:r>
        <w:rPr>
          <w:rFonts w:eastAsia="方正仿宋_GBK"/>
          <w:kern w:val="0"/>
          <w:sz w:val="32"/>
          <w:szCs w:val="32"/>
        </w:rPr>
        <w:t>https://www.mfds.go.kr/brd/m_76/view.do?seq=16338&amp;srchFr=&amp;srchTo=&amp;srchWord=&amp;srchTp=&amp;itm_seq_1=0&amp;itm_seq_2=0&amp;multi_itm_seq=0&amp;company_cd=&amp;company_nm=&amp;page=1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3" w:name="_Toc236754509"/>
      <w:r>
        <w:rPr>
          <w:rFonts w:ascii="方正楷体_GBK" w:eastAsia="方正楷体_GBK" w:cs="宋体" w:hint="eastAsia"/>
          <w:bCs w:val="0"/>
          <w:kern w:val="0"/>
          <w:sz w:val="32"/>
          <w:szCs w:val="32"/>
        </w:rPr>
        <w:t>韩国发布2026年食品药品统计年报。</w:t>
      </w:r>
      <w:bookmarkEnd w:id="200"/>
      <w:bookmarkEnd w:id="203"/>
    </w:p>
    <w:p>
      <w:pPr>
        <w:overflowPunct w:val="0"/>
        <w:ind w:firstLineChars="200" w:firstLine="624"/>
        <w:rPr>
          <w:rFonts w:eastAsia="方正仿宋_GBK"/>
          <w:kern w:val="0"/>
          <w:sz w:val="32"/>
          <w:szCs w:val="32"/>
        </w:rPr>
      </w:pPr>
      <w:r>
        <w:rPr>
          <w:rFonts w:eastAsia="方正仿宋_GBK" w:hint="eastAsia"/>
          <w:kern w:val="0"/>
          <w:sz w:val="32"/>
          <w:szCs w:val="32"/>
        </w:rPr>
        <w:t>2026年7月31日，韩国食药部（MFDS）发布《2026年食品药品统计年报》（第28号），旨在通过详实的统计数据，全面反映韩国食品、药品、医疗器械等行业的现状与安全管理体系。报告基于2025年底的最新数据，涵盖了10个主要领域和59个细分领域，共计373个统计指标。涉及中国部分的内容如下：中国作为韩国食品、医药品及相关产品市场至关重要的供应国，在进口规模与细分品类上均占据核心地位，但同时也面临着严峻的质量合规挑战。在进口整体格局中，中国以66.45亿美元的出口额成为韩国第二大食品进口来源国，占比18.1%，仅次于美国；而在进口申报件数上，中国则以312432件的绝对优势位居第一，占总申报件数的35.7%，远超美国和日本，且依据《中韩自由贸易协定》申报的进口食品件数同样达到这一规模。在细分品类方面，中国是韩国加工食品（进口额24.21亿美元，占比22.1%）、水产品（进口额8.75亿美元，占比19.5%，主要为冷冻鱿鱼、活帝王蟹等）、食品添加剂（进口额4.13亿美元，占比31.1%）以及器具及容器包装（进口额19.24亿美元，占比高达67.8%，主要为塑料制品）的第一大进口来源国，同时也是韩国第二大农产品进口来源国（进口额8.67亿美元），此外在健康功能食品、医药外品及化妆品进口中也分别位列第六、第一和第七大来源国。然而，在庞大的贸易体量下，中国产产品的质量安全问题尤为突出，2025年中国以552件不合格产品数量和2606吨不合格总重量双双位居韩国进口食品不合格通报榜首，不合格率为0.2%，略高于0.16%的平均水平；其中，加工食品被退回180件，涉及点心、面包及果蔬加工品等，器具及容器包装被退回248件，主要原因为聚丙烯及金属制品材质不合格，这表明在深化中韩食品贸易合作的同时，产品质量标准与合规性管理仍是亟待持续关注的重点领域。</w:t>
      </w:r>
    </w:p>
    <w:p>
      <w:pPr>
        <w:overflowPunct w:val="0"/>
        <w:ind w:firstLineChars="200" w:firstLine="624"/>
        <w:rPr>
          <w:rFonts w:eastAsia="方正仿宋_GBK"/>
          <w:kern w:val="0"/>
          <w:sz w:val="32"/>
          <w:szCs w:val="32"/>
        </w:rPr>
      </w:pPr>
      <w:r>
        <w:rPr>
          <w:rFonts w:eastAsia="方正仿宋_GBK"/>
          <w:kern w:val="0"/>
          <w:sz w:val="32"/>
          <w:szCs w:val="32"/>
        </w:rPr>
        <w:t>https://www.mfds.go.kr/brd/m_371/view.do?seq=30725</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4" w:name="_Toc236668300"/>
      <w:bookmarkStart w:id="205" w:name="_Toc236754510"/>
      <w:r>
        <w:rPr>
          <w:rFonts w:ascii="方正楷体_GBK" w:eastAsia="方正楷体_GBK" w:cs="宋体" w:hint="eastAsia"/>
          <w:bCs w:val="0"/>
          <w:kern w:val="0"/>
          <w:sz w:val="32"/>
          <w:szCs w:val="32"/>
        </w:rPr>
        <w:t>韩国修订食品标准和规范。</w:t>
      </w:r>
      <w:bookmarkEnd w:id="204"/>
      <w:bookmarkEnd w:id="205"/>
    </w:p>
    <w:p>
      <w:pPr>
        <w:overflowPunct w:val="0"/>
        <w:ind w:firstLineChars="200" w:firstLine="624"/>
        <w:rPr>
          <w:rFonts w:eastAsia="方正仿宋_GBK"/>
          <w:kern w:val="0"/>
          <w:sz w:val="32"/>
          <w:szCs w:val="32"/>
        </w:rPr>
      </w:pPr>
      <w:r>
        <w:rPr>
          <w:rFonts w:eastAsia="方正仿宋_GBK"/>
          <w:kern w:val="0"/>
          <w:sz w:val="32"/>
          <w:szCs w:val="32"/>
        </w:rPr>
        <w:t>2026年7月31日，韩国食药部（MFDS）发布2026-55号公告，修订食品标准和规范，自2026年10月1日起生效。主要内容</w:t>
      </w:r>
      <w:r>
        <w:rPr>
          <w:rFonts w:eastAsia="方正仿宋_GBK" w:hint="eastAsia"/>
          <w:kern w:val="0"/>
          <w:sz w:val="32"/>
          <w:szCs w:val="32"/>
        </w:rPr>
        <w:t>如下</w:t>
      </w:r>
      <w:r>
        <w:rPr>
          <w:rFonts w:eastAsia="方正仿宋_GBK"/>
          <w:kern w:val="0"/>
          <w:sz w:val="32"/>
          <w:szCs w:val="32"/>
        </w:rPr>
        <w:t>：（1）食品中农药残留限量标准的修订。删除农药氰化氢（Hydrogen</w:t>
      </w:r>
      <w:r>
        <w:rPr>
          <w:rFonts w:eastAsia="方正仿宋_GBK" w:hint="eastAsia"/>
          <w:kern w:val="0"/>
          <w:sz w:val="32"/>
          <w:szCs w:val="32"/>
        </w:rPr>
        <w:t xml:space="preserve"> </w:t>
      </w:r>
      <w:r>
        <w:rPr>
          <w:rFonts w:eastAsia="方正仿宋_GBK"/>
          <w:kern w:val="0"/>
          <w:sz w:val="32"/>
          <w:szCs w:val="32"/>
        </w:rPr>
        <w:t>cyanide）的残留限量标准：如茄子、南瓜等≤5mg/kg；（2）制定和修订包括齐帕特罗在内的5种兽药的残留限量标准，部分内容如下表所示；（3）新增畜产品中驱虫药的多组分同时检测方法，该方法使用液相色谱-质谱联用仪（LC-MS/MS）进行分析，定量限：多拉菌素、莫昔克丁、阿维菌素、乙酰氨基阿维菌素均为：0.005mg/kg。</w:t>
      </w:r>
    </w:p>
    <w:p>
      <w:pPr>
        <w:overflowPunct w:val="0"/>
        <w:ind w:firstLineChars="200" w:firstLine="624"/>
        <w:rPr>
          <w:rFonts w:eastAsia="方正仿宋_GBK"/>
          <w:kern w:val="0"/>
          <w:sz w:val="32"/>
          <w:szCs w:val="32"/>
        </w:rPr>
      </w:pPr>
      <w:r>
        <w:rPr>
          <w:rFonts w:eastAsia="方正仿宋_GBK"/>
          <w:kern w:val="0"/>
          <w:sz w:val="32"/>
          <w:szCs w:val="32"/>
        </w:rPr>
        <w:t>https://www.mfds.go.kr/brd/m_207/view.do?seq=15182&amp;srchFr=&amp;srchTo=&amp;srchWord=&amp;srchTp=&amp;itm_seq_1=0&amp;itm_seq_2=0&amp;multi_itm_seq=0&amp;company_cd=&amp;company_nm=&amp;page=1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6" w:name="_Toc236668301"/>
      <w:bookmarkStart w:id="207" w:name="_Toc236754511"/>
      <w:r>
        <w:rPr>
          <w:rFonts w:ascii="方正楷体_GBK" w:eastAsia="方正楷体_GBK" w:cs="宋体" w:hint="eastAsia"/>
          <w:bCs w:val="0"/>
          <w:kern w:val="0"/>
          <w:sz w:val="32"/>
          <w:szCs w:val="32"/>
        </w:rPr>
        <w:t>越南公开征求食品安全法修订意见。</w:t>
      </w:r>
      <w:bookmarkEnd w:id="206"/>
      <w:bookmarkEnd w:id="207"/>
    </w:p>
    <w:p>
      <w:pPr>
        <w:overflowPunct w:val="0"/>
        <w:ind w:firstLineChars="200" w:firstLine="624"/>
        <w:rPr>
          <w:rFonts w:eastAsia="方正仿宋_GBK"/>
          <w:kern w:val="0"/>
          <w:sz w:val="32"/>
          <w:szCs w:val="32"/>
        </w:rPr>
      </w:pPr>
      <w:r>
        <w:rPr>
          <w:rFonts w:eastAsia="方正仿宋_GBK" w:hint="eastAsia"/>
          <w:kern w:val="0"/>
          <w:sz w:val="32"/>
          <w:szCs w:val="32"/>
        </w:rPr>
        <w:t>2026年7月30日，越南卫生部就《食品安全法（修订草案）》公开征求公众意见。该修订旨在完善食品安全法律体系、强化全链条风险管理、保障民众饮食安全。主要内容如下：（1）确立“全链条风险管理”为基本原则，要求管理贯穿从初始生产、种养殖、加工、流通到消费的全过程，并基于风险实施分级监管；（2）调整监管部门架构，由卫生部统一牵头实施国家食品安全管理，农业部、工贸部等相关部委配合执行；（3）引入食品分类管理制度，将食品分为“登记公告”“适用标准公告”及“免公告”三类进行管理，取代现行单一管理模式；（4）强制推行食品追溯及电子标识制度，要求所有上市流通食品必须具备条码、二维码等追溯码，确保“来源可查、去向可追”；（5）明确进口食品管理要求。进口食品须在进口前完成产品公告注册或适用标准公告（政府规定豁免的情形除外），并接受国家检查。进口食品国家检查分为精密检查、一般检查、简化检查三种方式，具体适用取决于食品安全风险程度。对于已与越南签订食品安全认证活动互认国际条约的国家，若条约规定与越南国内规定不同，则适用条约规定，但已发布警报或发现违反越南食品安全相关法律迹象的情形除外。政府将就进口食品检验机构、国家检查豁免、检查方法与程序、以及出口国登记等事项作出具体规定。</w:t>
      </w:r>
    </w:p>
    <w:p>
      <w:pPr>
        <w:overflowPunct w:val="0"/>
        <w:ind w:firstLineChars="200" w:firstLine="624"/>
        <w:rPr>
          <w:rFonts w:eastAsia="方正仿宋_GBK"/>
          <w:kern w:val="0"/>
          <w:sz w:val="32"/>
          <w:szCs w:val="32"/>
        </w:rPr>
      </w:pPr>
      <w:r>
        <w:rPr>
          <w:rFonts w:eastAsia="方正仿宋_GBK"/>
          <w:kern w:val="0"/>
          <w:sz w:val="32"/>
          <w:szCs w:val="32"/>
        </w:rPr>
        <w:t>https://chinhphu.vn/du-thao-vbqppl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8" w:name="_Toc236668302"/>
      <w:bookmarkStart w:id="209" w:name="_Toc236754512"/>
      <w:r>
        <w:rPr>
          <w:rFonts w:ascii="方正楷体_GBK" w:eastAsia="方正楷体_GBK" w:cs="宋体" w:hint="eastAsia"/>
          <w:bCs w:val="0"/>
          <w:kern w:val="0"/>
          <w:sz w:val="32"/>
          <w:szCs w:val="32"/>
        </w:rPr>
        <w:t>中国香港公布2026年6月食物安全报告。</w:t>
      </w:r>
      <w:bookmarkEnd w:id="208"/>
      <w:bookmarkEnd w:id="209"/>
    </w:p>
    <w:p>
      <w:pPr>
        <w:overflowPunct w:val="0"/>
        <w:ind w:firstLineChars="200" w:firstLine="624"/>
        <w:rPr>
          <w:rFonts w:eastAsia="方正仿宋_GBK"/>
          <w:kern w:val="0"/>
          <w:sz w:val="32"/>
          <w:szCs w:val="32"/>
        </w:rPr>
      </w:pPr>
      <w:r>
        <w:rPr>
          <w:rFonts w:eastAsia="方正仿宋_GBK" w:hint="eastAsia"/>
          <w:kern w:val="0"/>
          <w:sz w:val="32"/>
          <w:szCs w:val="32"/>
        </w:rPr>
        <w:t>2026年7月31日，中国香港食安中心公布2026年6月食物安全报告。结果显示在约7200个检测的食物样本中（包括网购食品），除较早前公布的9个样本外，其余样本全部通过检测，整体合格率为99.9%。</w:t>
      </w:r>
      <w:r>
        <w:rPr>
          <w:rFonts w:eastAsia="方正仿宋_GBK"/>
          <w:kern w:val="0"/>
          <w:sz w:val="32"/>
          <w:szCs w:val="32"/>
        </w:rPr>
        <w:t>​</w:t>
      </w:r>
      <w:r>
        <w:rPr>
          <w:rFonts w:eastAsia="方正仿宋_GBK" w:hint="eastAsia"/>
          <w:kern w:val="0"/>
          <w:sz w:val="32"/>
          <w:szCs w:val="32"/>
        </w:rPr>
        <w:t>检测样本包括约1900个蔬菜、水果及其制品样本；约500个谷类及谷类制品样本；约700个肉类、家禽及其制品样本；约1200个奶类、奶类制品及冰冻甜点样本；约1300个水产及其制品样本；以及约1600个其他类别的食物样本（包括饮品、烘焙食品及零食等）。9个不合格样本分别为1个除害剂残余超出法例标准的番茄样本；含有二氧化硫的4个牛肉样本及1个牛肉粥样本；1个含有组胺的预先包装冷藏沙甸鱼样本；1个金属杂质镉含量超出法例标准的进口蟹样本；以及1个大肠菌群含量超出法例上限的软雪糕样本。</w:t>
      </w:r>
    </w:p>
    <w:p>
      <w:pPr>
        <w:overflowPunct w:val="0"/>
        <w:ind w:firstLineChars="200" w:firstLine="624"/>
        <w:rPr>
          <w:rFonts w:eastAsia="方正仿宋_GBK"/>
          <w:kern w:val="0"/>
          <w:sz w:val="32"/>
          <w:szCs w:val="32"/>
        </w:rPr>
      </w:pPr>
      <w:r>
        <w:rPr>
          <w:rFonts w:eastAsia="方正仿宋_GBK"/>
          <w:kern w:val="0"/>
          <w:sz w:val="32"/>
          <w:szCs w:val="32"/>
        </w:rPr>
        <w:t>https://www.info.gov.hk/gia/general/202607/31/P2026073000462.htm</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0" w:name="_Toc236668303"/>
      <w:bookmarkStart w:id="211" w:name="_Toc236734297"/>
      <w:bookmarkStart w:id="212" w:name="_Toc236754513"/>
      <w:r>
        <w:rPr>
          <w:rFonts w:ascii="方正楷体_GBK" w:eastAsia="方正楷体_GBK" w:cs="宋体" w:hint="eastAsia"/>
          <w:bCs w:val="0"/>
          <w:kern w:val="0"/>
          <w:sz w:val="32"/>
          <w:szCs w:val="32"/>
        </w:rPr>
        <w:t>中国澳门发布2026年第二季度食品安全监督常规抽检情況。</w:t>
      </w:r>
      <w:bookmarkEnd w:id="211"/>
      <w:bookmarkEnd w:id="212"/>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7月31日，中国澳门市政署食品安全厅发布了2026年第二季度食品安全监督常规抽检情况。今年第二季度，澳门市场共抽取了775个食品样品进行检测，包括411份普通市场食品样本和364份食品饮料样本，抽检点覆盖了澳门各区的食肆、外卖店、熟食中心、超级市场、零售鲜活食品场所及杂货店等。市政署对相关食品样本进行了检测，其中微生物检测项目包括沙门氏菌属、单核细胞增生李斯特氏菌、蜡样芽孢杆菌等常见微生物检测；化学检测项目包括食品添加剂、残留物及禁用物质等。除先前公布并跟进的8个样品外，其他所有样品均通过检测，整体合格率为98.97%。8个不合格样本分别为副溶血性弧菌含量超标的潮汕生腌虾；梭状芽胞杆菌超标的低温慢煮美国牛板腱五重流心蛋碗；单增李斯特菌超标的叉烧、黑椒烤鹅、烤鸭、章鱼沙拉和酸辣柠檬无骨鸡爪；重金属铅超标的散装全蛋炒面样本。</w:t>
      </w:r>
    </w:p>
    <w:p>
      <w:pPr>
        <w:overflowPunct w:val="0"/>
        <w:ind w:firstLineChars="200" w:firstLine="624"/>
        <w:rPr>
          <w:rFonts w:eastAsia="方正仿宋_GBK"/>
          <w:kern w:val="0"/>
          <w:sz w:val="32"/>
          <w:szCs w:val="32"/>
        </w:rPr>
      </w:pPr>
      <w:r>
        <w:rPr>
          <w:rFonts w:eastAsia="方正仿宋_GBK"/>
          <w:kern w:val="0"/>
          <w:sz w:val="32"/>
          <w:szCs w:val="32"/>
        </w:rPr>
        <w:t>https://www.gov.mo/zh-hant/news/1256836/#&amp;gid=1&amp;pid=2</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3" w:name="_Toc236754514"/>
      <w:r>
        <w:rPr>
          <w:rFonts w:ascii="方正楷体_GBK" w:eastAsia="方正楷体_GBK" w:cs="宋体" w:hint="eastAsia"/>
          <w:bCs w:val="0"/>
          <w:kern w:val="0"/>
          <w:sz w:val="32"/>
          <w:szCs w:val="32"/>
        </w:rPr>
        <w:t>绿豆糕等多项行业标准和地方标准发布。</w:t>
      </w:r>
      <w:bookmarkEnd w:id="210"/>
      <w:bookmarkEnd w:id="213"/>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1日，国家标准委分别发布中华人民共和国行业标准备案月报2026年第7号（总第315号）和地方标准备案月报2026年第7号（总第312号），主要内容如下：（1）2026年7月工业和信息化部、国家发展和改革委员会、国家广播电视总局等12个部门20个行业共发布标准674项，涉及食品化妆品标准的是《绿豆糕》（QB/T 8185-2025）、《口腔清洁护理用品牙膏用甲基椰油酰基牛磺酸钠》（QB/T 8183-2025）等，实施日期为2026年7月1日等；同时，废止《进出口化妆品中尿囊素的测定 液相色谱法》（SN/T 1782-2006）等行业标准；（2）2026年7月天津市、内蒙古自治区、辽宁省等17个省市区共发布标准427项，涉及食品标准包括《东北黑蜂蜂蜜生产操作规程》（DB23/T 1932—2026）、《青海拉面品质指南》（DB63/T 2576-2026）、《阳羡雪芽茶质量等级》（DB32/T 634—2026）等地方标准，实施日期为2026年8月15日等；同时，废止《普通化妆品备案资料要求》（DB31/T 1472-2024）等地方标准。</w:t>
      </w:r>
    </w:p>
    <w:p>
      <w:pPr>
        <w:overflowPunct w:val="0"/>
        <w:ind w:firstLineChars="200" w:firstLine="624"/>
        <w:rPr>
          <w:rFonts w:eastAsia="方正仿宋_GBK"/>
          <w:kern w:val="0"/>
          <w:sz w:val="32"/>
          <w:szCs w:val="32"/>
        </w:rPr>
      </w:pPr>
      <w:r>
        <w:rPr>
          <w:rFonts w:eastAsia="方正仿宋_GBK"/>
          <w:kern w:val="0"/>
          <w:sz w:val="32"/>
          <w:szCs w:val="32"/>
        </w:rPr>
        <w:t>https://std.sacinfo.org.cn/gnocHb/queryInfo?id=32CD74B3B8C086AF1189179CBCAC44DFC12A3DED8ECF243688F82C29E3AF93ED</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https://std.sacinfo.org.cn/gnocDb/queryInfo?id=A539C7E6B264D72354D721405B9843CD5C8F24270DF5B898E02FEAC6E761C59C</w:t>
      </w:r>
      <w:r>
        <w:rPr>
          <w:rFonts w:eastAsia="方正仿宋_GBK" w:hint="eastAsia"/>
          <w:kern w:val="0"/>
          <w:sz w:val="32"/>
          <w:szCs w:val="32"/>
        </w:rPr>
        <w:t xml:space="preserve"> </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4" w:name="_Toc236754515"/>
      <w:r>
        <w:rPr>
          <w:rFonts w:ascii="方正楷体_GBK" w:eastAsia="方正楷体_GBK" w:cs="宋体" w:hint="eastAsia"/>
          <w:bCs w:val="0"/>
          <w:kern w:val="0"/>
          <w:sz w:val="32"/>
          <w:szCs w:val="32"/>
        </w:rPr>
        <w:t>冷冻饮品生产许可审查细则公开征求意见。</w:t>
      </w:r>
      <w:bookmarkEnd w:id="193"/>
      <w:bookmarkEnd w:id="214"/>
    </w:p>
    <w:p>
      <w:pPr>
        <w:overflowPunct w:val="0"/>
        <w:ind w:firstLineChars="200" w:firstLine="624"/>
        <w:rPr>
          <w:rFonts w:eastAsia="方正仿宋_GBK"/>
          <w:kern w:val="0"/>
          <w:sz w:val="32"/>
          <w:szCs w:val="32"/>
        </w:rPr>
      </w:pPr>
      <w:r>
        <w:rPr>
          <w:rFonts w:eastAsia="方正仿宋_GBK"/>
          <w:kern w:val="0"/>
          <w:sz w:val="32"/>
          <w:szCs w:val="32"/>
        </w:rPr>
        <w:t>2026年7月29日，市场监管总局网站报道，为规范冷冻饮品生产许可，加强对冷冻饮品生产环节的监督管理，市场监管总局就《冷冻饮品生产许可审查细则（征求意见稿）》向社会公开征求意见，为期30天。该征求意见稿主要修订了以下内容</w:t>
      </w:r>
      <w:r>
        <w:rPr>
          <w:rFonts w:eastAsia="方正仿宋_GBK" w:hint="eastAsia"/>
          <w:kern w:val="0"/>
          <w:sz w:val="32"/>
          <w:szCs w:val="32"/>
        </w:rPr>
        <w:t>：（1）</w:t>
      </w:r>
      <w:r>
        <w:rPr>
          <w:rFonts w:eastAsia="方正仿宋_GBK"/>
          <w:kern w:val="0"/>
          <w:sz w:val="32"/>
          <w:szCs w:val="32"/>
        </w:rPr>
        <w:t>完善生产许可范围。为满足冷冻饮品行业日益发展的需求，在梳理冷冻饮品六种常见产品类型外，新增其他冷冻饮品类型，更加贴合行业高质量发展要求。明确不得以分装方式生产冷冻饮品</w:t>
      </w:r>
      <w:r>
        <w:rPr>
          <w:rFonts w:eastAsia="方正仿宋_GBK" w:hint="eastAsia"/>
          <w:kern w:val="0"/>
          <w:sz w:val="32"/>
          <w:szCs w:val="32"/>
        </w:rPr>
        <w:t>；（2）</w:t>
      </w:r>
      <w:r>
        <w:rPr>
          <w:rFonts w:eastAsia="方正仿宋_GBK"/>
          <w:kern w:val="0"/>
          <w:sz w:val="32"/>
          <w:szCs w:val="32"/>
        </w:rPr>
        <w:t>细化设施设备要求。细化生产场所设置与划分、设备设施配套、设备布局和工艺流程等内容，强调各区域涵盖范围及分隔要求，明确企业应建立冷冻饮品专用冷库，并在实时监控设备的基础上配备温度超限报警装置</w:t>
      </w:r>
      <w:r>
        <w:rPr>
          <w:rFonts w:eastAsia="方正仿宋_GBK" w:hint="eastAsia"/>
          <w:kern w:val="0"/>
          <w:sz w:val="32"/>
          <w:szCs w:val="32"/>
        </w:rPr>
        <w:t>；（3）</w:t>
      </w:r>
      <w:r>
        <w:rPr>
          <w:rFonts w:eastAsia="方正仿宋_GBK"/>
          <w:kern w:val="0"/>
          <w:sz w:val="32"/>
          <w:szCs w:val="32"/>
        </w:rPr>
        <w:t>严格全过程污染防控。新增生产各阶段温湿度监控要求、微生物监控要求、冷库卫生管理要求以及产品冷链物流卫生要求，强化企业污染防控能力</w:t>
      </w:r>
      <w:r>
        <w:rPr>
          <w:rFonts w:eastAsia="方正仿宋_GBK" w:hint="eastAsia"/>
          <w:kern w:val="0"/>
          <w:sz w:val="32"/>
          <w:szCs w:val="32"/>
        </w:rPr>
        <w:t>；（4）</w:t>
      </w:r>
      <w:r>
        <w:rPr>
          <w:rFonts w:eastAsia="方正仿宋_GBK"/>
          <w:kern w:val="0"/>
          <w:sz w:val="32"/>
          <w:szCs w:val="32"/>
        </w:rPr>
        <w:t>明确食品安全制度要求。要求企业建立并落实采购管理与进货查验、生产过程管理、出厂检验、运输交付、追溯、自查及召回等全链条食品安全管理制度，同时要求配套仓储、清洁消毒相应制度。细化各项制度管理要求，既确保企业执行到位，也为生产许可审查提供明确参考依据。</w:t>
      </w:r>
    </w:p>
    <w:p>
      <w:pPr>
        <w:overflowPunct w:val="0"/>
        <w:ind w:firstLineChars="200" w:firstLine="624"/>
        <w:rPr>
          <w:rFonts w:eastAsia="方正仿宋_GBK"/>
          <w:kern w:val="0"/>
          <w:sz w:val="32"/>
          <w:szCs w:val="32"/>
        </w:rPr>
      </w:pPr>
      <w:r>
        <w:rPr>
          <w:rFonts w:eastAsia="方正仿宋_GBK"/>
          <w:kern w:val="0"/>
          <w:sz w:val="32"/>
          <w:szCs w:val="32"/>
        </w:rPr>
        <w:t>https://www.samr.gov.cn/xw/sj/art/2026/art_95a31e03a6564dd1bee0ba0f0115df7c.html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5" w:name="_Toc236307812"/>
      <w:bookmarkStart w:id="216" w:name="_Toc236754516"/>
      <w:r>
        <w:rPr>
          <w:rFonts w:ascii="方正楷体_GBK" w:eastAsia="方正楷体_GBK" w:cs="宋体" w:hint="eastAsia"/>
          <w:bCs w:val="0"/>
          <w:kern w:val="0"/>
          <w:sz w:val="32"/>
          <w:szCs w:val="32"/>
        </w:rPr>
        <w:t>水果制品生产许可审查细则公开征求意见。</w:t>
      </w:r>
      <w:bookmarkEnd w:id="215"/>
      <w:bookmarkEnd w:id="216"/>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kern w:val="0"/>
          <w:sz w:val="32"/>
          <w:szCs w:val="32"/>
        </w:rPr>
        <w:t>2026年7月28日</w:t>
      </w:r>
      <w:r>
        <w:rPr>
          <w:rFonts w:eastAsia="方正仿宋_GBK" w:hint="eastAsia"/>
          <w:kern w:val="0"/>
          <w:sz w:val="32"/>
          <w:szCs w:val="32"/>
        </w:rPr>
        <w:t>，</w:t>
      </w:r>
      <w:r>
        <w:rPr>
          <w:rFonts w:eastAsia="方正仿宋_GBK"/>
          <w:kern w:val="0"/>
          <w:sz w:val="32"/>
          <w:szCs w:val="32"/>
        </w:rPr>
        <w:t>市场监管总局公开征求《水果制品生产许可审查细则（征求意见稿）》意见，意见</w:t>
      </w:r>
      <w:r>
        <w:rPr>
          <w:rFonts w:eastAsia="方正仿宋_GBK" w:hint="eastAsia"/>
          <w:kern w:val="0"/>
          <w:sz w:val="32"/>
          <w:szCs w:val="32"/>
        </w:rPr>
        <w:t>反馈</w:t>
      </w:r>
      <w:r>
        <w:rPr>
          <w:rFonts w:eastAsia="方正仿宋_GBK"/>
          <w:kern w:val="0"/>
          <w:sz w:val="32"/>
          <w:szCs w:val="32"/>
        </w:rPr>
        <w:t>期</w:t>
      </w:r>
      <w:r>
        <w:rPr>
          <w:rFonts w:eastAsia="方正仿宋_GBK" w:hint="eastAsia"/>
          <w:kern w:val="0"/>
          <w:sz w:val="32"/>
          <w:szCs w:val="32"/>
        </w:rPr>
        <w:t>截</w:t>
      </w:r>
      <w:r>
        <w:rPr>
          <w:rFonts w:eastAsia="方正仿宋_GBK"/>
          <w:kern w:val="0"/>
          <w:sz w:val="32"/>
          <w:szCs w:val="32"/>
        </w:rPr>
        <w:t>至2026年8月28日。主要修订内容：（</w:t>
      </w:r>
      <w:r>
        <w:rPr>
          <w:rFonts w:eastAsia="方正仿宋_GBK" w:hint="eastAsia"/>
          <w:kern w:val="0"/>
          <w:sz w:val="32"/>
          <w:szCs w:val="32"/>
        </w:rPr>
        <w:t>1</w:t>
      </w:r>
      <w:r>
        <w:rPr>
          <w:rFonts w:eastAsia="方正仿宋_GBK"/>
          <w:kern w:val="0"/>
          <w:sz w:val="32"/>
          <w:szCs w:val="32"/>
        </w:rPr>
        <w:t>）调整结构：修订后细则结构调整为8章46条，包括：总则、生产场所、设备设施、设备布局和工艺流程、人员管理、管理制度、试制产品检验报告、附则等章节</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2</w:t>
      </w:r>
      <w:r>
        <w:rPr>
          <w:rFonts w:eastAsia="方正仿宋_GBK"/>
          <w:kern w:val="0"/>
          <w:sz w:val="32"/>
          <w:szCs w:val="32"/>
        </w:rPr>
        <w:t>）调整完善许可范围。修订了蜜饯、果酱的定义，新增水果脆片（含片状、丁状、块状、颗粒状）、水果粉（粒）等品种明细；调整了水果干制品的分类；明确不允许分装水果脆片、水果粉（粒）及果酱</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3</w:t>
      </w:r>
      <w:r>
        <w:rPr>
          <w:rFonts w:eastAsia="方正仿宋_GBK"/>
          <w:kern w:val="0"/>
          <w:sz w:val="32"/>
          <w:szCs w:val="32"/>
        </w:rPr>
        <w:t>）细化明确生产场所要求。细化调整了对厂房布局要求、生产作业区划分要求，新增原料、成品、食品相关产品库房要求，以及原料、半成品、成品、包装材料、食品添加剂贮存标识要求等</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4</w:t>
      </w:r>
      <w:r>
        <w:rPr>
          <w:rFonts w:eastAsia="方正仿宋_GBK"/>
          <w:kern w:val="0"/>
          <w:sz w:val="32"/>
          <w:szCs w:val="32"/>
        </w:rPr>
        <w:t>）调整设备设施要求。细化调整了设施设备要求，明确性能和精度应当满足生产要求，便于操作、清洁、维护。补充细化了工器具、腌制池、供排水、照明设施、清洁设施、废弃物存放设施、温湿度控制设施、检验设备等方面要求</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5</w:t>
      </w:r>
      <w:r>
        <w:rPr>
          <w:rFonts w:eastAsia="方正仿宋_GBK"/>
          <w:kern w:val="0"/>
          <w:sz w:val="32"/>
          <w:szCs w:val="32"/>
        </w:rPr>
        <w:t>）严格设备布局和工艺流程要求。明确不同水果制品加工工艺关键控制环节，要求开展危害分析，建立相应的食品安全控制措施，细化生产流程及关键控制环节等</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6</w:t>
      </w:r>
      <w:r>
        <w:rPr>
          <w:rFonts w:eastAsia="方正仿宋_GBK"/>
          <w:kern w:val="0"/>
          <w:sz w:val="32"/>
          <w:szCs w:val="32"/>
        </w:rPr>
        <w:t>）强化人员管理要求。明确企业主要负责人、食品安全总监、食品安全员等食品安全管理人员以及相关专业技术人员、食品加工人员的管理要求等</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7</w:t>
      </w:r>
      <w:r>
        <w:rPr>
          <w:rFonts w:eastAsia="方正仿宋_GBK"/>
          <w:kern w:val="0"/>
          <w:sz w:val="32"/>
          <w:szCs w:val="32"/>
        </w:rPr>
        <w:t>）健全管理制度要求。对企业建立食品安全管理制度提出具体要求，包括：进货查验记录管理制度、卫生管理制度、生产过程控制制度、食品添加剂使用管理制度、检验管理及出厂检验记录制度、运输和交付管理制度、食品安全追溯制度、食品安全自查制度、不合格品管理及不安全食品召回制度、食品安全事故处置制度等。</w:t>
      </w:r>
    </w:p>
    <w:p>
      <w:pPr>
        <w:overflowPunct w:val="0"/>
        <w:ind w:firstLineChars="200" w:firstLine="624"/>
        <w:rPr>
          <w:rFonts w:eastAsia="方正仿宋_GBK"/>
          <w:kern w:val="0"/>
          <w:sz w:val="32"/>
          <w:szCs w:val="32"/>
        </w:rPr>
      </w:pPr>
      <w:r>
        <w:rPr>
          <w:rFonts w:eastAsia="方正仿宋_GBK"/>
          <w:kern w:val="0"/>
          <w:sz w:val="32"/>
          <w:szCs w:val="32"/>
        </w:rPr>
        <w:t>https://www.samr.gov.cn/hd/zjdc/art/2026/art_6b70495e242e495b9d90c68210b82ada.html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7" w:name="_Toc236307813"/>
      <w:bookmarkStart w:id="218" w:name="_Toc236754517"/>
      <w:r>
        <w:rPr>
          <w:rFonts w:ascii="方正楷体_GBK" w:eastAsia="方正楷体_GBK" w:cs="宋体" w:hint="eastAsia"/>
          <w:bCs w:val="0"/>
          <w:kern w:val="0"/>
          <w:sz w:val="32"/>
          <w:szCs w:val="32"/>
        </w:rPr>
        <w:t>使用动物或植物原料的保健食品注册申报管理规定公开征求意见。</w:t>
      </w:r>
      <w:bookmarkEnd w:id="217"/>
      <w:bookmarkEnd w:id="218"/>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7月24日，市场监管总局公开征集《使用动物原料的保健食品注册申报管理规定（征求意见稿）》和《使用植物原料的保健食品注册申报管理规定（征求意见稿）》意见，意见反馈期截至2026年8月24日。修订的主要内容：（1）使用动物原料的保健食品注册申报管理规定：保健食品明确禁止使用国家重点保护野生动物、列入《濒危野生动植物种国际贸易公约》附录的野生动物、“有重要生态、科学、社会价值的陆生野生动物”以及其他所有陆生野生动物及其制品作为保健食品的原料或辅料；使用陆生动物原料，应当来源于《国家畜禽遗传资源目录》所列物种，或来源于《按照传统既是食品又是中药材的物质目录》中仅限于人工繁育的种群，且所用部位应具有传统食用习惯；水生动物原料须符合相关法律；进口动物原料须按CITES规定提供文件；使用动物原料的保健食品，应当提供动物检疫合格证明；（2）使用植物原料的保健食品注册申报管理规定：明确禁止使用《国家重点保护野生植物名录》中的一级保护野生植物及其制品作为保健食品原料或辅料；使用列入国家二级保护野生植物及其制品，须提供采集证、收购许可证明文件及相关溯源性文件；进口植物原料如列入CITES附录，须按相关规定提供文件等。</w:t>
      </w:r>
    </w:p>
    <w:p>
      <w:pPr>
        <w:overflowPunct w:val="0"/>
        <w:ind w:firstLineChars="200" w:firstLine="624"/>
        <w:rPr>
          <w:rFonts w:eastAsia="方正仿宋_GBK"/>
          <w:kern w:val="0"/>
          <w:sz w:val="32"/>
          <w:szCs w:val="32"/>
        </w:rPr>
      </w:pPr>
      <w:r>
        <w:rPr>
          <w:rFonts w:eastAsia="方正仿宋_GBK"/>
          <w:kern w:val="0"/>
          <w:sz w:val="32"/>
          <w:szCs w:val="32"/>
        </w:rPr>
        <w:t>https://www.samr.gov.cn/hd/zjdc/art/2026/art_f7d44ea6eec045f49810e933fdbee85a.html</w:t>
      </w:r>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19" w:name="_Toc224554044"/>
      <w:bookmarkStart w:id="220" w:name="_Toc236754518"/>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Fonts w:ascii="方正黑体_GBK" w:eastAsia="方正黑体_GBK" w:cs="宋体" w:hint="eastAsia"/>
          <w:b w:val="0"/>
          <w:kern w:val="0"/>
          <w:sz w:val="32"/>
          <w:szCs w:val="32"/>
        </w:rPr>
        <w:t>进出口化妆品安全信息</w:t>
      </w:r>
      <w:bookmarkEnd w:id="220"/>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21" w:name="_Toc235745252"/>
      <w:bookmarkStart w:id="222" w:name="_Toc236307815"/>
      <w:bookmarkStart w:id="223" w:name="_Toc236754520"/>
      <w:bookmarkEnd w:id="98"/>
      <w:bookmarkEnd w:id="99"/>
      <w:bookmarkEnd w:id="100"/>
      <w:bookmarkEnd w:id="101"/>
      <w:bookmarkEnd w:id="102"/>
      <w:bookmarkEnd w:id="103"/>
      <w:bookmarkEnd w:id="104"/>
      <w:bookmarkEnd w:id="105"/>
      <w:bookmarkEnd w:id="143"/>
      <w:bookmarkEnd w:id="144"/>
      <w:bookmarkEnd w:id="145"/>
      <w:bookmarkEnd w:id="146"/>
      <w:bookmarkEnd w:id="219"/>
      <w:r>
        <w:rPr>
          <w:rFonts w:ascii="方正楷体_GBK" w:eastAsia="方正楷体_GBK" w:cs="宋体" w:hint="eastAsia"/>
          <w:bCs w:val="0"/>
          <w:kern w:val="0"/>
          <w:sz w:val="32"/>
          <w:szCs w:val="32"/>
        </w:rPr>
        <w:t>国家药监局发布化妆品注册备案有关事项的公告。</w:t>
      </w:r>
      <w:bookmarkEnd w:id="222"/>
      <w:bookmarkEnd w:id="223"/>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2026年7月29日，国家药监局发布2026年第70号关于化妆品注册备案有关事项公告，自发布之日起施行。主要内容：</w:t>
      </w:r>
      <w:r>
        <w:rPr>
          <w:rFonts w:eastAsia="方正仿宋_GBK" w:hint="eastAsia"/>
          <w:b/>
          <w:bCs/>
          <w:kern w:val="0"/>
          <w:sz w:val="32"/>
          <w:szCs w:val="32"/>
        </w:rPr>
        <w:t>一是</w:t>
      </w:r>
      <w:r>
        <w:rPr>
          <w:rFonts w:eastAsia="方正仿宋_GBK" w:hint="eastAsia"/>
          <w:kern w:val="0"/>
          <w:sz w:val="32"/>
          <w:szCs w:val="32"/>
        </w:rPr>
        <w:t>鼓励国际化妆品新品在中国首发。</w:t>
      </w:r>
      <w:r>
        <w:rPr>
          <w:rFonts w:eastAsia="方正仿宋_GBK" w:hint="eastAsia"/>
          <w:b/>
          <w:bCs/>
          <w:kern w:val="0"/>
          <w:sz w:val="32"/>
          <w:szCs w:val="32"/>
        </w:rPr>
        <w:t>二是</w:t>
      </w:r>
      <w:r>
        <w:rPr>
          <w:rFonts w:eastAsia="方正仿宋_GBK" w:hint="eastAsia"/>
          <w:kern w:val="0"/>
          <w:sz w:val="32"/>
          <w:szCs w:val="32"/>
        </w:rPr>
        <w:t>减免化妆品动物试验。</w:t>
      </w:r>
      <w:r>
        <w:rPr>
          <w:rFonts w:eastAsia="方正仿宋_GBK" w:hint="eastAsia"/>
          <w:b/>
          <w:bCs/>
          <w:kern w:val="0"/>
          <w:sz w:val="32"/>
          <w:szCs w:val="32"/>
        </w:rPr>
        <w:t>三是</w:t>
      </w:r>
      <w:r>
        <w:rPr>
          <w:rFonts w:eastAsia="方正仿宋_GBK" w:hint="eastAsia"/>
          <w:kern w:val="0"/>
          <w:sz w:val="32"/>
          <w:szCs w:val="32"/>
        </w:rPr>
        <w:t>调整原料安全相关信息为企业存档备查。化妆品和牙膏注册备案时，不再要求化妆品企业填写原料安全信息文件和报送码，相关资料存档备查。</w:t>
      </w:r>
      <w:r>
        <w:rPr>
          <w:rFonts w:eastAsia="方正仿宋_GBK" w:hint="eastAsia"/>
          <w:b/>
          <w:bCs/>
          <w:kern w:val="0"/>
          <w:sz w:val="32"/>
          <w:szCs w:val="32"/>
        </w:rPr>
        <w:t>四是</w:t>
      </w:r>
      <w:r>
        <w:rPr>
          <w:rFonts w:eastAsia="方正仿宋_GBK" w:hint="eastAsia"/>
          <w:kern w:val="0"/>
          <w:sz w:val="32"/>
          <w:szCs w:val="32"/>
        </w:rPr>
        <w:t>允许配方体系近似产品共用安全性和功效宣称评价资料。</w:t>
      </w:r>
      <w:r>
        <w:rPr>
          <w:rFonts w:eastAsia="方正仿宋_GBK" w:hint="eastAsia"/>
          <w:b/>
          <w:bCs/>
          <w:kern w:val="0"/>
          <w:sz w:val="32"/>
          <w:szCs w:val="32"/>
        </w:rPr>
        <w:t>五是</w:t>
      </w:r>
      <w:r>
        <w:rPr>
          <w:rFonts w:eastAsia="方正仿宋_GBK" w:hint="eastAsia"/>
          <w:kern w:val="0"/>
          <w:sz w:val="32"/>
          <w:szCs w:val="32"/>
        </w:rPr>
        <w:t>简化生产场地跨境转移产品的注册备案资料要求，已经注册备案的进口产品，拟转移至境内生产或者增加境内生产企业的，或者已经注册备案的国产产品，拟转移至境外生产或者增加境外生产企业的，如注册人、备案人、产品名称、配方未发生变化，且执行的标准未发生实质性变化，产品注册备案时，注册人、备案人可以共用毒理学试验、人体安全性试验、安全评估、功效评价等试验评估报告，但需重新开展微生物与理化检验并提交检验报告，同时提交原产品注册证或者备案凭证。</w:t>
      </w:r>
      <w:r>
        <w:rPr>
          <w:rFonts w:eastAsia="方正仿宋_GBK" w:hint="eastAsia"/>
          <w:b/>
          <w:bCs/>
          <w:kern w:val="0"/>
          <w:sz w:val="32"/>
          <w:szCs w:val="32"/>
        </w:rPr>
        <w:t>六是</w:t>
      </w:r>
      <w:r>
        <w:rPr>
          <w:rFonts w:eastAsia="方正仿宋_GBK" w:hint="eastAsia"/>
          <w:kern w:val="0"/>
          <w:sz w:val="32"/>
          <w:szCs w:val="32"/>
        </w:rPr>
        <w:t>扩大化妆品功效宣称评价试验方法接受范围。</w:t>
      </w:r>
      <w:r>
        <w:rPr>
          <w:rFonts w:eastAsia="方正仿宋_GBK" w:hint="eastAsia"/>
          <w:b/>
          <w:bCs/>
          <w:kern w:val="0"/>
          <w:sz w:val="32"/>
          <w:szCs w:val="32"/>
        </w:rPr>
        <w:t>七是</w:t>
      </w:r>
      <w:r>
        <w:rPr>
          <w:rFonts w:eastAsia="方正仿宋_GBK" w:hint="eastAsia"/>
          <w:kern w:val="0"/>
          <w:sz w:val="32"/>
          <w:szCs w:val="32"/>
        </w:rPr>
        <w:t>简化境内责任人变更资料，产品变更境内责任人的，无需再提交原境内责任人盖章同意更换境内责任人的知情同意书、能够证明境内责任人发生变更生效的判决文书，仅需提交：境内责任人授权书原件及其公证书原件；拟变更境内责任人的产品清单；拟变更境内责任人承担产品（含变更前已上市的产品）原境内责任人各项责任的承诺书。</w:t>
      </w:r>
    </w:p>
    <w:p>
      <w:pPr>
        <w:overflowPunct w:val="0"/>
        <w:ind w:firstLineChars="200" w:firstLine="624"/>
        <w:rPr>
          <w:rFonts w:eastAsia="方正仿宋_GBK"/>
          <w:kern w:val="0"/>
          <w:sz w:val="32"/>
          <w:szCs w:val="32"/>
        </w:rPr>
      </w:pPr>
      <w:r>
        <w:rPr>
          <w:rFonts w:eastAsia="方正仿宋_GBK"/>
          <w:kern w:val="0"/>
          <w:sz w:val="32"/>
          <w:szCs w:val="32"/>
        </w:rPr>
        <w:t>https://www.nmpa.gov.cn/xxgk/ggtg/hzhpggtg/jmhzhptg/20260729115807198.html</w:t>
      </w:r>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24" w:name="_Toc236668306"/>
      <w:bookmarkStart w:id="225" w:name="_Toc236754521"/>
      <w:r>
        <w:rPr>
          <w:rFonts w:ascii="方正楷体_GBK" w:eastAsia="方正楷体_GBK" w:cs="宋体"/>
          <w:bCs w:val="0"/>
          <w:kern w:val="0"/>
          <w:sz w:val="32"/>
          <w:szCs w:val="32"/>
        </w:rPr>
        <w:t>口腔清洁护理液行业标准计划项目公开征求意见</w:t>
      </w:r>
      <w:r>
        <w:rPr>
          <w:rFonts w:ascii="方正楷体_GBK" w:eastAsia="方正楷体_GBK" w:cs="宋体" w:hint="eastAsia"/>
          <w:bCs w:val="0"/>
          <w:kern w:val="0"/>
          <w:sz w:val="32"/>
          <w:szCs w:val="32"/>
        </w:rPr>
        <w:t>。</w:t>
      </w:r>
      <w:bookmarkEnd w:id="224"/>
      <w:bookmarkEnd w:id="225"/>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kern w:val="0"/>
          <w:sz w:val="32"/>
          <w:szCs w:val="32"/>
        </w:rPr>
        <w:t>2026年7月31日，工业和信息化部公开征求《纺织产品数字护照第1部分：通则》等97项行业标准计划项目意见，</w:t>
      </w:r>
      <w:r>
        <w:rPr>
          <w:rFonts w:eastAsia="方正仿宋_GBK" w:hint="eastAsia"/>
          <w:kern w:val="0"/>
          <w:sz w:val="32"/>
          <w:szCs w:val="32"/>
        </w:rPr>
        <w:t>意见反馈期截</w:t>
      </w:r>
      <w:r>
        <w:rPr>
          <w:rFonts w:eastAsia="方正仿宋_GBK"/>
          <w:kern w:val="0"/>
          <w:sz w:val="32"/>
          <w:szCs w:val="32"/>
        </w:rPr>
        <w:t>至2026年8月30日。其中涉及的化妆品标准为：《口腔清洁护理液》（QBCPXT2307-2026），修订的内容主要有：更改了适用范围；增加了口腔清洁护理液、口腔喷雾剂的定义；更改了感官、理化指标；更改了卫生指标中的菌落总数的要求；更改了净含量的要求；更改了保质期的要求等。</w:t>
      </w:r>
    </w:p>
    <w:p>
      <w:pPr>
        <w:overflowPunct w:val="0"/>
        <w:ind w:firstLineChars="200" w:firstLine="624"/>
        <w:rPr>
          <w:rFonts w:eastAsia="方正仿宋_GBK"/>
          <w:kern w:val="0"/>
          <w:sz w:val="32"/>
          <w:szCs w:val="32"/>
        </w:rPr>
      </w:pPr>
      <w:bookmarkStart w:id="226" w:name="_GoBack"/>
      <w:bookmarkEnd w:id="226"/>
      <w:r>
        <w:rPr>
          <w:rFonts w:eastAsia="方正仿宋_GBK"/>
          <w:kern w:val="0"/>
          <w:sz w:val="32"/>
          <w:szCs w:val="32"/>
        </w:rPr>
        <w:t>https://www.miit.gov.cn/jgsj/kjs/jscx/bzgf/art/2026/art_b89cde2c69224f928aa69fae638353f9.html</w:t>
      </w:r>
    </w:p>
    <w:p>
      <w:pPr>
        <w:overflowPunct w:val="0"/>
        <w:ind w:firstLineChars="200" w:firstLine="624"/>
        <w:rPr>
          <w:rFonts w:eastAsia="方正仿宋_GBK" w:hint="eastAsia"/>
          <w:kern w:val="0"/>
          <w:sz w:val="32"/>
          <w:szCs w:val="32"/>
        </w:rPr>
      </w:pPr>
      <w:bookmarkEnd w:id="221"/>
    </w:p>
    <w:sectPr>
      <w:pgSz w:w="11906" w:h="16838"/>
      <w:pgMar w:top="1985" w:right="1361" w:bottom="1361" w:left="1588" w:header="851" w:footer="1418" w:gutter="0"/>
      <w:cols w:num="1" w:space="72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swiss"/>
    <w:pitch w:val="variable"/>
    <w:sig w:usb0="E0002EFF" w:usb1="C000785B" w:usb2="00000009" w:usb3="00000000" w:csb0="000001FF" w:csb1="00000000"/>
  </w:font>
  <w:font w:name="Tahoma">
    <w:altName w:val="DejaVu Sans"/>
    <w:panose1 w:val="020B0604030504040204"/>
    <w:charset w:val="00"/>
    <w:family w:val="swiss"/>
    <w:pitch w:val="variable"/>
    <w:sig w:usb0="E1002EFF" w:usb1="C000605B" w:usb2="00000029" w:usb3="00000000" w:csb0="000101FF" w:csb1="00000000"/>
  </w:font>
  <w:font w:name="Lucida Sans">
    <w:altName w:val="DejaVu Sans"/>
    <w:panose1 w:val="020B0602030504020204"/>
    <w:charset w:val="00"/>
    <w:family w:val="swiss"/>
    <w:pitch w:val="variable"/>
    <w:sig w:usb0="00000003" w:usb1="00000000" w:usb2="00000000" w:usb3="00000000" w:csb0="0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00000000" w:usb1="00000000"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73527462"/>
    <w:lvl w:ilvl="0">
      <w:start w:val="1"/>
      <w:numFmt w:val="chineseCountingThousand"/>
      <w:lvlRestart w:val="0"/>
      <w:suff w:val="nothing"/>
      <w:lvlText w:val="%1、"/>
      <w:lvlJc w:val="left"/>
      <w:pPr>
        <w:tabs>
          <w:tab w:val="num" w:pos="141"/>
        </w:tabs>
        <w:ind w:left="993" w:hanging="0"/>
      </w:pPr>
      <w:rPr>
        <w:rFonts w:hint="default"/>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7EB403D1"/>
    <w:multiLevelType w:val="hybridMultilevel"/>
    <w:tmpl w:val="851017DC"/>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02C03894"/>
    <w:multiLevelType w:val="multilevel"/>
    <w:tmpl w:val="72BD09D6"/>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hAnsi="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hAnsi="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hAnsi="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hAnsi="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hAnsi="宋体"/>
      <w:kern w:val="0"/>
      <w:sz w:val="24"/>
    </w:rPr>
  </w:style>
  <w:style w:type="paragraph" w:customStyle="1" w:styleId="482">
    <w:name w:val="0"/>
    <w:basedOn w:val="0"/>
    <w:pPr>
      <w:widowControl/>
      <w:spacing w:before="100" w:beforeAutospacing="1" w:after="100" w:afterAutospacing="1"/>
      <w:jc w:val="left"/>
    </w:pPr>
    <w:rPr>
      <w:rFonts w:ascii="宋体" w:cs="宋体" w:hAnsi="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hAnsi="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hAnsi="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hAnsi="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hAnsi="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hAnsi="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hAnsi="宋体"/>
      <w:kern w:val="0"/>
      <w:sz w:val="24"/>
    </w:rPr>
  </w:style>
  <w:style w:type="paragraph" w:customStyle="1" w:styleId="528">
    <w:name w:val="nb"/>
    <w:basedOn w:val="0"/>
    <w:pPr>
      <w:widowControl/>
      <w:spacing w:before="100" w:beforeAutospacing="1" w:after="100" w:afterAutospacing="1"/>
      <w:jc w:val="left"/>
    </w:pPr>
    <w:rPr>
      <w:rFonts w:ascii="宋体" w:cs="宋体" w:hAnsi="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hAnsi="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hAnsi="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hAnsi="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hAnsi="宋体"/>
      <w:kern w:val="0"/>
      <w:sz w:val="24"/>
    </w:rPr>
  </w:style>
  <w:style w:type="paragraph" w:customStyle="1" w:styleId="552">
    <w:name w:val="style360"/>
    <w:basedOn w:val="0"/>
    <w:pPr>
      <w:widowControl/>
      <w:spacing w:before="100" w:beforeAutospacing="1" w:after="100" w:afterAutospacing="1"/>
      <w:jc w:val="left"/>
    </w:pPr>
    <w:rPr>
      <w:rFonts w:ascii="宋体" w:cs="宋体" w:hAnsi="宋体"/>
      <w:kern w:val="0"/>
      <w:sz w:val="24"/>
    </w:rPr>
  </w:style>
  <w:style w:type="paragraph" w:customStyle="1" w:styleId="553">
    <w:name w:val="style359"/>
    <w:basedOn w:val="0"/>
    <w:pPr>
      <w:widowControl/>
      <w:spacing w:before="100" w:beforeAutospacing="1" w:after="100" w:afterAutospacing="1"/>
      <w:jc w:val="left"/>
    </w:pPr>
    <w:rPr>
      <w:rFonts w:ascii="宋体" w:cs="宋体" w:hAnsi="宋体"/>
      <w:kern w:val="0"/>
      <w:sz w:val="24"/>
    </w:rPr>
  </w:style>
  <w:style w:type="paragraph" w:customStyle="1" w:styleId="554">
    <w:name w:val="style355"/>
    <w:basedOn w:val="0"/>
    <w:pPr>
      <w:widowControl/>
      <w:spacing w:before="100" w:beforeAutospacing="1" w:after="100" w:afterAutospacing="1"/>
      <w:jc w:val="left"/>
    </w:pPr>
    <w:rPr>
      <w:rFonts w:ascii="宋体" w:cs="宋体" w:hAnsi="宋体"/>
      <w:kern w:val="0"/>
      <w:sz w:val="24"/>
    </w:rPr>
  </w:style>
  <w:style w:type="paragraph" w:customStyle="1" w:styleId="555">
    <w:name w:val="style354"/>
    <w:basedOn w:val="0"/>
    <w:pPr>
      <w:widowControl/>
      <w:spacing w:before="100" w:beforeAutospacing="1" w:after="100" w:afterAutospacing="1"/>
      <w:jc w:val="left"/>
    </w:pPr>
    <w:rPr>
      <w:rFonts w:ascii="宋体" w:cs="宋体" w:hAnsi="宋体"/>
      <w:kern w:val="0"/>
      <w:sz w:val="24"/>
    </w:rPr>
  </w:style>
  <w:style w:type="paragraph" w:customStyle="1" w:styleId="556">
    <w:name w:val="style350"/>
    <w:basedOn w:val="0"/>
    <w:pPr>
      <w:widowControl/>
      <w:spacing w:before="100" w:beforeAutospacing="1" w:after="100" w:afterAutospacing="1"/>
      <w:jc w:val="left"/>
    </w:pPr>
    <w:rPr>
      <w:rFonts w:ascii="宋体" w:cs="宋体" w:hAnsi="宋体"/>
      <w:kern w:val="0"/>
      <w:sz w:val="24"/>
    </w:rPr>
  </w:style>
  <w:style w:type="paragraph" w:customStyle="1" w:styleId="557">
    <w:name w:val="style349"/>
    <w:basedOn w:val="0"/>
    <w:pPr>
      <w:widowControl/>
      <w:spacing w:before="100" w:beforeAutospacing="1" w:after="100" w:afterAutospacing="1"/>
      <w:jc w:val="left"/>
    </w:pPr>
    <w:rPr>
      <w:rFonts w:ascii="宋体" w:cs="宋体" w:hAnsi="宋体"/>
      <w:kern w:val="0"/>
      <w:sz w:val="24"/>
    </w:rPr>
  </w:style>
  <w:style w:type="paragraph" w:customStyle="1" w:styleId="558">
    <w:name w:val="style345"/>
    <w:basedOn w:val="0"/>
    <w:pPr>
      <w:widowControl/>
      <w:spacing w:before="100" w:beforeAutospacing="1" w:after="100" w:afterAutospacing="1"/>
      <w:jc w:val="left"/>
    </w:pPr>
    <w:rPr>
      <w:rFonts w:ascii="宋体" w:cs="宋体" w:hAnsi="宋体"/>
      <w:kern w:val="0"/>
      <w:sz w:val="24"/>
    </w:rPr>
  </w:style>
  <w:style w:type="paragraph" w:customStyle="1" w:styleId="559">
    <w:name w:val="style344"/>
    <w:basedOn w:val="0"/>
    <w:pPr>
      <w:widowControl/>
      <w:spacing w:before="100" w:beforeAutospacing="1" w:after="100" w:afterAutospacing="1"/>
      <w:jc w:val="left"/>
    </w:pPr>
    <w:rPr>
      <w:rFonts w:ascii="宋体" w:cs="宋体" w:hAnsi="宋体"/>
      <w:kern w:val="0"/>
      <w:sz w:val="24"/>
    </w:rPr>
  </w:style>
  <w:style w:type="paragraph" w:customStyle="1" w:styleId="560">
    <w:name w:val="style335"/>
    <w:basedOn w:val="0"/>
    <w:pPr>
      <w:widowControl/>
      <w:spacing w:before="100" w:beforeAutospacing="1" w:after="100" w:afterAutospacing="1"/>
      <w:jc w:val="left"/>
    </w:pPr>
    <w:rPr>
      <w:rFonts w:ascii="宋体" w:cs="宋体" w:hAnsi="宋体"/>
      <w:kern w:val="0"/>
      <w:sz w:val="24"/>
    </w:rPr>
  </w:style>
  <w:style w:type="paragraph" w:customStyle="1" w:styleId="561">
    <w:name w:val="style334"/>
    <w:basedOn w:val="0"/>
    <w:pPr>
      <w:widowControl/>
      <w:spacing w:before="100" w:beforeAutospacing="1" w:after="100" w:afterAutospacing="1"/>
      <w:jc w:val="left"/>
    </w:pPr>
    <w:rPr>
      <w:rFonts w:ascii="宋体" w:cs="宋体" w:hAnsi="宋体"/>
      <w:kern w:val="0"/>
      <w:sz w:val="24"/>
    </w:rPr>
  </w:style>
  <w:style w:type="paragraph" w:customStyle="1" w:styleId="562">
    <w:name w:val="style330"/>
    <w:basedOn w:val="0"/>
    <w:pPr>
      <w:widowControl/>
      <w:spacing w:before="100" w:beforeAutospacing="1" w:after="100" w:afterAutospacing="1"/>
      <w:jc w:val="left"/>
    </w:pPr>
    <w:rPr>
      <w:rFonts w:ascii="宋体" w:cs="宋体" w:hAnsi="宋体"/>
      <w:kern w:val="0"/>
      <w:sz w:val="24"/>
    </w:rPr>
  </w:style>
  <w:style w:type="paragraph" w:customStyle="1" w:styleId="563">
    <w:name w:val="style329"/>
    <w:basedOn w:val="0"/>
    <w:pPr>
      <w:widowControl/>
      <w:spacing w:before="100" w:beforeAutospacing="1" w:after="100" w:afterAutospacing="1"/>
      <w:jc w:val="left"/>
    </w:pPr>
    <w:rPr>
      <w:rFonts w:ascii="宋体" w:cs="宋体" w:hAnsi="宋体"/>
      <w:kern w:val="0"/>
      <w:sz w:val="24"/>
    </w:rPr>
  </w:style>
  <w:style w:type="paragraph" w:customStyle="1" w:styleId="564">
    <w:name w:val="style325"/>
    <w:basedOn w:val="0"/>
    <w:pPr>
      <w:widowControl/>
      <w:spacing w:before="100" w:beforeAutospacing="1" w:after="100" w:afterAutospacing="1"/>
      <w:jc w:val="left"/>
    </w:pPr>
    <w:rPr>
      <w:rFonts w:ascii="宋体" w:cs="宋体" w:hAnsi="宋体"/>
      <w:kern w:val="0"/>
      <w:sz w:val="24"/>
    </w:rPr>
  </w:style>
  <w:style w:type="paragraph" w:customStyle="1" w:styleId="565">
    <w:name w:val="style324"/>
    <w:basedOn w:val="0"/>
    <w:pPr>
      <w:widowControl/>
      <w:spacing w:before="100" w:beforeAutospacing="1" w:after="100" w:afterAutospacing="1"/>
      <w:jc w:val="left"/>
    </w:pPr>
    <w:rPr>
      <w:rFonts w:ascii="宋体" w:cs="宋体" w:hAnsi="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hAnsi="宋体"/>
      <w:kern w:val="0"/>
      <w:sz w:val="24"/>
    </w:rPr>
  </w:style>
  <w:style w:type="paragraph" w:customStyle="1" w:styleId="568">
    <w:name w:val="style404"/>
    <w:basedOn w:val="0"/>
    <w:pPr>
      <w:widowControl/>
      <w:spacing w:before="100" w:beforeAutospacing="1" w:after="100" w:afterAutospacing="1"/>
      <w:jc w:val="left"/>
    </w:pPr>
    <w:rPr>
      <w:rFonts w:ascii="宋体" w:cs="宋体" w:hAnsi="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hAnsi="宋体"/>
      <w:kern w:val="0"/>
      <w:sz w:val="24"/>
    </w:rPr>
  </w:style>
  <w:style w:type="paragraph" w:customStyle="1" w:styleId="571">
    <w:name w:val="style402"/>
    <w:basedOn w:val="0"/>
    <w:pPr>
      <w:widowControl/>
      <w:spacing w:before="100" w:beforeAutospacing="1" w:after="100" w:afterAutospacing="1"/>
      <w:jc w:val="left"/>
    </w:pPr>
    <w:rPr>
      <w:rFonts w:ascii="宋体" w:cs="宋体" w:hAnsi="宋体"/>
      <w:kern w:val="0"/>
      <w:sz w:val="24"/>
    </w:rPr>
  </w:style>
  <w:style w:type="paragraph" w:customStyle="1" w:styleId="572">
    <w:name w:val="style401"/>
    <w:basedOn w:val="0"/>
    <w:pPr>
      <w:widowControl/>
      <w:spacing w:before="100" w:beforeAutospacing="1" w:after="100" w:afterAutospacing="1"/>
      <w:jc w:val="left"/>
    </w:pPr>
    <w:rPr>
      <w:rFonts w:ascii="宋体" w:cs="宋体" w:hAnsi="宋体"/>
      <w:kern w:val="0"/>
      <w:sz w:val="24"/>
    </w:rPr>
  </w:style>
  <w:style w:type="paragraph" w:customStyle="1" w:styleId="573">
    <w:name w:val="style400"/>
    <w:basedOn w:val="0"/>
    <w:pPr>
      <w:widowControl/>
      <w:spacing w:before="100" w:beforeAutospacing="1" w:after="100" w:afterAutospacing="1"/>
      <w:jc w:val="left"/>
    </w:pPr>
    <w:rPr>
      <w:rFonts w:ascii="宋体" w:cs="宋体" w:hAnsi="宋体"/>
      <w:kern w:val="0"/>
      <w:sz w:val="24"/>
    </w:rPr>
  </w:style>
  <w:style w:type="paragraph" w:customStyle="1" w:styleId="574">
    <w:name w:val="style399"/>
    <w:basedOn w:val="0"/>
    <w:pPr>
      <w:widowControl/>
      <w:spacing w:before="100" w:beforeAutospacing="1" w:after="100" w:afterAutospacing="1"/>
      <w:jc w:val="left"/>
    </w:pPr>
    <w:rPr>
      <w:rFonts w:ascii="宋体" w:cs="宋体" w:hAnsi="宋体"/>
      <w:kern w:val="0"/>
      <w:sz w:val="24"/>
    </w:rPr>
  </w:style>
  <w:style w:type="paragraph" w:customStyle="1" w:styleId="575">
    <w:name w:val="style398"/>
    <w:basedOn w:val="0"/>
    <w:pPr>
      <w:widowControl/>
      <w:spacing w:before="100" w:beforeAutospacing="1" w:after="100" w:afterAutospacing="1"/>
      <w:jc w:val="left"/>
    </w:pPr>
    <w:rPr>
      <w:rFonts w:ascii="宋体" w:cs="宋体" w:hAnsi="宋体"/>
      <w:kern w:val="0"/>
      <w:sz w:val="24"/>
    </w:rPr>
  </w:style>
  <w:style w:type="paragraph" w:customStyle="1" w:styleId="576">
    <w:name w:val="style397"/>
    <w:basedOn w:val="0"/>
    <w:pPr>
      <w:widowControl/>
      <w:spacing w:before="100" w:beforeAutospacing="1" w:after="100" w:afterAutospacing="1"/>
      <w:jc w:val="left"/>
    </w:pPr>
    <w:rPr>
      <w:rFonts w:ascii="宋体" w:cs="宋体" w:hAnsi="宋体"/>
      <w:kern w:val="0"/>
      <w:sz w:val="24"/>
    </w:rPr>
  </w:style>
  <w:style w:type="paragraph" w:customStyle="1" w:styleId="577">
    <w:name w:val="style396"/>
    <w:basedOn w:val="0"/>
    <w:pPr>
      <w:widowControl/>
      <w:spacing w:before="100" w:beforeAutospacing="1" w:after="100" w:afterAutospacing="1"/>
      <w:jc w:val="left"/>
    </w:pPr>
    <w:rPr>
      <w:rFonts w:ascii="宋体" w:cs="宋体" w:hAnsi="宋体"/>
      <w:kern w:val="0"/>
      <w:sz w:val="24"/>
    </w:rPr>
  </w:style>
  <w:style w:type="paragraph" w:customStyle="1" w:styleId="578">
    <w:name w:val="style395"/>
    <w:basedOn w:val="0"/>
    <w:pPr>
      <w:widowControl/>
      <w:spacing w:before="100" w:beforeAutospacing="1" w:after="100" w:afterAutospacing="1"/>
      <w:jc w:val="left"/>
    </w:pPr>
    <w:rPr>
      <w:rFonts w:ascii="宋体" w:cs="宋体" w:hAnsi="宋体"/>
      <w:kern w:val="0"/>
      <w:sz w:val="24"/>
    </w:rPr>
  </w:style>
  <w:style w:type="paragraph" w:customStyle="1" w:styleId="579">
    <w:name w:val="style394"/>
    <w:basedOn w:val="0"/>
    <w:pPr>
      <w:widowControl/>
      <w:spacing w:before="100" w:beforeAutospacing="1" w:after="100" w:afterAutospacing="1"/>
      <w:jc w:val="left"/>
    </w:pPr>
    <w:rPr>
      <w:rFonts w:ascii="宋体" w:cs="宋体" w:hAnsi="宋体"/>
      <w:kern w:val="0"/>
      <w:sz w:val="24"/>
    </w:rPr>
  </w:style>
  <w:style w:type="paragraph" w:customStyle="1" w:styleId="580">
    <w:name w:val="style393"/>
    <w:basedOn w:val="0"/>
    <w:pPr>
      <w:widowControl/>
      <w:spacing w:before="100" w:beforeAutospacing="1" w:after="100" w:afterAutospacing="1"/>
      <w:jc w:val="left"/>
    </w:pPr>
    <w:rPr>
      <w:rFonts w:ascii="宋体" w:cs="宋体" w:hAnsi="宋体"/>
      <w:kern w:val="0"/>
      <w:sz w:val="24"/>
    </w:rPr>
  </w:style>
  <w:style w:type="paragraph" w:customStyle="1" w:styleId="581">
    <w:name w:val="style392"/>
    <w:basedOn w:val="0"/>
    <w:pPr>
      <w:widowControl/>
      <w:spacing w:before="100" w:beforeAutospacing="1" w:after="100" w:afterAutospacing="1"/>
      <w:jc w:val="left"/>
    </w:pPr>
    <w:rPr>
      <w:rFonts w:ascii="宋体" w:cs="宋体" w:hAnsi="宋体"/>
      <w:kern w:val="0"/>
      <w:sz w:val="24"/>
    </w:rPr>
  </w:style>
  <w:style w:type="paragraph" w:customStyle="1" w:styleId="582">
    <w:name w:val="style391"/>
    <w:basedOn w:val="0"/>
    <w:pPr>
      <w:widowControl/>
      <w:spacing w:before="100" w:beforeAutospacing="1" w:after="100" w:afterAutospacing="1"/>
      <w:jc w:val="left"/>
    </w:pPr>
    <w:rPr>
      <w:rFonts w:ascii="宋体" w:cs="宋体" w:hAnsi="宋体"/>
      <w:kern w:val="0"/>
      <w:sz w:val="24"/>
    </w:rPr>
  </w:style>
  <w:style w:type="paragraph" w:customStyle="1" w:styleId="583">
    <w:name w:val="style390"/>
    <w:basedOn w:val="0"/>
    <w:pPr>
      <w:widowControl/>
      <w:spacing w:before="100" w:beforeAutospacing="1" w:after="100" w:afterAutospacing="1"/>
      <w:jc w:val="left"/>
    </w:pPr>
    <w:rPr>
      <w:rFonts w:ascii="宋体" w:cs="宋体" w:hAnsi="宋体"/>
      <w:kern w:val="0"/>
      <w:sz w:val="24"/>
    </w:rPr>
  </w:style>
  <w:style w:type="paragraph" w:customStyle="1" w:styleId="584">
    <w:name w:val="style389"/>
    <w:basedOn w:val="0"/>
    <w:pPr>
      <w:widowControl/>
      <w:spacing w:before="100" w:beforeAutospacing="1" w:after="100" w:afterAutospacing="1"/>
      <w:jc w:val="left"/>
    </w:pPr>
    <w:rPr>
      <w:rFonts w:ascii="宋体" w:cs="宋体" w:hAnsi="宋体"/>
      <w:kern w:val="0"/>
      <w:sz w:val="24"/>
    </w:rPr>
  </w:style>
  <w:style w:type="paragraph" w:customStyle="1" w:styleId="585">
    <w:name w:val="style388"/>
    <w:basedOn w:val="0"/>
    <w:pPr>
      <w:widowControl/>
      <w:spacing w:before="100" w:beforeAutospacing="1" w:after="100" w:afterAutospacing="1"/>
      <w:jc w:val="left"/>
    </w:pPr>
    <w:rPr>
      <w:rFonts w:ascii="宋体" w:cs="宋体" w:hAnsi="宋体"/>
      <w:kern w:val="0"/>
      <w:sz w:val="24"/>
    </w:rPr>
  </w:style>
  <w:style w:type="paragraph" w:customStyle="1" w:styleId="586">
    <w:name w:val="style387"/>
    <w:basedOn w:val="0"/>
    <w:pPr>
      <w:widowControl/>
      <w:spacing w:before="100" w:beforeAutospacing="1" w:after="100" w:afterAutospacing="1"/>
      <w:jc w:val="left"/>
    </w:pPr>
    <w:rPr>
      <w:rFonts w:ascii="宋体" w:cs="宋体" w:hAnsi="宋体"/>
      <w:kern w:val="0"/>
      <w:sz w:val="24"/>
    </w:rPr>
  </w:style>
  <w:style w:type="paragraph" w:customStyle="1" w:styleId="587">
    <w:name w:val="style386"/>
    <w:basedOn w:val="0"/>
    <w:pPr>
      <w:widowControl/>
      <w:spacing w:before="100" w:beforeAutospacing="1" w:after="100" w:afterAutospacing="1"/>
      <w:jc w:val="left"/>
    </w:pPr>
    <w:rPr>
      <w:rFonts w:ascii="宋体" w:cs="宋体" w:hAnsi="宋体"/>
      <w:kern w:val="0"/>
      <w:sz w:val="24"/>
    </w:rPr>
  </w:style>
  <w:style w:type="paragraph" w:customStyle="1" w:styleId="588">
    <w:name w:val="style385"/>
    <w:basedOn w:val="0"/>
    <w:pPr>
      <w:widowControl/>
      <w:spacing w:before="100" w:beforeAutospacing="1" w:after="100" w:afterAutospacing="1"/>
      <w:jc w:val="left"/>
    </w:pPr>
    <w:rPr>
      <w:rFonts w:ascii="宋体" w:cs="宋体" w:hAnsi="宋体"/>
      <w:kern w:val="0"/>
      <w:sz w:val="24"/>
    </w:rPr>
  </w:style>
  <w:style w:type="paragraph" w:customStyle="1" w:styleId="589">
    <w:name w:val="style384"/>
    <w:basedOn w:val="0"/>
    <w:pPr>
      <w:widowControl/>
      <w:spacing w:before="100" w:beforeAutospacing="1" w:after="100" w:afterAutospacing="1"/>
      <w:jc w:val="left"/>
    </w:pPr>
    <w:rPr>
      <w:rFonts w:ascii="宋体" w:cs="宋体" w:hAnsi="宋体"/>
      <w:kern w:val="0"/>
      <w:sz w:val="24"/>
    </w:rPr>
  </w:style>
  <w:style w:type="paragraph" w:customStyle="1" w:styleId="590">
    <w:name w:val="style383"/>
    <w:basedOn w:val="0"/>
    <w:pPr>
      <w:widowControl/>
      <w:spacing w:before="100" w:beforeAutospacing="1" w:after="100" w:afterAutospacing="1"/>
      <w:jc w:val="left"/>
    </w:pPr>
    <w:rPr>
      <w:rFonts w:ascii="宋体" w:cs="宋体" w:hAnsi="宋体"/>
      <w:kern w:val="0"/>
      <w:sz w:val="24"/>
    </w:rPr>
  </w:style>
  <w:style w:type="paragraph" w:customStyle="1" w:styleId="591">
    <w:name w:val="style381"/>
    <w:basedOn w:val="0"/>
    <w:pPr>
      <w:widowControl/>
      <w:spacing w:before="100" w:beforeAutospacing="1" w:after="100" w:afterAutospacing="1"/>
      <w:jc w:val="left"/>
    </w:pPr>
    <w:rPr>
      <w:rFonts w:ascii="宋体" w:cs="宋体" w:hAnsi="宋体"/>
      <w:kern w:val="0"/>
      <w:sz w:val="24"/>
    </w:rPr>
  </w:style>
  <w:style w:type="paragraph" w:customStyle="1" w:styleId="592">
    <w:name w:val="style380"/>
    <w:basedOn w:val="0"/>
    <w:pPr>
      <w:widowControl/>
      <w:spacing w:before="100" w:beforeAutospacing="1" w:after="100" w:afterAutospacing="1"/>
      <w:jc w:val="left"/>
    </w:pPr>
    <w:rPr>
      <w:rFonts w:ascii="宋体" w:cs="宋体" w:hAnsi="宋体"/>
      <w:kern w:val="0"/>
      <w:sz w:val="24"/>
    </w:rPr>
  </w:style>
  <w:style w:type="paragraph" w:customStyle="1" w:styleId="593">
    <w:name w:val="style379"/>
    <w:basedOn w:val="0"/>
    <w:pPr>
      <w:widowControl/>
      <w:spacing w:before="100" w:beforeAutospacing="1" w:after="100" w:afterAutospacing="1"/>
      <w:jc w:val="left"/>
    </w:pPr>
    <w:rPr>
      <w:rFonts w:ascii="宋体" w:cs="宋体" w:hAnsi="宋体"/>
      <w:kern w:val="0"/>
      <w:sz w:val="24"/>
    </w:rPr>
  </w:style>
  <w:style w:type="paragraph" w:customStyle="1" w:styleId="594">
    <w:name w:val="style378"/>
    <w:basedOn w:val="0"/>
    <w:pPr>
      <w:widowControl/>
      <w:spacing w:before="100" w:beforeAutospacing="1" w:after="100" w:afterAutospacing="1"/>
      <w:jc w:val="left"/>
    </w:pPr>
    <w:rPr>
      <w:rFonts w:ascii="宋体" w:cs="宋体" w:hAnsi="宋体"/>
      <w:kern w:val="0"/>
      <w:sz w:val="24"/>
    </w:rPr>
  </w:style>
  <w:style w:type="paragraph" w:customStyle="1" w:styleId="595">
    <w:name w:val="style377"/>
    <w:basedOn w:val="0"/>
    <w:pPr>
      <w:widowControl/>
      <w:spacing w:before="100" w:beforeAutospacing="1" w:after="100" w:afterAutospacing="1"/>
      <w:jc w:val="left"/>
    </w:pPr>
    <w:rPr>
      <w:rFonts w:ascii="宋体" w:cs="宋体" w:hAnsi="宋体"/>
      <w:kern w:val="0"/>
      <w:sz w:val="24"/>
    </w:rPr>
  </w:style>
  <w:style w:type="paragraph" w:customStyle="1" w:styleId="596">
    <w:name w:val="style376"/>
    <w:basedOn w:val="0"/>
    <w:pPr>
      <w:widowControl/>
      <w:spacing w:before="100" w:beforeAutospacing="1" w:after="100" w:afterAutospacing="1"/>
      <w:jc w:val="left"/>
    </w:pPr>
    <w:rPr>
      <w:rFonts w:ascii="宋体" w:cs="宋体" w:hAnsi="宋体"/>
      <w:kern w:val="0"/>
      <w:sz w:val="24"/>
    </w:rPr>
  </w:style>
  <w:style w:type="paragraph" w:customStyle="1" w:styleId="597">
    <w:name w:val="style375"/>
    <w:basedOn w:val="0"/>
    <w:pPr>
      <w:widowControl/>
      <w:spacing w:before="100" w:beforeAutospacing="1" w:after="100" w:afterAutospacing="1"/>
      <w:jc w:val="left"/>
    </w:pPr>
    <w:rPr>
      <w:rFonts w:ascii="宋体" w:cs="宋体" w:hAnsi="宋体"/>
      <w:kern w:val="0"/>
      <w:sz w:val="24"/>
    </w:rPr>
  </w:style>
  <w:style w:type="paragraph" w:customStyle="1" w:styleId="598">
    <w:name w:val="style374"/>
    <w:basedOn w:val="0"/>
    <w:pPr>
      <w:widowControl/>
      <w:spacing w:before="100" w:beforeAutospacing="1" w:after="100" w:afterAutospacing="1"/>
      <w:jc w:val="left"/>
    </w:pPr>
    <w:rPr>
      <w:rFonts w:ascii="宋体" w:cs="宋体" w:hAnsi="宋体"/>
      <w:kern w:val="0"/>
      <w:sz w:val="24"/>
    </w:rPr>
  </w:style>
  <w:style w:type="paragraph" w:customStyle="1" w:styleId="599">
    <w:name w:val="style373"/>
    <w:basedOn w:val="0"/>
    <w:pPr>
      <w:widowControl/>
      <w:spacing w:before="100" w:beforeAutospacing="1" w:after="100" w:afterAutospacing="1"/>
      <w:jc w:val="left"/>
    </w:pPr>
    <w:rPr>
      <w:rFonts w:ascii="宋体" w:cs="宋体" w:hAnsi="宋体"/>
      <w:kern w:val="0"/>
      <w:sz w:val="24"/>
    </w:rPr>
  </w:style>
  <w:style w:type="paragraph" w:customStyle="1" w:styleId="600">
    <w:name w:val="style372"/>
    <w:basedOn w:val="0"/>
    <w:pPr>
      <w:widowControl/>
      <w:spacing w:before="100" w:beforeAutospacing="1" w:after="100" w:afterAutospacing="1"/>
      <w:jc w:val="left"/>
    </w:pPr>
    <w:rPr>
      <w:rFonts w:ascii="宋体" w:cs="宋体" w:hAnsi="宋体"/>
      <w:kern w:val="0"/>
      <w:sz w:val="24"/>
    </w:rPr>
  </w:style>
  <w:style w:type="paragraph" w:customStyle="1" w:styleId="601">
    <w:name w:val="style371"/>
    <w:basedOn w:val="0"/>
    <w:pPr>
      <w:widowControl/>
      <w:spacing w:before="100" w:beforeAutospacing="1" w:after="100" w:afterAutospacing="1"/>
      <w:jc w:val="left"/>
    </w:pPr>
    <w:rPr>
      <w:rFonts w:ascii="宋体" w:cs="宋体" w:hAnsi="宋体"/>
      <w:kern w:val="0"/>
      <w:sz w:val="24"/>
    </w:rPr>
  </w:style>
  <w:style w:type="paragraph" w:customStyle="1" w:styleId="602">
    <w:name w:val="style370"/>
    <w:basedOn w:val="0"/>
    <w:pPr>
      <w:widowControl/>
      <w:spacing w:before="100" w:beforeAutospacing="1" w:after="100" w:afterAutospacing="1"/>
      <w:jc w:val="left"/>
    </w:pPr>
    <w:rPr>
      <w:rFonts w:ascii="宋体" w:cs="宋体" w:hAnsi="宋体"/>
      <w:kern w:val="0"/>
      <w:sz w:val="24"/>
    </w:rPr>
  </w:style>
  <w:style w:type="paragraph" w:customStyle="1" w:styleId="603">
    <w:name w:val="style369"/>
    <w:basedOn w:val="0"/>
    <w:pPr>
      <w:widowControl/>
      <w:spacing w:before="100" w:beforeAutospacing="1" w:after="100" w:afterAutospacing="1"/>
      <w:jc w:val="left"/>
    </w:pPr>
    <w:rPr>
      <w:rFonts w:ascii="宋体" w:cs="宋体" w:hAnsi="宋体"/>
      <w:kern w:val="0"/>
      <w:sz w:val="24"/>
    </w:rPr>
  </w:style>
  <w:style w:type="paragraph" w:customStyle="1" w:styleId="604">
    <w:name w:val="style368"/>
    <w:basedOn w:val="0"/>
    <w:pPr>
      <w:widowControl/>
      <w:spacing w:before="100" w:beforeAutospacing="1" w:after="100" w:afterAutospacing="1"/>
      <w:jc w:val="left"/>
    </w:pPr>
    <w:rPr>
      <w:rFonts w:ascii="宋体" w:cs="宋体" w:hAnsi="宋体"/>
      <w:kern w:val="0"/>
      <w:sz w:val="24"/>
    </w:rPr>
  </w:style>
  <w:style w:type="paragraph" w:customStyle="1" w:styleId="605">
    <w:name w:val="style367"/>
    <w:basedOn w:val="0"/>
    <w:pPr>
      <w:widowControl/>
      <w:spacing w:before="100" w:beforeAutospacing="1" w:after="100" w:afterAutospacing="1"/>
      <w:jc w:val="left"/>
    </w:pPr>
    <w:rPr>
      <w:rFonts w:ascii="宋体" w:cs="宋体" w:hAnsi="宋体"/>
      <w:kern w:val="0"/>
      <w:sz w:val="24"/>
    </w:rPr>
  </w:style>
  <w:style w:type="paragraph" w:customStyle="1" w:styleId="606">
    <w:name w:val="style366"/>
    <w:basedOn w:val="0"/>
    <w:pPr>
      <w:widowControl/>
      <w:spacing w:before="100" w:beforeAutospacing="1" w:after="100" w:afterAutospacing="1"/>
      <w:jc w:val="left"/>
    </w:pPr>
    <w:rPr>
      <w:rFonts w:ascii="宋体" w:cs="宋体" w:hAnsi="宋体"/>
      <w:kern w:val="0"/>
      <w:sz w:val="24"/>
    </w:rPr>
  </w:style>
  <w:style w:type="paragraph" w:customStyle="1" w:styleId="607">
    <w:name w:val="style365"/>
    <w:basedOn w:val="0"/>
    <w:pPr>
      <w:widowControl/>
      <w:spacing w:before="100" w:beforeAutospacing="1" w:after="100" w:afterAutospacing="1"/>
      <w:jc w:val="left"/>
    </w:pPr>
    <w:rPr>
      <w:rFonts w:ascii="宋体" w:cs="宋体" w:hAnsi="宋体"/>
      <w:kern w:val="0"/>
      <w:sz w:val="24"/>
    </w:rPr>
  </w:style>
  <w:style w:type="paragraph" w:customStyle="1" w:styleId="608">
    <w:name w:val="style364"/>
    <w:basedOn w:val="0"/>
    <w:pPr>
      <w:widowControl/>
      <w:spacing w:before="100" w:beforeAutospacing="1" w:after="100" w:afterAutospacing="1"/>
      <w:jc w:val="left"/>
    </w:pPr>
    <w:rPr>
      <w:rFonts w:ascii="宋体" w:cs="宋体" w:hAnsi="宋体"/>
      <w:kern w:val="0"/>
      <w:sz w:val="24"/>
    </w:rPr>
  </w:style>
  <w:style w:type="paragraph" w:customStyle="1" w:styleId="609">
    <w:name w:val="style363"/>
    <w:basedOn w:val="0"/>
    <w:pPr>
      <w:widowControl/>
      <w:spacing w:before="100" w:beforeAutospacing="1" w:after="100" w:afterAutospacing="1"/>
      <w:jc w:val="left"/>
    </w:pPr>
    <w:rPr>
      <w:rFonts w:ascii="宋体" w:cs="宋体" w:hAnsi="宋体"/>
      <w:kern w:val="0"/>
      <w:sz w:val="24"/>
    </w:rPr>
  </w:style>
  <w:style w:type="paragraph" w:customStyle="1" w:styleId="610">
    <w:name w:val="style362"/>
    <w:basedOn w:val="0"/>
    <w:pPr>
      <w:widowControl/>
      <w:spacing w:before="100" w:beforeAutospacing="1" w:after="100" w:afterAutospacing="1"/>
      <w:jc w:val="left"/>
    </w:pPr>
    <w:rPr>
      <w:rFonts w:ascii="宋体" w:cs="宋体" w:hAnsi="宋体"/>
      <w:kern w:val="0"/>
      <w:sz w:val="24"/>
    </w:rPr>
  </w:style>
  <w:style w:type="paragraph" w:customStyle="1" w:styleId="611">
    <w:name w:val="style361"/>
    <w:basedOn w:val="0"/>
    <w:pPr>
      <w:widowControl/>
      <w:spacing w:before="100" w:beforeAutospacing="1" w:after="100" w:afterAutospacing="1"/>
      <w:jc w:val="left"/>
    </w:pPr>
    <w:rPr>
      <w:rFonts w:ascii="宋体" w:cs="宋体" w:hAnsi="宋体"/>
      <w:kern w:val="0"/>
      <w:sz w:val="24"/>
    </w:rPr>
  </w:style>
  <w:style w:type="paragraph" w:customStyle="1" w:styleId="612">
    <w:name w:val="oj-normal"/>
    <w:basedOn w:val="0"/>
    <w:pPr>
      <w:widowControl/>
      <w:spacing w:before="100" w:beforeAutospacing="1" w:after="100" w:afterAutospacing="1"/>
      <w:jc w:val="left"/>
    </w:pPr>
    <w:rPr>
      <w:rFonts w:ascii="宋体" w:cs="宋体" w:hAnsi="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hAnsi="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hAnsi="宋体"/>
      <w:kern w:val="0"/>
      <w:sz w:val="24"/>
    </w:rPr>
  </w:style>
  <w:style w:type="paragraph" w:customStyle="1" w:styleId="631">
    <w:name w:val="oj-tbl-txt"/>
    <w:basedOn w:val="0"/>
    <w:pPr>
      <w:widowControl/>
      <w:spacing w:before="100" w:beforeAutospacing="1" w:after="100" w:afterAutospacing="1"/>
      <w:jc w:val="left"/>
    </w:pPr>
    <w:rPr>
      <w:rFonts w:ascii="宋体" w:cs="宋体" w:hAnsi="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hAnsi="宋体"/>
      <w:kern w:val="0"/>
      <w:sz w:val="24"/>
    </w:rPr>
  </w:style>
  <w:style w:type="paragraph" w:customStyle="1" w:styleId="634">
    <w:name w:val="style1"/>
    <w:basedOn w:val="0"/>
    <w:pPr>
      <w:widowControl/>
      <w:spacing w:before="100" w:beforeAutospacing="1" w:after="100" w:afterAutospacing="1"/>
      <w:jc w:val="left"/>
    </w:pPr>
    <w:rPr>
      <w:rFonts w:ascii="宋体" w:cs="宋体" w:hAnsi="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hAnsi="宋体"/>
      <w:kern w:val="0"/>
      <w:sz w:val="24"/>
    </w:rPr>
  </w:style>
  <w:style w:type="paragraph" w:customStyle="1" w:styleId="637">
    <w:name w:val="style16"/>
    <w:basedOn w:val="0"/>
    <w:pPr>
      <w:widowControl/>
      <w:spacing w:before="100" w:beforeAutospacing="1" w:after="100" w:afterAutospacing="1"/>
      <w:jc w:val="left"/>
    </w:pPr>
    <w:rPr>
      <w:rFonts w:ascii="宋体" w:cs="宋体" w:hAnsi="宋体"/>
      <w:kern w:val="0"/>
      <w:sz w:val="24"/>
    </w:rPr>
  </w:style>
  <w:style w:type="paragraph" w:customStyle="1" w:styleId="638">
    <w:name w:val="style17"/>
    <w:basedOn w:val="0"/>
    <w:pPr>
      <w:widowControl/>
      <w:spacing w:before="100" w:beforeAutospacing="1" w:after="100" w:afterAutospacing="1"/>
      <w:jc w:val="left"/>
    </w:pPr>
    <w:rPr>
      <w:rFonts w:ascii="宋体" w:cs="宋体" w:hAnsi="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hAnsi="宋体"/>
      <w:kern w:val="0"/>
      <w:sz w:val="24"/>
    </w:rPr>
  </w:style>
  <w:style w:type="paragraph" w:customStyle="1" w:styleId="644">
    <w:name w:val="oj-tbl-num"/>
    <w:basedOn w:val="0"/>
    <w:pPr>
      <w:widowControl/>
      <w:spacing w:before="100" w:beforeAutospacing="1" w:after="100" w:afterAutospacing="1"/>
      <w:jc w:val="left"/>
    </w:pPr>
    <w:rPr>
      <w:rFonts w:ascii="宋体" w:cs="宋体" w:hAnsi="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hAnsi="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hAnsi="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hAnsi="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hAnsi="宋体"/>
      <w:kern w:val="0"/>
      <w:sz w:val="24"/>
    </w:rPr>
  </w:style>
  <w:style w:type="paragraph" w:customStyle="1" w:styleId="665">
    <w:name w:val="p2"/>
    <w:basedOn w:val="0"/>
    <w:pPr>
      <w:widowControl/>
      <w:spacing w:before="100" w:beforeAutospacing="1" w:after="100" w:afterAutospacing="1"/>
      <w:jc w:val="left"/>
    </w:pPr>
    <w:rPr>
      <w:rFonts w:ascii="宋体" w:cs="宋体" w:hAnsi="宋体"/>
      <w:kern w:val="0"/>
      <w:sz w:val="24"/>
    </w:rPr>
  </w:style>
  <w:style w:type="paragraph" w:customStyle="1" w:styleId="666">
    <w:name w:val="p3"/>
    <w:basedOn w:val="0"/>
    <w:pPr>
      <w:widowControl/>
      <w:spacing w:before="100" w:beforeAutospacing="1" w:after="100" w:afterAutospacing="1"/>
      <w:jc w:val="left"/>
    </w:pPr>
    <w:rPr>
      <w:rFonts w:ascii="宋体" w:cs="宋体" w:hAnsi="宋体"/>
      <w:kern w:val="0"/>
      <w:sz w:val="24"/>
    </w:rPr>
  </w:style>
  <w:style w:type="paragraph" w:customStyle="1" w:styleId="667">
    <w:name w:val="p4"/>
    <w:basedOn w:val="0"/>
    <w:pPr>
      <w:widowControl/>
      <w:spacing w:before="100" w:beforeAutospacing="1" w:after="100" w:afterAutospacing="1"/>
      <w:jc w:val="left"/>
    </w:pPr>
    <w:rPr>
      <w:rFonts w:ascii="宋体" w:cs="宋体" w:hAnsi="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hAnsi="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hAnsi="宋体"/>
      <w:kern w:val="0"/>
      <w:sz w:val="24"/>
    </w:rPr>
  </w:style>
  <w:style w:type="paragraph" w:customStyle="1" w:styleId="675">
    <w:name w:val="ds-markdown-paragraph"/>
    <w:basedOn w:val="0"/>
    <w:pPr>
      <w:widowControl/>
      <w:spacing w:before="100" w:beforeAutospacing="1" w:after="100" w:afterAutospacing="1"/>
      <w:jc w:val="left"/>
    </w:pPr>
    <w:rPr>
      <w:rFonts w:ascii="宋体" w:cs="宋体" w:hAnsi="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hAnsi="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hAnsi="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hAnsi="宋体"/>
      <w:kern w:val="0"/>
      <w:sz w:val="24"/>
    </w:rPr>
  </w:style>
  <w:style w:type="paragraph" w:customStyle="1" w:styleId="692">
    <w:name w:val="xl73"/>
    <w:basedOn w:val="0"/>
    <w:pPr>
      <w:widowControl/>
      <w:spacing w:before="100" w:beforeAutospacing="1" w:after="100" w:afterAutospacing="1"/>
      <w:jc w:val="left"/>
    </w:pPr>
    <w:rPr>
      <w:rFonts w:ascii="宋体" w:cs="宋体" w:hAnsi="宋体"/>
      <w:kern w:val="0"/>
      <w:sz w:val="24"/>
    </w:rPr>
  </w:style>
  <w:style w:type="paragraph" w:styleId="693">
    <w:name w:val="toc 2"/>
    <w:basedOn w:val="0"/>
    <w:autoRedefine/>
    <w:next w:val="0"/>
    <w:pPr>
      <w:spacing w:after="160" w:line="278" w:lineRule="auto"/>
      <w:ind w:leftChars="200" w:left="200"/>
      <w:jc w:val="left"/>
    </w:pPr>
    <w:rPr>
      <w:rFonts w:ascii="等线" w:eastAsia="等线" w:cs="Arial" w:hAnsi="等线"/>
      <w:sz w:val="22"/>
    </w:rPr>
  </w:style>
  <w:style w:type="paragraph" w:styleId="694">
    <w:name w:val="toc 4"/>
    <w:basedOn w:val="0"/>
    <w:autoRedefine/>
    <w:next w:val="0"/>
    <w:pPr>
      <w:spacing w:after="160" w:line="278" w:lineRule="auto"/>
      <w:ind w:leftChars="600" w:left="600"/>
      <w:jc w:val="left"/>
    </w:pPr>
    <w:rPr>
      <w:rFonts w:ascii="等线" w:eastAsia="等线" w:cs="Arial" w:hAnsi="等线"/>
      <w:sz w:val="22"/>
    </w:rPr>
  </w:style>
  <w:style w:type="paragraph" w:styleId="695">
    <w:name w:val="toc 5"/>
    <w:basedOn w:val="0"/>
    <w:autoRedefine/>
    <w:next w:val="0"/>
    <w:pPr>
      <w:spacing w:after="160" w:line="278" w:lineRule="auto"/>
      <w:ind w:leftChars="800" w:left="800"/>
      <w:jc w:val="left"/>
    </w:pPr>
    <w:rPr>
      <w:rFonts w:ascii="等线" w:eastAsia="等线" w:cs="Arial" w:hAnsi="等线"/>
      <w:sz w:val="22"/>
    </w:rPr>
  </w:style>
  <w:style w:type="paragraph" w:styleId="696">
    <w:name w:val="toc 6"/>
    <w:basedOn w:val="0"/>
    <w:autoRedefine/>
    <w:next w:val="0"/>
    <w:pPr>
      <w:spacing w:after="160" w:line="278" w:lineRule="auto"/>
      <w:ind w:leftChars="1000" w:left="1000"/>
      <w:jc w:val="left"/>
    </w:pPr>
    <w:rPr>
      <w:rFonts w:ascii="等线" w:eastAsia="等线" w:cs="Arial" w:hAnsi="等线"/>
      <w:sz w:val="22"/>
    </w:rPr>
  </w:style>
  <w:style w:type="paragraph" w:styleId="697">
    <w:name w:val="toc 7"/>
    <w:basedOn w:val="0"/>
    <w:autoRedefine/>
    <w:next w:val="0"/>
    <w:pPr>
      <w:spacing w:after="160" w:line="278" w:lineRule="auto"/>
      <w:ind w:leftChars="1200" w:left="1200"/>
      <w:jc w:val="left"/>
    </w:pPr>
    <w:rPr>
      <w:rFonts w:ascii="等线" w:eastAsia="等线" w:cs="Arial" w:hAnsi="等线"/>
      <w:sz w:val="22"/>
    </w:rPr>
  </w:style>
  <w:style w:type="paragraph" w:styleId="698">
    <w:name w:val="toc 8"/>
    <w:basedOn w:val="0"/>
    <w:autoRedefine/>
    <w:next w:val="0"/>
    <w:pPr>
      <w:spacing w:after="160" w:line="278" w:lineRule="auto"/>
      <w:ind w:leftChars="1400" w:left="1400"/>
      <w:jc w:val="left"/>
    </w:pPr>
    <w:rPr>
      <w:rFonts w:ascii="等线" w:eastAsia="等线" w:cs="Arial" w:hAnsi="等线"/>
      <w:sz w:val="22"/>
    </w:rPr>
  </w:style>
  <w:style w:type="paragraph" w:styleId="699">
    <w:name w:val="toc 9"/>
    <w:basedOn w:val="0"/>
    <w:autoRedefine/>
    <w:next w:val="0"/>
    <w:pPr>
      <w:spacing w:after="160" w:line="278" w:lineRule="auto"/>
      <w:ind w:leftChars="1600" w:left="1600"/>
      <w:jc w:val="left"/>
    </w:pPr>
    <w:rPr>
      <w:rFonts w:ascii="等线" w:eastAsia="等线" w:cs="Arial" w:hAnsi="等线"/>
      <w:sz w:val="2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A430DECC-F03E-48CA-A247-840AE63A25A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21992</TotalTime>
  <Application>Yozo_Office27021597764231179</Application>
  <Pages>36</Pages>
  <Words>0</Words>
  <Characters>17523</Characters>
  <Lines>0</Lines>
  <Paragraphs>172</Paragraphs>
  <CharactersWithSpaces>23364</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2390</cp:revision>
  <cp:lastPrinted>2020-01-08T15:36:00Z</cp:lastPrinted>
  <dcterms:created xsi:type="dcterms:W3CDTF">2024-09-26T03:06:00Z</dcterms:created>
  <dcterms:modified xsi:type="dcterms:W3CDTF">2026-08-10T03:23:13Z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