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56C" w:rsidRDefault="0075356C">
      <w:pPr>
        <w:spacing w:line="600" w:lineRule="exact"/>
        <w:rPr>
          <w:rFonts w:ascii="Times New Roman" w:eastAsia="方正仿宋_GBK" w:hAnsi="Times New Roman" w:cs="方正小标宋_GBK" w:hint="eastAsia"/>
          <w:sz w:val="36"/>
          <w:szCs w:val="36"/>
        </w:rPr>
      </w:pPr>
      <w:bookmarkStart w:id="0" w:name="_GoBack"/>
      <w:bookmarkEnd w:id="0"/>
    </w:p>
    <w:p w:rsidR="0075356C" w:rsidRDefault="00317D74">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保税物流中心设立审批（</w:t>
      </w:r>
      <w:r>
        <w:rPr>
          <w:rFonts w:ascii="方正小标宋_GBK" w:eastAsia="方正小标宋_GBK" w:cs="方正小标宋_GBK" w:hint="eastAsia"/>
          <w:sz w:val="36"/>
          <w:szCs w:val="36"/>
        </w:rPr>
        <w:t>A</w:t>
      </w:r>
      <w:r>
        <w:rPr>
          <w:rFonts w:ascii="方正小标宋_GBK" w:eastAsia="方正小标宋_GBK" w:cs="方正小标宋_GBK" w:hint="eastAsia"/>
          <w:sz w:val="36"/>
          <w:szCs w:val="36"/>
        </w:rPr>
        <w:t>型）（注销）实施规范</w:t>
      </w:r>
    </w:p>
    <w:p w:rsidR="0075356C" w:rsidRDefault="00317D74">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00012920100104</w:t>
      </w:r>
      <w:r>
        <w:rPr>
          <w:rFonts w:ascii="Times New Roman" w:eastAsia="方正仿宋_GBK" w:hAnsi="Times New Roman" w:cs="方正小标宋_GBK" w:hint="eastAsia"/>
          <w:sz w:val="36"/>
          <w:szCs w:val="36"/>
        </w:rPr>
        <w:t>】</w:t>
      </w:r>
    </w:p>
    <w:p w:rsidR="0075356C" w:rsidRDefault="0075356C">
      <w:pPr>
        <w:spacing w:line="600" w:lineRule="exact"/>
        <w:rPr>
          <w:rFonts w:ascii="Times New Roman" w:eastAsia="方正仿宋_GBK" w:hAnsi="Times New Roman" w:cs="方正小标宋_GBK"/>
          <w:sz w:val="36"/>
          <w:szCs w:val="36"/>
        </w:rPr>
      </w:pP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基本要素</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b/>
          <w:bCs/>
          <w:sz w:val="30"/>
          <w:szCs w:val="30"/>
        </w:rPr>
        <w:t>行政许可事项名称</w:t>
      </w:r>
      <w:r>
        <w:rPr>
          <w:rFonts w:ascii="Times New Roman" w:eastAsia="方正仿宋_GBK" w:hAnsi="Times New Roman" w:hint="eastAsia"/>
          <w:b/>
          <w:bCs/>
          <w:sz w:val="30"/>
          <w:szCs w:val="30"/>
        </w:rPr>
        <w:t>及编码</w:t>
      </w:r>
    </w:p>
    <w:p w:rsidR="0075356C" w:rsidRDefault="00317D74">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b/>
          <w:bCs/>
          <w:sz w:val="30"/>
          <w:szCs w:val="30"/>
        </w:rPr>
        <w:t>行政许可</w:t>
      </w:r>
      <w:r>
        <w:rPr>
          <w:rFonts w:ascii="Times New Roman" w:eastAsia="方正仿宋_GBK" w:hAnsi="Times New Roman" w:hint="eastAsia"/>
          <w:b/>
          <w:bCs/>
          <w:sz w:val="30"/>
          <w:szCs w:val="30"/>
        </w:rPr>
        <w:t>事项子项名称及编码</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000129201001</w:t>
      </w:r>
      <w:r>
        <w:rPr>
          <w:rFonts w:ascii="Times New Roman" w:eastAsia="方正仿宋_GBK" w:hAnsi="Times New Roman" w:cs="方正仿宋_GBK" w:hint="eastAsia"/>
          <w:sz w:val="30"/>
          <w:szCs w:val="30"/>
        </w:rPr>
        <w:t>】</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型）（注销）</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00012920100104</w:t>
      </w:r>
      <w:r>
        <w:rPr>
          <w:rFonts w:ascii="Times New Roman" w:eastAsia="方正仿宋_GBK" w:hAnsi="Times New Roman" w:cs="方正仿宋_GBK"/>
          <w:sz w:val="30"/>
          <w:szCs w:val="30"/>
        </w:rPr>
        <w:t>）</w:t>
      </w:r>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：本办法所称的保税物流中心（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型）（以下简称物流中心），是指经海关批准，由中国境内企业法人经营、专门从事保税仓储物流业务的保税监管场所。</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条：物流中心应当</w:t>
      </w:r>
      <w:r>
        <w:rPr>
          <w:rFonts w:ascii="Times New Roman" w:eastAsia="方正仿宋_GBK" w:hAnsi="Times New Roman" w:cs="方正仿宋_GBK"/>
          <w:sz w:val="30"/>
          <w:szCs w:val="30"/>
        </w:rPr>
        <w:t>设在国际物流需求量较大，交通便利且便于海关监管的地方。</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条：</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条：</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海关查阅数据的终端设备，并按照海关规定的认证方式和数据标准与海关联网；</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）《中华人民共和国海关对保税</w:t>
      </w:r>
      <w:r>
        <w:rPr>
          <w:rFonts w:ascii="Times New Roman" w:eastAsia="方正仿宋_GBK" w:hAnsi="Times New Roman" w:cs="方正仿宋_GBK"/>
          <w:sz w:val="30"/>
          <w:szCs w:val="30"/>
        </w:rPr>
        <w:t>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条：</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申请设立物流中心的企业应当向所在地主管海关提出书面申请，并递交以下加盖企业印章的材料：</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（一）申请书；</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（二）物流中心地理位置图、平面规划图。</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条：企业申请设立物流中心，由主管海关受理，报直属海关审批。</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条：企业自直属海关出具批准其筹建物流中心文件之日起</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年内向海关申请验收，由主管海关按照本办法的规定进行审核验收。</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物流中心验收合</w:t>
      </w:r>
      <w:r>
        <w:rPr>
          <w:rFonts w:ascii="Times New Roman" w:eastAsia="方正仿宋_GBK" w:hAnsi="Times New Roman" w:cs="方正仿宋_GBK"/>
          <w:sz w:val="30"/>
          <w:szCs w:val="30"/>
        </w:rPr>
        <w:t>格后，由直属海关向企业核发《保税物流中心（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物流中心在验收合格后方可以开展有关业务。</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11</w:t>
      </w:r>
      <w:r>
        <w:rPr>
          <w:rFonts w:ascii="Times New Roman" w:eastAsia="方正仿宋_GBK" w:hAnsi="Times New Roman" w:cs="方正仿宋_GBK"/>
          <w:sz w:val="30"/>
          <w:szCs w:val="30"/>
        </w:rPr>
        <w:t>条：获准设立物流中心的企业确有正当理由未按时申请验收的，经直属海关同意可以延期验收，除特殊情况外，延期不得超过</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个月。</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获准设立物流中心的企业无正当理由逾期未申请验收或者验收不合格的，视同其撤回设立物流中心的申请。</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18</w:t>
      </w:r>
      <w:r>
        <w:rPr>
          <w:rFonts w:ascii="Times New Roman" w:eastAsia="方正仿宋_GBK" w:hAnsi="Times New Roman" w:cs="方正仿宋_GBK"/>
          <w:sz w:val="30"/>
          <w:szCs w:val="30"/>
        </w:rPr>
        <w:t>条：《保税物流中心（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sz w:val="30"/>
          <w:szCs w:val="30"/>
        </w:rPr>
        <w:t>条：物流中心需变更经营单位名称、地址、仓储面积（容积）等事项的，主管海关受理企业申请后，报直属海关审批。</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sz w:val="30"/>
          <w:szCs w:val="30"/>
        </w:rPr>
        <w:t>条：物流中心经营企业因故终止业务的，由物流中心提出书面申请，主管海关受理后报直属海关审批，办理注销手续并交回《保税物流中心（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型）的暂行管理办法》全文</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b/>
          <w:bCs/>
          <w:sz w:val="30"/>
          <w:szCs w:val="30"/>
        </w:rPr>
        <w:t>实施机关</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直属海关（由所在地主管海关受理）</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b/>
          <w:bCs/>
          <w:sz w:val="30"/>
          <w:szCs w:val="30"/>
        </w:rPr>
        <w:t>审批层级</w:t>
      </w:r>
      <w:r>
        <w:rPr>
          <w:rFonts w:ascii="Times New Roman" w:eastAsia="方正仿宋_GBK" w:hAnsi="Times New Roman" w:hint="eastAsia"/>
          <w:b/>
          <w:bCs/>
          <w:sz w:val="30"/>
          <w:szCs w:val="30"/>
        </w:rPr>
        <w:t>：</w:t>
      </w:r>
      <w:r>
        <w:rPr>
          <w:rFonts w:ascii="Times New Roman" w:eastAsia="方正仿宋_GBK" w:hAnsi="Times New Roman" w:cs="方正仿宋_GBK" w:hint="eastAsia"/>
          <w:sz w:val="30"/>
          <w:szCs w:val="30"/>
        </w:rPr>
        <w:t>省</w:t>
      </w:r>
      <w:r>
        <w:rPr>
          <w:rFonts w:ascii="Times New Roman" w:eastAsia="方正仿宋_GBK" w:hAnsi="Times New Roman" w:cs="方正仿宋_GBK"/>
          <w:sz w:val="30"/>
          <w:szCs w:val="30"/>
        </w:rPr>
        <w:t>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w:t>
      </w:r>
      <w:r>
        <w:rPr>
          <w:rFonts w:ascii="Times New Roman" w:eastAsia="方正仿宋_GBK" w:hAnsi="Times New Roman"/>
          <w:b/>
          <w:bCs/>
          <w:sz w:val="30"/>
          <w:szCs w:val="30"/>
        </w:rPr>
        <w:t>层级</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b/>
          <w:bCs/>
          <w:sz w:val="30"/>
          <w:szCs w:val="30"/>
        </w:rPr>
        <w:t>是否由审批机关受理</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11.</w:t>
      </w:r>
      <w:r>
        <w:rPr>
          <w:rFonts w:ascii="Times New Roman" w:eastAsia="方正仿宋_GBK" w:hAnsi="Times New Roman"/>
          <w:b/>
          <w:bCs/>
          <w:sz w:val="30"/>
          <w:szCs w:val="30"/>
        </w:rPr>
        <w:t>受理层级</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b/>
          <w:bCs/>
          <w:sz w:val="30"/>
          <w:szCs w:val="30"/>
        </w:rPr>
        <w:t>是否存在初审环节</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是</w:t>
      </w:r>
    </w:p>
    <w:p w:rsidR="0075356C" w:rsidRDefault="00317D74">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b/>
          <w:bCs/>
          <w:sz w:val="30"/>
          <w:szCs w:val="30"/>
        </w:rPr>
        <w:t>初审层级</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75356C" w:rsidRDefault="00317D74">
      <w:pPr>
        <w:spacing w:line="600" w:lineRule="exact"/>
        <w:ind w:firstLineChars="200" w:firstLine="602"/>
        <w:jc w:val="left"/>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b/>
          <w:bCs/>
          <w:sz w:val="30"/>
          <w:szCs w:val="30"/>
        </w:rPr>
        <w:t>对应政务服务事项国家级基本目录名称</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型）设立审批</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行政许可事项类型</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条件型</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行政许可条件</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）物流中心经营企业申请设立物流中心应当具备下列条件：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海关查阅数据的终端设备，并按照海关规定的认证方式和数据标准与海关联网；</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）物流中心经营企业应当具备下列资格条件：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（一）经工商行政管理部门注册登记，具有独立的企业法人资格；</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b/>
          <w:bCs/>
          <w:sz w:val="30"/>
          <w:szCs w:val="30"/>
        </w:rPr>
        <w:t>规定行政许可条件的依据</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w:t>
      </w:r>
      <w:r>
        <w:rPr>
          <w:rFonts w:ascii="Times New Roman" w:eastAsia="方正仿宋_GBK" w:hAnsi="Times New Roman" w:cs="方正仿宋_GBK"/>
          <w:sz w:val="30"/>
          <w:szCs w:val="30"/>
        </w:rPr>
        <w:t>管理办法》第</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条：</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条：</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w:t>
      </w:r>
      <w:r>
        <w:rPr>
          <w:rFonts w:ascii="Times New Roman" w:eastAsia="方正仿宋_GBK" w:hAnsi="Times New Roman" w:cs="方正仿宋_GBK"/>
          <w:sz w:val="30"/>
          <w:szCs w:val="30"/>
        </w:rPr>
        <w:lastRenderedPageBreak/>
        <w:t>与海关联网；</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行政许可服务对象类型与改革举措</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sz w:val="30"/>
          <w:szCs w:val="30"/>
        </w:rPr>
        <w:t>企业法人</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sz w:val="30"/>
          <w:szCs w:val="30"/>
        </w:rPr>
        <w:t>是</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型）设立审批</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sz w:val="30"/>
          <w:szCs w:val="30"/>
        </w:rPr>
        <w:t>优化审批服务</w:t>
      </w:r>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实现申请、审批全程网上办理。</w:t>
      </w:r>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开展</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双随机、</w:t>
      </w:r>
      <w:proofErr w:type="gramStart"/>
      <w:r>
        <w:rPr>
          <w:rFonts w:ascii="Times New Roman" w:eastAsia="方正仿宋_GBK" w:hAnsi="Times New Roman" w:cs="方正仿宋_GBK"/>
          <w:sz w:val="30"/>
          <w:szCs w:val="30"/>
        </w:rPr>
        <w:t>一</w:t>
      </w:r>
      <w:proofErr w:type="gramEnd"/>
      <w:r>
        <w:rPr>
          <w:rFonts w:ascii="Times New Roman" w:eastAsia="方正仿宋_GBK" w:hAnsi="Times New Roman" w:cs="方正仿宋_GBK"/>
          <w:sz w:val="30"/>
          <w:szCs w:val="30"/>
        </w:rPr>
        <w:t>公开</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监管，根据不同风险程度、信用水平，合理确定抽查比例。</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申请材料</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型）注销申请；</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b/>
          <w:bCs/>
          <w:sz w:val="30"/>
          <w:szCs w:val="30"/>
        </w:rPr>
        <w:t>规定申请材料的依据</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物流中心经营企业因故终止业务的，由物流中心提出书面申请，主管海关受理后报直属海关审批，办理注销手续并交回《保税物流中心（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lastRenderedPageBreak/>
        <w:t>中介服务</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sz w:val="30"/>
          <w:szCs w:val="30"/>
        </w:rPr>
        <w:t>无</w:t>
      </w:r>
    </w:p>
    <w:p w:rsidR="0075356C" w:rsidRDefault="00317D74">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b/>
          <w:bCs/>
          <w:sz w:val="30"/>
          <w:szCs w:val="30"/>
        </w:rPr>
        <w:t>中介服务事项名称</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无</w:t>
      </w:r>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b/>
          <w:bCs/>
          <w:sz w:val="30"/>
          <w:szCs w:val="30"/>
        </w:rPr>
        <w:t>设定中介服务事项的依据</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b/>
          <w:bCs/>
          <w:sz w:val="30"/>
          <w:szCs w:val="30"/>
        </w:rPr>
        <w:t>提供中介服务的机构</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b/>
          <w:bCs/>
          <w:sz w:val="30"/>
          <w:szCs w:val="30"/>
        </w:rPr>
        <w:t>中介服务事项的收费性质</w:t>
      </w:r>
      <w:r>
        <w:rPr>
          <w:rFonts w:ascii="Times New Roman" w:eastAsia="方正仿宋_GBK" w:hAnsi="Times New Roman" w:hint="eastAsia"/>
          <w:b/>
          <w:bCs/>
          <w:sz w:val="30"/>
          <w:szCs w:val="30"/>
        </w:rPr>
        <w:t>：</w:t>
      </w:r>
      <w:r>
        <w:rPr>
          <w:rFonts w:ascii="Times New Roman" w:eastAsia="方正仿宋_GBK" w:hAnsi="Times New Roman" w:cs="方正仿宋_GBK"/>
          <w:sz w:val="30"/>
          <w:szCs w:val="30"/>
        </w:rPr>
        <w:t>无</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审批程序</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）申请人申请；</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）所在地主管海关受理</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不予受理；</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w:t>
      </w:r>
      <w:r>
        <w:rPr>
          <w:rFonts w:ascii="Times New Roman" w:eastAsia="方正仿宋_GBK" w:hAnsi="Times New Roman" w:cs="方正仿宋_GBK"/>
          <w:sz w:val="30"/>
          <w:szCs w:val="30"/>
        </w:rPr>
        <w:t>海关审查；</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w:t>
      </w:r>
      <w:r>
        <w:rPr>
          <w:rFonts w:ascii="Times New Roman" w:eastAsia="方正仿宋_GBK" w:hAnsi="Times New Roman" w:cs="方正仿宋_GBK"/>
          <w:sz w:val="30"/>
          <w:szCs w:val="30"/>
        </w:rPr>
        <w:t>海关</w:t>
      </w:r>
      <w:proofErr w:type="gramStart"/>
      <w:r>
        <w:rPr>
          <w:rFonts w:ascii="Times New Roman" w:eastAsia="方正仿宋_GBK" w:hAnsi="Times New Roman" w:cs="方正仿宋_GBK"/>
          <w:sz w:val="30"/>
          <w:szCs w:val="30"/>
        </w:rPr>
        <w:t>作出</w:t>
      </w:r>
      <w:proofErr w:type="gramEnd"/>
      <w:r>
        <w:rPr>
          <w:rFonts w:ascii="Times New Roman" w:eastAsia="方正仿宋_GBK" w:hAnsi="Times New Roman" w:cs="方正仿宋_GBK"/>
          <w:sz w:val="30"/>
          <w:szCs w:val="30"/>
        </w:rPr>
        <w:t>许可决定；</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w:t>
      </w:r>
      <w:r>
        <w:rPr>
          <w:rFonts w:ascii="Times New Roman" w:eastAsia="方正仿宋_GBK" w:hAnsi="Times New Roman" w:cs="方正仿宋_GBK"/>
          <w:sz w:val="30"/>
          <w:szCs w:val="30"/>
        </w:rPr>
        <w:t>海关颁发许可证件；</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w:t>
      </w:r>
      <w:r>
        <w:rPr>
          <w:rFonts w:ascii="Times New Roman" w:eastAsia="方正仿宋_GBK" w:hAnsi="Times New Roman" w:cs="方正仿宋_GBK"/>
          <w:sz w:val="30"/>
          <w:szCs w:val="30"/>
        </w:rPr>
        <w:t>海关公示；</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sz w:val="30"/>
          <w:szCs w:val="30"/>
        </w:rPr>
        <w:t>条：物流中心经营企业因故终止业务的，由物流中心提出书面申请，主管海关受理后报直属海关审批，办理注销手续并交回《保税物流中心（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b/>
          <w:bCs/>
          <w:sz w:val="30"/>
          <w:szCs w:val="30"/>
        </w:rPr>
        <w:t>是否需要现场勘验</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b/>
          <w:bCs/>
          <w:sz w:val="30"/>
          <w:szCs w:val="30"/>
        </w:rPr>
        <w:t>是否需要组织听证</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b/>
          <w:bCs/>
          <w:sz w:val="30"/>
          <w:szCs w:val="30"/>
        </w:rPr>
        <w:t>是否需要招标、拍卖、挂牌交易</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b/>
          <w:bCs/>
          <w:sz w:val="30"/>
          <w:szCs w:val="30"/>
        </w:rPr>
        <w:t>是否需要检验、检测、检疫</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b/>
          <w:bCs/>
          <w:sz w:val="30"/>
          <w:szCs w:val="30"/>
        </w:rPr>
        <w:t>是否需要鉴定</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b/>
          <w:bCs/>
          <w:sz w:val="30"/>
          <w:szCs w:val="30"/>
        </w:rPr>
        <w:t>是否需要专家评审</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b/>
          <w:bCs/>
          <w:sz w:val="30"/>
          <w:szCs w:val="30"/>
        </w:rPr>
        <w:t>是否需要向社会公示</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b/>
          <w:bCs/>
          <w:sz w:val="30"/>
          <w:szCs w:val="30"/>
        </w:rPr>
        <w:t>是否实行告知承诺办理</w:t>
      </w:r>
      <w:r>
        <w:rPr>
          <w:rFonts w:ascii="Times New Roman" w:eastAsia="方正仿宋_GBK" w:hAnsi="Times New Roman" w:hint="eastAsia"/>
          <w:b/>
          <w:bCs/>
          <w:sz w:val="30"/>
          <w:szCs w:val="30"/>
        </w:rPr>
        <w:t>：</w:t>
      </w:r>
      <w:proofErr w:type="gramStart"/>
      <w:r>
        <w:rPr>
          <w:rFonts w:ascii="Times New Roman" w:eastAsia="方正仿宋_GBK" w:hAnsi="Times New Roman" w:cs="方正仿宋_GBK"/>
          <w:sz w:val="30"/>
          <w:szCs w:val="30"/>
        </w:rPr>
        <w:t>否</w:t>
      </w:r>
      <w:proofErr w:type="gramEnd"/>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受理和审批时限</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个工作日</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75356C" w:rsidRDefault="00317D74">
      <w:pPr>
        <w:pStyle w:val="10"/>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sz w:val="30"/>
          <w:szCs w:val="30"/>
        </w:rPr>
        <w:t>《中华人民共和国行政许可法》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43</w:t>
      </w:r>
      <w:r>
        <w:rPr>
          <w:rFonts w:ascii="Times New Roman" w:eastAsia="方正仿宋_GBK" w:hAnsi="Times New Roman" w:cs="方正仿宋_GBK"/>
          <w:sz w:val="30"/>
          <w:szCs w:val="30"/>
        </w:rPr>
        <w:t>条：依法应当先经下级行政机关审查后报上级行政机关决定的行政许可，下级行政机关应当自其受理行政许可申请之日起二十日内审查完毕。但是，法律、法规另有规定的，依照其规定。</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）《中华人民共和国海关行政许可管理办法》第</w:t>
      </w:r>
      <w:r>
        <w:rPr>
          <w:rFonts w:ascii="Times New Roman" w:eastAsia="方正仿宋_GBK" w:hAnsi="Times New Roman" w:cs="方正仿宋_GBK"/>
          <w:sz w:val="30"/>
          <w:szCs w:val="30"/>
        </w:rPr>
        <w:t>32</w:t>
      </w:r>
      <w:r>
        <w:rPr>
          <w:rFonts w:ascii="Times New Roman" w:eastAsia="方正仿宋_GBK" w:hAnsi="Times New Roman" w:cs="方正仿宋_GBK"/>
          <w:sz w:val="30"/>
          <w:szCs w:val="30"/>
        </w:rPr>
        <w:t>条：依法应当先经下级海关审查后报上级海关决定的海关行政许可，下级海关应当根据法定条件和程序进行全面审查，并且于受理海关行政许可申请之日起二十日内审查完毕，将审查意见和全部申请材料直接报送上级海关。上级海关应当自收到下级海关报送的审查意见之日起二十日内</w:t>
      </w:r>
      <w:proofErr w:type="gramStart"/>
      <w:r>
        <w:rPr>
          <w:rFonts w:ascii="Times New Roman" w:eastAsia="方正仿宋_GBK" w:hAnsi="Times New Roman" w:cs="方正仿宋_GBK"/>
          <w:sz w:val="30"/>
          <w:szCs w:val="30"/>
        </w:rPr>
        <w:t>作出</w:t>
      </w:r>
      <w:proofErr w:type="gramEnd"/>
      <w:r>
        <w:rPr>
          <w:rFonts w:ascii="Times New Roman" w:eastAsia="方正仿宋_GBK" w:hAnsi="Times New Roman" w:cs="方正仿宋_GBK"/>
          <w:sz w:val="30"/>
          <w:szCs w:val="30"/>
        </w:rPr>
        <w:t>决定。</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sz w:val="30"/>
          <w:szCs w:val="30"/>
        </w:rPr>
        <w:t>40</w:t>
      </w:r>
      <w:r>
        <w:rPr>
          <w:rFonts w:ascii="Times New Roman" w:eastAsia="方正仿宋_GBK" w:hAnsi="Times New Roman" w:cs="方正仿宋_GBK"/>
          <w:sz w:val="30"/>
          <w:szCs w:val="30"/>
        </w:rPr>
        <w:t>个工作日</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收费</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行政许可证件</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sz w:val="30"/>
          <w:szCs w:val="30"/>
        </w:rPr>
        <w:t>证照</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w:t>
      </w:r>
      <w:r>
        <w:rPr>
          <w:rFonts w:ascii="Times New Roman" w:eastAsia="方正仿宋_GBK" w:hAnsi="Times New Roman" w:hint="eastAsia"/>
          <w:b/>
          <w:bCs/>
          <w:sz w:val="30"/>
          <w:szCs w:val="30"/>
        </w:rPr>
        <w:t>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注销需交回《保税物流中心（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75356C" w:rsidRDefault="00317D74">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型）注册登记证书》有效期为</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75356C" w:rsidRDefault="00317D74">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物流中心经营企业应当在《保税物流中心（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型）注册登记证书》每次有效期满</w:t>
      </w:r>
      <w:r>
        <w:rPr>
          <w:rFonts w:ascii="Times New Roman" w:eastAsia="方正仿宋_GBK" w:hAnsi="Times New Roman"/>
          <w:bCs/>
          <w:sz w:val="30"/>
          <w:szCs w:val="30"/>
        </w:rPr>
        <w:t>30</w:t>
      </w:r>
      <w:r>
        <w:rPr>
          <w:rFonts w:ascii="Times New Roman" w:eastAsia="方正仿宋_GBK" w:hAnsi="Times New Roman"/>
          <w:bCs/>
          <w:sz w:val="30"/>
          <w:szCs w:val="30"/>
        </w:rPr>
        <w:t>日前办理延期手续，由主管海关受理，报直属海关审批。</w:t>
      </w:r>
    </w:p>
    <w:p w:rsidR="0075356C" w:rsidRDefault="00317D74">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物流中心经营企业办理延期手续应当提交《保税物流中心（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bCs/>
          <w:sz w:val="30"/>
          <w:szCs w:val="30"/>
        </w:rPr>
        <w:t>对审查合格的企业准予延期</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sz w:val="30"/>
          <w:szCs w:val="30"/>
        </w:rPr>
        <w:t>是</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物流中心需变更经营单位名称、地址、仓储面积（容积）等事项的，主管海关受理企业申请后，报青岛海关审批。</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全国。</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w:t>
      </w:r>
      <w:r>
        <w:rPr>
          <w:rFonts w:ascii="Times New Roman" w:eastAsia="方正仿宋_GBK" w:hAnsi="Times New Roman" w:cs="方正仿宋_GBK" w:hint="eastAsia"/>
          <w:sz w:val="30"/>
          <w:szCs w:val="30"/>
        </w:rPr>
        <w:t>围内有效。</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行政许可数量限制</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p>
    <w:p w:rsidR="0075356C" w:rsidRDefault="00317D74">
      <w:pPr>
        <w:spacing w:line="60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行政许可后年检</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75356C" w:rsidRDefault="00317D74">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75356C" w:rsidRDefault="00317D74">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行政许可后年报</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b/>
          <w:bCs/>
          <w:sz w:val="30"/>
          <w:szCs w:val="30"/>
        </w:rPr>
        <w:t>有无年报要求</w:t>
      </w:r>
      <w:r>
        <w:rPr>
          <w:rFonts w:ascii="Times New Roman" w:eastAsia="方正仿宋_GBK" w:hAnsi="Times New Roman" w:hint="eastAsia"/>
          <w:b/>
          <w:bCs/>
          <w:sz w:val="30"/>
          <w:szCs w:val="30"/>
        </w:rPr>
        <w:t>：</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b/>
          <w:bCs/>
          <w:sz w:val="30"/>
          <w:szCs w:val="30"/>
        </w:rPr>
        <w:t>年报报送材料名称</w:t>
      </w:r>
      <w:r>
        <w:rPr>
          <w:rFonts w:ascii="Times New Roman" w:eastAsia="方正仿宋_GBK" w:hAnsi="Times New Roman" w:hint="eastAsia"/>
          <w:b/>
          <w:bCs/>
          <w:sz w:val="30"/>
          <w:szCs w:val="30"/>
        </w:rPr>
        <w:t>：</w:t>
      </w: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b/>
          <w:bCs/>
          <w:sz w:val="30"/>
          <w:szCs w:val="30"/>
        </w:rPr>
        <w:t>设定年报要求的依据</w:t>
      </w:r>
    </w:p>
    <w:p w:rsidR="0075356C" w:rsidRDefault="00317D74">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75356C" w:rsidRDefault="00317D74">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b/>
          <w:bCs/>
          <w:sz w:val="30"/>
          <w:szCs w:val="30"/>
        </w:rPr>
        <w:t>年报周期</w:t>
      </w:r>
      <w:r>
        <w:rPr>
          <w:rFonts w:ascii="Times New Roman" w:eastAsia="方正仿宋_GBK" w:hAnsi="Times New Roman" w:hint="eastAsia"/>
          <w:b/>
          <w:bCs/>
          <w:sz w:val="30"/>
          <w:szCs w:val="30"/>
        </w:rPr>
        <w:t>：</w:t>
      </w:r>
      <w:r>
        <w:rPr>
          <w:rFonts w:ascii="Times New Roman" w:eastAsia="方正仿宋_GBK" w:hAnsi="Times New Roman" w:cs="方正仿宋_GBK" w:hint="eastAsia"/>
          <w:sz w:val="30"/>
          <w:szCs w:val="30"/>
        </w:rPr>
        <w:t>无</w:t>
      </w:r>
    </w:p>
    <w:p w:rsidR="0075356C" w:rsidRDefault="00317D74">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监管主体</w:t>
      </w:r>
    </w:p>
    <w:p w:rsidR="0075356C" w:rsidRDefault="00317D74">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主管海关。</w:t>
      </w:r>
    </w:p>
    <w:p w:rsidR="0075356C" w:rsidRDefault="00317D74">
      <w:pPr>
        <w:spacing w:line="600" w:lineRule="exact"/>
        <w:ind w:left="600"/>
        <w:outlineLvl w:val="1"/>
        <w:rPr>
          <w:rFonts w:ascii="方正黑体_GBK" w:eastAsia="方正黑体_GBK"/>
          <w:sz w:val="30"/>
          <w:szCs w:val="30"/>
        </w:rPr>
      </w:pPr>
      <w:r>
        <w:rPr>
          <w:rFonts w:ascii="方正黑体_GBK" w:eastAsia="方正黑体_GBK" w:hint="eastAsia"/>
          <w:sz w:val="30"/>
          <w:szCs w:val="30"/>
        </w:rPr>
        <w:t>十五、备注</w:t>
      </w:r>
    </w:p>
    <w:p w:rsidR="0075356C" w:rsidRDefault="0075356C">
      <w:pPr>
        <w:spacing w:line="600" w:lineRule="exact"/>
        <w:ind w:firstLineChars="200" w:firstLine="600"/>
        <w:rPr>
          <w:rFonts w:ascii="Times New Roman" w:eastAsia="方正仿宋_GBK" w:hAnsi="Times New Roman" w:cs="方正仿宋_GBK"/>
          <w:sz w:val="30"/>
          <w:szCs w:val="30"/>
        </w:rPr>
      </w:pPr>
    </w:p>
    <w:p w:rsidR="0075356C" w:rsidRDefault="0075356C">
      <w:pPr>
        <w:spacing w:line="600" w:lineRule="exact"/>
        <w:ind w:firstLineChars="200" w:firstLine="600"/>
        <w:outlineLvl w:val="1"/>
        <w:rPr>
          <w:rFonts w:ascii="Times New Roman" w:eastAsia="方正仿宋_GBK" w:hAnsi="Times New Roman"/>
          <w:sz w:val="30"/>
          <w:szCs w:val="30"/>
        </w:rPr>
      </w:pPr>
    </w:p>
    <w:sectPr w:rsidR="0075356C">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75356C"/>
    <w:rsid w:val="00051855"/>
    <w:rsid w:val="00317D74"/>
    <w:rsid w:val="00753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EB9C8-9E38-474C-864E-BCA038E8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next w:val="110"/>
    <w:pPr>
      <w:widowControl w:val="0"/>
      <w:jc w:val="both"/>
    </w:pPr>
    <w:rPr>
      <w:rFonts w:ascii="Calibri" w:hAnsi="Calibri"/>
      <w:kern w:val="2"/>
      <w:sz w:val="21"/>
      <w:szCs w:val="24"/>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 w:type="paragraph" w:customStyle="1" w:styleId="310">
    <w:name w:val="样式 3 10 磅"/>
    <w:pPr>
      <w:widowControl w:val="0"/>
      <w:jc w:val="both"/>
    </w:pPr>
    <w:rPr>
      <w:rFonts w:ascii="Calibri" w:hAnsi="Calibri"/>
      <w:kern w:val="2"/>
      <w:sz w:val="21"/>
      <w:szCs w:val="24"/>
    </w:rPr>
  </w:style>
  <w:style w:type="paragraph" w:customStyle="1" w:styleId="410">
    <w:name w:val="样式 4 10 磅"/>
    <w:pPr>
      <w:widowControl w:val="0"/>
      <w:jc w:val="both"/>
    </w:pPr>
    <w:rPr>
      <w:rFonts w:ascii="Calibri" w:hAnsi="Calibri"/>
      <w:kern w:val="2"/>
      <w:sz w:val="21"/>
      <w:szCs w:val="24"/>
    </w:rPr>
  </w:style>
  <w:style w:type="paragraph" w:customStyle="1" w:styleId="510">
    <w:name w:val="样式 5 10 磅"/>
    <w:pPr>
      <w:widowControl w:val="0"/>
      <w:jc w:val="both"/>
    </w:pPr>
    <w:rPr>
      <w:rFonts w:ascii="Calibri" w:hAnsi="Calibri"/>
      <w:kern w:val="2"/>
      <w:sz w:val="21"/>
      <w:szCs w:val="24"/>
    </w:rPr>
  </w:style>
  <w:style w:type="paragraph" w:customStyle="1" w:styleId="610">
    <w:name w:val="样式 6 10 磅"/>
    <w:pPr>
      <w:widowControl w:val="0"/>
      <w:jc w:val="both"/>
    </w:pPr>
    <w:rPr>
      <w:rFonts w:ascii="Calibri" w:hAnsi="Calibri"/>
      <w:kern w:val="2"/>
      <w:sz w:val="21"/>
      <w:szCs w:val="24"/>
    </w:rPr>
  </w:style>
  <w:style w:type="paragraph" w:customStyle="1" w:styleId="710">
    <w:name w:val="样式 7 10 磅"/>
    <w:pPr>
      <w:widowControl w:val="0"/>
      <w:jc w:val="both"/>
    </w:pPr>
    <w:rPr>
      <w:rFonts w:ascii="Calibri" w:hAnsi="Calibri"/>
      <w:kern w:val="2"/>
      <w:sz w:val="21"/>
      <w:szCs w:val="24"/>
    </w:rPr>
  </w:style>
  <w:style w:type="paragraph" w:customStyle="1" w:styleId="810">
    <w:name w:val="样式 8 10 磅"/>
    <w:pPr>
      <w:widowControl w:val="0"/>
      <w:jc w:val="both"/>
    </w:pPr>
    <w:rPr>
      <w:rFonts w:ascii="Calibri" w:hAnsi="Calibri"/>
      <w:kern w:val="2"/>
      <w:sz w:val="21"/>
      <w:szCs w:val="24"/>
    </w:rPr>
  </w:style>
  <w:style w:type="paragraph" w:styleId="a6">
    <w:name w:val="annotation subject"/>
    <w:basedOn w:val="a"/>
    <w:next w:val="a3"/>
    <w:pPr>
      <w:jc w:val="left"/>
    </w:pPr>
    <w:rPr>
      <w:b/>
    </w:rPr>
  </w:style>
  <w:style w:type="paragraph" w:customStyle="1" w:styleId="910">
    <w:name w:val="样式 9 10 磅"/>
    <w:pPr>
      <w:widowControl w:val="0"/>
      <w:jc w:val="both"/>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42</cp:revision>
  <cp:lastPrinted>2022-06-15T22:53:00Z</cp:lastPrinted>
  <dcterms:created xsi:type="dcterms:W3CDTF">2020-07-23T08:39:00Z</dcterms:created>
  <dcterms:modified xsi:type="dcterms:W3CDTF">2023-05-31T07:17:00Z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