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A21" w:rsidRDefault="00420A21" w:rsidP="00420A21">
      <w:pPr>
        <w:spacing w:line="600" w:lineRule="exact"/>
        <w:rPr>
          <w:rFonts w:ascii="Times New Roman" w:eastAsia="方正小标宋_GBK" w:hAnsi="Times New Roman" w:cs="方正小标宋_GBK" w:hint="eastAsia"/>
          <w:sz w:val="36"/>
          <w:szCs w:val="36"/>
        </w:rPr>
      </w:pPr>
      <w:bookmarkStart w:id="0" w:name="_GoBack"/>
      <w:bookmarkEnd w:id="0"/>
    </w:p>
    <w:p w:rsidR="00401BE4" w:rsidRDefault="00420A21">
      <w:pPr>
        <w:spacing w:line="600" w:lineRule="exact"/>
        <w:jc w:val="center"/>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保税物流中心设立审批（</w:t>
      </w:r>
      <w:r>
        <w:rPr>
          <w:rFonts w:ascii="Times New Roman" w:eastAsia="方正小标宋_GBK" w:hAnsi="Times New Roman" w:cs="方正小标宋_GBK" w:hint="eastAsia"/>
          <w:sz w:val="36"/>
          <w:szCs w:val="36"/>
        </w:rPr>
        <w:t>B</w:t>
      </w:r>
      <w:r>
        <w:rPr>
          <w:rFonts w:ascii="Times New Roman" w:eastAsia="方正小标宋_GBK" w:hAnsi="Times New Roman" w:cs="方正小标宋_GBK" w:hint="eastAsia"/>
          <w:sz w:val="36"/>
          <w:szCs w:val="36"/>
        </w:rPr>
        <w:t>型）（注销）</w:t>
      </w:r>
      <w:r>
        <w:rPr>
          <w:rFonts w:ascii="Times New Roman" w:eastAsia="方正小标宋_GBK" w:hAnsi="Times New Roman" w:cs="方正小标宋_GBK"/>
          <w:sz w:val="36"/>
          <w:szCs w:val="36"/>
        </w:rPr>
        <w:t>实施规范</w:t>
      </w:r>
    </w:p>
    <w:p w:rsidR="00401BE4" w:rsidRDefault="00420A21">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00012920100204</w:t>
      </w:r>
      <w:r>
        <w:rPr>
          <w:rFonts w:ascii="Times New Roman" w:eastAsia="方正仿宋_GBK" w:hAnsi="Times New Roman" w:cs="方正小标宋_GBK" w:hint="eastAsia"/>
          <w:sz w:val="36"/>
          <w:szCs w:val="36"/>
        </w:rPr>
        <w:t>】</w:t>
      </w:r>
    </w:p>
    <w:p w:rsidR="00401BE4" w:rsidRDefault="00401BE4">
      <w:pPr>
        <w:spacing w:line="600" w:lineRule="exact"/>
        <w:ind w:firstLineChars="200" w:firstLine="600"/>
        <w:rPr>
          <w:rFonts w:ascii="Times New Roman" w:eastAsia="方正仿宋_GBK" w:hAnsi="Times New Roman" w:cs="方正小标宋_GBK"/>
          <w:sz w:val="30"/>
          <w:szCs w:val="30"/>
        </w:rPr>
      </w:pP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基本要素</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401BE4" w:rsidRDefault="00420A21">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000129201002</w:t>
      </w:r>
      <w:r>
        <w:rPr>
          <w:rFonts w:ascii="Times New Roman" w:eastAsia="方正仿宋_GBK" w:hAnsi="Times New Roman" w:cs="方正仿宋_GBK" w:hint="eastAsia"/>
          <w:sz w:val="30"/>
          <w:szCs w:val="30"/>
        </w:rPr>
        <w:t>】</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401BE4" w:rsidRDefault="00420A21">
      <w:pPr>
        <w:spacing w:line="600" w:lineRule="exact"/>
        <w:ind w:firstLineChars="200" w:firstLine="600"/>
        <w:rPr>
          <w:rFonts w:ascii="Times New Roman" w:eastAsia="方正仿宋_GBK" w:hAnsi="Times New Roman"/>
          <w:b/>
          <w:bCs/>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型）（注销）</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00012920100204</w:t>
      </w:r>
      <w:r>
        <w:rPr>
          <w:rFonts w:ascii="Times New Roman" w:eastAsia="方正仿宋_GBK" w:hAnsi="Times New Roman"/>
          <w:b/>
          <w:bCs/>
          <w:sz w:val="30"/>
          <w:szCs w:val="30"/>
        </w:rPr>
        <w:t>）</w:t>
      </w:r>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条：</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设立物流中心应当具备下列条件：</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（一）物流中心仓储面积，东部地区不低于</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万平方米，中西部地区、东北地区不低于</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万平方米；</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（二）符合海关对物流中心的监管规划建设要求；</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（三）选址在靠近海港、空港、陆路交通枢纽及内陆国际</w:t>
      </w:r>
      <w:r>
        <w:rPr>
          <w:rFonts w:ascii="Times New Roman" w:eastAsia="方正仿宋_GBK" w:hAnsi="Times New Roman" w:cs="方正仿宋_GBK"/>
          <w:sz w:val="30"/>
          <w:szCs w:val="30"/>
        </w:rPr>
        <w:t>物流需求量较大，交通便利，设有海关机构且便于海关集中监管的地方；</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（四）经省级人民政府确认，符合地方经济发展总体布局，满足加工贸易发展对保税物流的需求；</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海关查阅数据的终端设备，并按照海关规定的认证方式和数据标准，通过</w:t>
      </w:r>
      <w:r>
        <w:rPr>
          <w:rFonts w:ascii="方正仿宋_GBK" w:eastAsia="方正仿宋_GBK" w:cs="方正仿宋_GBK"/>
          <w:sz w:val="30"/>
          <w:szCs w:val="30"/>
        </w:rPr>
        <w:t>“</w:t>
      </w:r>
      <w:r>
        <w:rPr>
          <w:rFonts w:ascii="Times New Roman" w:eastAsia="方正仿宋_GBK" w:hAnsi="Times New Roman" w:cs="方正仿宋_GBK"/>
          <w:sz w:val="30"/>
          <w:szCs w:val="30"/>
        </w:rPr>
        <w:t>电子口岸</w:t>
      </w:r>
      <w:r>
        <w:rPr>
          <w:rFonts w:ascii="方正仿宋_GBK" w:eastAsia="方正仿宋_GBK" w:cs="方正仿宋_GBK"/>
          <w:sz w:val="30"/>
          <w:szCs w:val="30"/>
        </w:rPr>
        <w:t>”</w:t>
      </w:r>
      <w:r>
        <w:rPr>
          <w:rFonts w:ascii="Times New Roman" w:eastAsia="方正仿宋_GBK" w:hAnsi="Times New Roman" w:cs="方正仿宋_GBK"/>
          <w:sz w:val="30"/>
          <w:szCs w:val="30"/>
        </w:rPr>
        <w:t>平台与海关联网，以便海关在统一平台上与国税、外汇管理等部门实现数据交换及信息共享；</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（一）经工商行政管理部门注册登记，具有独立企业法人资格；</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（二）具备对中心内企业进行日常管理的能力；</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（三）具备协助海关对进出物流中心的货物和中心内企业的经营行为实施监管的能力。</w:t>
      </w:r>
    </w:p>
    <w:p w:rsidR="00401BE4" w:rsidRDefault="00420A21">
      <w:pPr>
        <w:spacing w:line="600" w:lineRule="exact"/>
        <w:ind w:firstLineChars="200" w:firstLine="600"/>
        <w:outlineLvl w:val="2"/>
        <w:rPr>
          <w:rFonts w:ascii="Times New Roman" w:eastAsia="方正仿宋_GBK" w:hAnsi="Times New Roman"/>
          <w:b/>
          <w:bCs/>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hint="eastAsia"/>
          <w:sz w:val="30"/>
          <w:szCs w:val="30"/>
        </w:rPr>
        <w:t>）《中华人民共和国海关对中心（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23</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：物流中心经营企业因故终止业务的，物流中心经营企业向直属海关提出书面申请，经海关总署会同有关部门审批</w:t>
      </w:r>
      <w:r>
        <w:rPr>
          <w:rFonts w:ascii="Times New Roman" w:eastAsia="方正仿宋_GBK" w:hAnsi="Times New Roman" w:cs="方正仿宋_GBK"/>
          <w:sz w:val="30"/>
          <w:szCs w:val="30"/>
        </w:rPr>
        <w:lastRenderedPageBreak/>
        <w:t>后，办理注销手续并交回《保税物流中心（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型）注册登记证书》。</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b/>
          <w:bCs/>
          <w:sz w:val="30"/>
          <w:szCs w:val="30"/>
        </w:rPr>
        <w:t>6</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监管依据</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型）的暂行管理办法》全文</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hint="eastAsia"/>
          <w:sz w:val="30"/>
          <w:szCs w:val="30"/>
        </w:rPr>
        <w:t>海关总署会同财政部、税务总局、国家外汇局（由青岛海关受理）</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国家级</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国家级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局（署、会）</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proofErr w:type="gramStart"/>
      <w:r>
        <w:rPr>
          <w:rFonts w:ascii="Times New Roman" w:eastAsia="方正仿宋_GBK" w:hAnsi="Times New Roman" w:cs="方正仿宋_GBK"/>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b/>
          <w:bCs/>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行政许可事项类型</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行政许可条件</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设立物流中心应当具备下列条件：</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w:t>
      </w:r>
      <w:r>
        <w:rPr>
          <w:rFonts w:ascii="Times New Roman" w:eastAsia="方正仿宋_GBK" w:hAnsi="Times New Roman" w:cs="方正仿宋_GBK" w:hint="eastAsia"/>
          <w:sz w:val="30"/>
          <w:szCs w:val="30"/>
        </w:rPr>
        <w:lastRenderedPageBreak/>
        <w:t>流需求量较大，交通便利，设有海关机构且便于海关集中监管的地方；</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设立物流中心应当具备下列条件：</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（三）选址在靠近海港、空港、陆路交通枢纽及内陆国际物流需求量较大，交通便利，设有海关机构且便于海关集中监管的地方；</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w:t>
      </w:r>
      <w:r>
        <w:rPr>
          <w:rFonts w:ascii="Times New Roman" w:eastAsia="方正仿宋_GBK" w:hAnsi="Times New Roman" w:cs="方正仿宋_GBK" w:hint="eastAsia"/>
          <w:sz w:val="30"/>
          <w:szCs w:val="30"/>
        </w:rPr>
        <w:t>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w:t>
      </w:r>
      <w:r>
        <w:rPr>
          <w:rFonts w:ascii="Times New Roman" w:eastAsia="方正仿宋_GBK" w:hAnsi="Times New Roman" w:cs="方正仿宋_GBK" w:hint="eastAsia"/>
          <w:sz w:val="30"/>
          <w:szCs w:val="30"/>
        </w:rPr>
        <w:t>的经营行为实施监管的能力。</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行政许可服务对象类型与改革举措</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r>
        <w:rPr>
          <w:rFonts w:ascii="Times New Roman" w:eastAsia="方正仿宋_GBK" w:hAnsi="Times New Roman" w:cs="方正仿宋_GBK" w:hint="eastAsia"/>
          <w:sz w:val="30"/>
          <w:szCs w:val="30"/>
        </w:rPr>
        <w:lastRenderedPageBreak/>
        <w:t>（注销）</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每半年</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次公布存量保税物流中心（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型）情况。</w:t>
      </w:r>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公开”监管、跨部门联合监管等，对经营企业加强监管，发现违法违规行为要依法查处。</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申请材料</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w:t>
      </w:r>
      <w:r>
        <w:rPr>
          <w:rFonts w:ascii="Times New Roman" w:eastAsia="方正仿宋_GBK" w:hAnsi="Times New Roman" w:cs="方正仿宋_GBK" w:hint="eastAsia"/>
          <w:sz w:val="30"/>
          <w:szCs w:val="30"/>
        </w:rPr>
        <w:t>注销申请书（申请书应当包括对物流中心库存货物的处理情况）</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23</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物流中心经营企业因故终止业务的，物流中心经营企业向直属海关提出书面申请，经海关总署会同有关部门审批后，办理注销手续并交回《保税物流中心（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注册登记证书》。</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中介服务</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审批程序</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r>
        <w:rPr>
          <w:rFonts w:ascii="Times New Roman" w:eastAsia="方正仿宋_GBK" w:hAnsi="Times New Roman" w:cs="方正仿宋_GBK"/>
          <w:sz w:val="30"/>
          <w:szCs w:val="30"/>
        </w:rPr>
        <w:t>；</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审批机构审查</w:t>
      </w:r>
      <w:r>
        <w:rPr>
          <w:rFonts w:ascii="Times New Roman" w:eastAsia="方正仿宋_GBK" w:hAnsi="Times New Roman" w:cs="方正仿宋_GBK"/>
          <w:sz w:val="30"/>
          <w:szCs w:val="30"/>
        </w:rPr>
        <w:t>；</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）注销并收回</w:t>
      </w:r>
      <w:r>
        <w:rPr>
          <w:rFonts w:ascii="Times New Roman" w:eastAsia="方正仿宋_GBK" w:hAnsi="Times New Roman" w:cs="方正仿宋_GBK" w:hint="eastAsia"/>
          <w:sz w:val="30"/>
          <w:szCs w:val="30"/>
        </w:rPr>
        <w:t>许可证件</w:t>
      </w:r>
      <w:r>
        <w:rPr>
          <w:rFonts w:ascii="Times New Roman" w:eastAsia="方正仿宋_GBK" w:hAnsi="Times New Roman" w:cs="方正仿宋_GBK"/>
          <w:sz w:val="30"/>
          <w:szCs w:val="30"/>
        </w:rPr>
        <w:t>。</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23</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物流中心经营企业因故终止业务的，物流中心经营企业向直属海关提出书面申请，经海关总署会同有关部门审批后，办理注销手续并交回《保税物流中心（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注册登记证书》。</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lastRenderedPageBreak/>
        <w:t>受理和审批时限</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当场办理</w:t>
      </w:r>
    </w:p>
    <w:p w:rsidR="00401BE4" w:rsidRDefault="00420A21">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海关行政许可采</w:t>
      </w:r>
      <w:r>
        <w:rPr>
          <w:rFonts w:ascii="Times New Roman" w:eastAsia="方正仿宋_GBK" w:hAnsi="Times New Roman" w:cs="方正仿宋_GBK"/>
          <w:sz w:val="30"/>
          <w:szCs w:val="30"/>
        </w:rPr>
        <w:t>取</w:t>
      </w:r>
      <w:r>
        <w:rPr>
          <w:rFonts w:ascii="Times New Roman" w:eastAsia="方正仿宋_GBK" w:hAnsi="Times New Roman" w:cs="方正仿宋_GBK" w:hint="eastAsia"/>
          <w:sz w:val="30"/>
          <w:szCs w:val="30"/>
        </w:rPr>
        <w:t>联合办理的，办理的时间不得超过四十五日；四十五日内不能办结的，经海关总署批准，可以延长十五日，并且应当将延长期限的理由告知申请人</w:t>
      </w:r>
      <w:r>
        <w:rPr>
          <w:rFonts w:ascii="Times New Roman" w:eastAsia="方正仿宋_GBK" w:hAnsi="Times New Roman" w:cs="方正仿宋_GBK"/>
          <w:sz w:val="30"/>
          <w:szCs w:val="30"/>
        </w:rPr>
        <w:t>。</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收费</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401BE4" w:rsidRDefault="00420A21">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行政许可证件</w:t>
      </w:r>
    </w:p>
    <w:p w:rsidR="00401BE4" w:rsidRDefault="00420A21">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b/>
          <w:bCs/>
          <w:sz w:val="30"/>
          <w:szCs w:val="30"/>
        </w:rPr>
        <w:t>2</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是否需要办理审批结果变更手续：</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b/>
          <w:bCs/>
          <w:sz w:val="30"/>
          <w:szCs w:val="30"/>
        </w:rPr>
        <w:t>3</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办理审批结果变更手续的要求</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b/>
          <w:bCs/>
          <w:sz w:val="30"/>
          <w:szCs w:val="30"/>
        </w:rPr>
        <w:t>4</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是否需要办理审批结果延续手续：</w:t>
      </w:r>
      <w:proofErr w:type="gramStart"/>
      <w:r>
        <w:rPr>
          <w:rFonts w:ascii="Times New Roman" w:eastAsia="方正仿宋_GBK" w:hAnsi="Times New Roman" w:cs="方正仿宋_GBK" w:hint="eastAsia"/>
          <w:sz w:val="30"/>
          <w:szCs w:val="30"/>
        </w:rPr>
        <w:t>否</w:t>
      </w:r>
      <w:proofErr w:type="gramEnd"/>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b/>
          <w:bCs/>
          <w:sz w:val="30"/>
          <w:szCs w:val="30"/>
        </w:rPr>
        <w:t>5</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办理审批结果延续手续的要求</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b/>
          <w:bCs/>
          <w:sz w:val="30"/>
          <w:szCs w:val="30"/>
        </w:rPr>
        <w:t>6</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审批结果的有效地域范围</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全国</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b/>
          <w:bCs/>
          <w:sz w:val="30"/>
          <w:szCs w:val="30"/>
        </w:rPr>
        <w:t>7</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规定审批结果有效地域范围的依据</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行政许可数量限制</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sz w:val="30"/>
          <w:szCs w:val="30"/>
        </w:rPr>
        <w:t>无</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行政许可后年检</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401BE4" w:rsidRDefault="00420A21">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行政许可后年报</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401BE4" w:rsidRDefault="00420A21">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401BE4" w:rsidRDefault="00420A21">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无</w:t>
      </w:r>
    </w:p>
    <w:p w:rsidR="00401BE4" w:rsidRDefault="00420A21">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401BE4" w:rsidRDefault="00420A21">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监管主体</w:t>
      </w:r>
    </w:p>
    <w:p w:rsidR="00401BE4" w:rsidRDefault="00420A21">
      <w:pPr>
        <w:spacing w:line="600" w:lineRule="exact"/>
        <w:ind w:firstLineChars="200" w:firstLine="600"/>
        <w:rPr>
          <w:rFonts w:ascii="Times New Roman" w:eastAsia="方正黑体_GBK" w:hAnsi="Times New Roman"/>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w:t>
      </w:r>
    </w:p>
    <w:p w:rsidR="00401BE4" w:rsidRDefault="00420A21">
      <w:pPr>
        <w:spacing w:line="600" w:lineRule="exact"/>
        <w:ind w:firstLineChars="200" w:firstLine="600"/>
        <w:rPr>
          <w:rFonts w:ascii="Times New Roman" w:eastAsia="方正仿宋_GBK" w:hAnsi="Times New Roman"/>
          <w:sz w:val="30"/>
          <w:szCs w:val="30"/>
        </w:rPr>
      </w:pPr>
      <w:r>
        <w:rPr>
          <w:rFonts w:ascii="Times New Roman" w:eastAsia="方正黑体_GBK" w:hAnsi="Times New Roman" w:hint="eastAsia"/>
          <w:sz w:val="30"/>
          <w:szCs w:val="30"/>
        </w:rPr>
        <w:t>十五、备注</w:t>
      </w:r>
    </w:p>
    <w:sectPr w:rsidR="00401BE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401BE4"/>
    <w:rsid w:val="00401BE4"/>
    <w:rsid w:val="0042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EF292-41E0-4E70-88E7-8321FFA9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pPr>
      <w:widowControl w:val="0"/>
      <w:jc w:val="both"/>
    </w:pPr>
    <w:rPr>
      <w:rFonts w:ascii="Calibri" w:hAnsi="Calibri"/>
      <w:kern w:val="2"/>
      <w:sz w:val="21"/>
      <w:szCs w:val="24"/>
    </w:rPr>
  </w:style>
  <w:style w:type="paragraph" w:customStyle="1" w:styleId="110">
    <w:name w:val="样式 1 10 磅"/>
    <w:pPr>
      <w:widowControl w:val="0"/>
      <w:jc w:val="both"/>
    </w:pPr>
    <w:rPr>
      <w:rFonts w:ascii="Calibri" w:hAnsi="Calibri"/>
      <w:kern w:val="2"/>
      <w:sz w:val="21"/>
      <w:szCs w:val="24"/>
    </w:rPr>
  </w:style>
  <w:style w:type="paragraph" w:styleId="a6">
    <w:name w:val="annotation subject"/>
    <w:basedOn w:val="a3"/>
    <w:next w:val="a3"/>
    <w:rPr>
      <w:b/>
    </w:rPr>
  </w:style>
  <w:style w:type="paragraph" w:styleId="a7">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539</Words>
  <Characters>3076</Characters>
  <Application>Microsoft Office Word</Application>
  <DocSecurity>0</DocSecurity>
  <Lines>25</Lines>
  <Paragraphs>7</Paragraphs>
  <ScaleCrop>false</ScaleCrop>
  <Company>QDHG</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38</cp:revision>
  <cp:lastPrinted>2022-06-15T22:53:00Z</cp:lastPrinted>
  <dcterms:created xsi:type="dcterms:W3CDTF">2020-07-23T08:39:00Z</dcterms:created>
  <dcterms:modified xsi:type="dcterms:W3CDTF">2023-05-31T07:18:00Z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