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overflowPunct/>
        <w:spacing w:line="560" w:lineRule="exact"/>
        <w:rPr>
          <w:rFonts w:ascii="Times New Roman" w:eastAsia="方正黑体_GBK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hint="eastAsia"/>
          <w:sz w:val="32"/>
          <w:szCs w:val="32"/>
        </w:rPr>
        <w:t>附件3</w:t>
      </w:r>
    </w:p>
    <w:p>
      <w:pPr>
        <w:overflowPunct/>
        <w:spacing w:line="560" w:lineRule="exact"/>
        <w:rPr>
          <w:rFonts w:ascii="方正黑体_GBK" w:eastAsia="方正黑体_GBK"/>
          <w:sz w:val="32"/>
          <w:szCs w:val="32"/>
        </w:rPr>
      </w:pPr>
    </w:p>
    <w:p>
      <w:pPr>
        <w:overflowPunct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出入境检疫处理人员从业资格考试大纲</w:t>
      </w:r>
    </w:p>
    <w:p>
      <w:pPr>
        <w:overflowPunct/>
        <w:spacing w:line="560" w:lineRule="exact"/>
        <w:ind w:left="0"/>
        <w:rPr>
          <w:rFonts w:ascii="方正仿宋简体" w:eastAsia="方正仿宋简体"/>
          <w:sz w:val="32"/>
          <w:szCs w:val="32"/>
        </w:rPr>
      </w:pP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依据《出入境检疫处理单位和人员管理办法》第二十一条和二十二条规定，特制定本出入境检疫处理人员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从业资格</w:t>
      </w:r>
      <w:r>
        <w:rPr>
          <w:rFonts w:ascii="Times New Roman" w:eastAsia="方正仿宋_GBK" w:cs="Times New Roman" w:hAnsi="Times New Roman"/>
          <w:sz w:val="32"/>
          <w:szCs w:val="32"/>
        </w:rPr>
        <w:t>考试大纲。出入境检疫处理从业人员资质范围设定为：熏蒸类（A类、B类）、其他类（C类、D类、E类、F类和G类）。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考试大纲分为：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第一部分基础知识：包括法律法规、标准和技术规范、药品管理、器械管理、检疫处理常规操作、职业防护、应急处置、质量控制、检疫处理常见医学媒介生物及有害生物基础知识、检疫处理流程和检疫处理单证及档案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第二部分专业技术知识和操作技能：分为熏蒸类〔A类（出入境船舶熏蒸、疫麦及其他大宗货物熏蒸）、B类（A类熏蒸除外）〕、其他类〔C类（消毒处理）、D类（药物及器械除虫灭鼠，熏蒸方式除外）、E类（热处理）、F类（辐照处理）、G类（除上述类别外，采用冷处理、微波处理、除污处理等方式实施的出入境检疫处理）〕。</w:t>
      </w:r>
    </w:p>
    <w:p>
      <w:pPr>
        <w:overflowPunct/>
        <w:spacing w:line="560" w:lineRule="exact"/>
        <w:ind w:left="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/>
        <w:spacing w:line="560" w:lineRule="exact"/>
        <w:jc w:val="center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第一部分  基础知识</w:t>
      </w:r>
    </w:p>
    <w:p>
      <w:pPr>
        <w:overflowPunct/>
        <w:spacing w:line="560" w:lineRule="exact"/>
        <w:rPr>
          <w:rFonts w:ascii="方正黑体_GBK" w:eastAsia="方正黑体_GBK" w:cs="Times New Roman"/>
          <w:b/>
          <w:bCs/>
          <w:sz w:val="32"/>
          <w:szCs w:val="32"/>
        </w:rPr>
      </w:pP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一、法律法规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了解掌握出入境检疫处理工作相关法律法规的基本内容。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二、概述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掌握检疫处理的概念、目的和意义、对象和范围、基本原则和基本要求、常用方法。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三、药品管理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掌握检疫处理常用药品的分类和相关标志，常用药品的储存通则以及其仓库的建设和储存安全规范、防火规范。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四、器械管理</w:t>
      </w:r>
    </w:p>
    <w:p>
      <w:pPr>
        <w:overflowPunct/>
        <w:spacing w:line="560" w:lineRule="exact"/>
        <w:ind w:left="0" w:firstLineChars="200" w:firstLine="616"/>
        <w:rPr>
          <w:rFonts w:ascii="Times New Roman" w:eastAsia="方正仿宋_GBK" w:cs="Times New Roman" w:hAnsi="Times New Roman"/>
          <w:spacing w:val="-6"/>
          <w:sz w:val="32"/>
          <w:szCs w:val="32"/>
        </w:rPr>
      </w:pPr>
      <w:r>
        <w:rPr>
          <w:rFonts w:ascii="Times New Roman" w:eastAsia="方正仿宋_GBK" w:cs="Times New Roman" w:hAnsi="Times New Roman"/>
          <w:spacing w:val="-6"/>
          <w:sz w:val="32"/>
          <w:szCs w:val="32"/>
        </w:rPr>
        <w:t>设备设施的存放要求、计量、日常维护、安全操作、适用范围。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五、职业防护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1．个人防护设备的装备要求和正确使用；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2．危险源控制；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3．急救常识。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六、应急处置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1．应急处置的定义、依据和原则；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2．应急处置小组设立及职责；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3．应急处置小组工作要求；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4．应急情况的通用处置程序；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5．应急情况的通用处置措施；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6．应急处置的总结评估和持续改进。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七、质量控制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1．质量关键控制点的辨识与评价；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2．质量控制措施；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3．效果验证；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4．不合格品的处置、预防和纠正措施。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八、检疫处理流程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考核通用检疫处理流程。</w:t>
      </w:r>
    </w:p>
    <w:p>
      <w:pPr>
        <w:overflowPunct/>
        <w:spacing w:line="560" w:lineRule="exact"/>
        <w:ind w:left="0" w:firstLineChars="200" w:firstLine="640"/>
        <w:rPr>
          <w:rFonts w:ascii="方正黑体_GBK" w:eastAsia="方正黑体_GBK" w:cs="Times New Roman" w:hint="eastAsia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九、检疫处理单证及档案管理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1．证单表格的设计要求和填写要求；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2．文件和记录的管理要求。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中华人民共和国国境卫生检疫法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中华人民共和国国境卫生检疫法实施细则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中华人民共和国进出境动植物检疫法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中华人民共和国进出境动植物检疫法实施条例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中华人民共和国安全生产法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危险化学品安全管理条例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剧毒化学品购买和公路运输许可证件管理办法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使用有毒物品作业场所劳动保护条例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消毒管理办法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职业健康监护管理办法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危险化学品登记管理办法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工作场所安全使用化学品的规定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出入境检疫处理单位和人员管理办法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GB 190  危险货物包装标志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GB 13690  常用危险化学品的分类及标志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GB 15603  常用危险化学品储存通则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DB 11/755 危险化学品仓库建设及储存安全规范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ISPM 28  植物检疫措施国际标准-限定有害生物的植物检疫处理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SN/T1411  国境口岸常用卫生处理药物中毒急救规程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SN/T1529  卫生处理安全操作规程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SN/T1530  国境口岸卫生处理意外事故处理规程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SN/T1758  出入境卫生检疫卫生处理通用规则</w:t>
      </w:r>
    </w:p>
    <w:p>
      <w:pPr>
        <w:pStyle w:val="17"/>
        <w:numPr>
          <w:ilvl w:val="0"/>
          <w:numId w:val="1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SN/T1759   出入境口岸卫生处理常用药物使用准则</w:t>
      </w:r>
    </w:p>
    <w:p>
      <w:pPr>
        <w:overflowPunct/>
        <w:spacing w:line="560" w:lineRule="exact"/>
        <w:rPr>
          <w:rFonts w:ascii="方正黑体_GBK" w:eastAsia="方正黑体_GBK" w:cs="Times New Roman"/>
          <w:b/>
          <w:bCs/>
          <w:sz w:val="32"/>
          <w:szCs w:val="32"/>
        </w:rPr>
      </w:pPr>
    </w:p>
    <w:p>
      <w:pPr>
        <w:overflowPunct/>
        <w:spacing w:line="560" w:lineRule="exact"/>
        <w:jc w:val="center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第二部分  专业技术知识和操作技能</w:t>
      </w:r>
    </w:p>
    <w:p>
      <w:pPr>
        <w:overflowPunct/>
        <w:spacing w:line="560" w:lineRule="exact"/>
        <w:rPr>
          <w:rFonts w:ascii="方正黑体_GBK" w:eastAsia="方正黑体_GBK" w:cs="Times New Roman"/>
          <w:b/>
          <w:bCs/>
          <w:sz w:val="32"/>
          <w:szCs w:val="32"/>
        </w:rPr>
      </w:pP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一、熏蒸类</w:t>
      </w:r>
      <w:r>
        <w:rPr>
          <w:rFonts w:ascii="Times New Roman" w:eastAsia="方正仿宋_GBK" w:cs="Times New Roman" w:hAnsi="Times New Roman"/>
          <w:sz w:val="32"/>
          <w:szCs w:val="32"/>
        </w:rPr>
        <w:t>〔A类（出入境船舶熏蒸、疫麦及其他大宗货物熏蒸）、B类（A类熏蒸除外）〕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（一）药品管理。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主要考核常用的五种熏蒸剂：溴甲烷、硫酰氟、磷化铝、环氧乙烷、二硫化碳。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1．熏蒸剂的理化特性；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2．熏蒸剂的毒性；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3．熏蒸剂的运输和贮存要求；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4．熏蒸剂的安全使用和应用范围。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（二）器械管理。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考核熏蒸气体浓度和残留浓度检测仪的正确使用、检测要求。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（三）操作规程。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考核熏蒸程序、实施步骤、注意事项。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（四）职业防护。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考核常用防护用品的选择要求、使用的注意事项、防护用品的维护保养。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（五）应急预案。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考核应急处置的原则、应急处置措施、中毒急救。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（六）结果评价。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SN/T1213入出境列车除鼠规程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SN/T1215入出境客运列车除虫规程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 1123 帐幕熏蒸处理操作规程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SN/T1124集装箱熏蒸规程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SN/T1143熏蒸库中植物有害生物熏蒸处理操作规程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SN/T1246入出境黄热病染疫船舶卫生处理规程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SN/T1261入出境鼠疫染疫列车卫生处理规程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SN/T1263国际航行船舶硫酰氟除鼠规程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SN/T1267入出境航空器除虫规程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SN/T1275入出境船舶除虫规程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SN/T1281入出境集装箱及其货物除虫规程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SN/T1284入出境霍乱染疫船舶卫生处理规程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SN/T1286入出境集装箱及其货物除鼠规程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SN/T1288入境废旧船舶卫生处理规程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SN/T1290入出境鼠疫染疫船舶卫生处理规程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SN/T1298入出境鼠疫染疫航空器卫生处理规程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SN/T1302入出境散装货物除虫规程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SN/T1322入出境黄热病染疫航空器卫生处理规程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SN/T1331入出境散装货物除鼠规程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SN/T1416国境口岸灭蚊规程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SN/T1417国境口岸除鼠规程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SN/T1425二硫化碳熏蒸香梨中苹果蠹蛾的操作规程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SN/T1435入出境列车熏蒸除鼠规程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SN/T1437国境口岸灭蠓规程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SN/T1456磷化铝随航熏蒸操作规程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SN/T1484进境原木火车熏蒸操作规程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SN/T1516国境口岸灭蜚蠊规程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SN/T1595入出境船舶熏蒸灭蜚蠊规程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SN/T2020进出境栽培介质检疫和除害处理规程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SN/T2370木制品家具检疫除害处理方法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SN/T2526鲜切花溴甲烷库房熏蒸除害处理规程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SN/T2587刺桐姬小蜂检疫处理技术规程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SN/T2590按实蝇除害处理技术规程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SN/T2771进境原木船舶熏蒸操作规程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SN/T2837进境集装箱承载废物原料动植物检疫除害处理规程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SN/T2858进出境动物重大疫病检疫处理规程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SN/T3070蔬菜类种子溴甲烷熏蒸处理技术标准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SN/T3275出口竹制品溴甲烷熏蒸处理规程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SN/T3279富士苹果磷化氢低温检疫熏蒸处理方法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SN/T3282检疫熏蒸处理基本要求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SN/T3295栽培介质检疫处理要求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SN/T3401进出境植物检疫熏蒸处理后熏蒸剂残留浓度检测规程</w:t>
      </w:r>
    </w:p>
    <w:p>
      <w:pPr>
        <w:pStyle w:val="17"/>
        <w:numPr>
          <w:ilvl w:val="2"/>
          <w:numId w:val="2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SN/T3568危险性有害生物检疫处理原则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二、其他类</w:t>
      </w:r>
      <w:r>
        <w:rPr>
          <w:rFonts w:ascii="Times New Roman" w:eastAsia="方正仿宋_GBK" w:cs="Times New Roman" w:hAnsi="Times New Roman"/>
          <w:sz w:val="32"/>
          <w:szCs w:val="32"/>
        </w:rPr>
        <w:t>〔C类（消毒处理）〕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（一）药品管理。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考核常用消毒药品的分类、理化特性、使用方式、选用原则、使用范围、注意事项、作用机制、影响因素、储存要求。重点考核的消毒药品为醛类消毒剂、烷基类气体消毒剂、过氧化物类消毒剂、卤素类消毒剂、醇类消毒剂、酚类消毒剂、胍类消毒剂、季胺盐类消毒剂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（二）器械管理。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考核常用的消毒器械使用注意事项。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（三）操作规程。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考核消毒处理的对象范围、消毒前准备工作、消毒方法的选用、消毒过程的注意事项、操作步骤。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（四）职业防护。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考核常用防护用品的选择要求、使用的注意事项、防护用品的维护保养。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（五）应急预案。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考核应急处置的原则、应急处置措施、中毒急救。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（六）效果评价。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SN/T1211入出境霍乱染疫航空器卫生处理规程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SN/T1212入出境棺柩消毒处理规程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SN/T1216入出境船舶废弃物消毒规程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SN/T1234入出境航空器废弃物消毒规程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SN/T1241入出境黄热病染疫列车卫生处理规程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SN/T1245入出境列车消毒规程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SN/T1246入出境黄热病染疫船舶卫生处理规程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SN/T1250入出境船舶船舱消毒规程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SN/T1253入出境集装箱及其货物消毒规程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SN/T1261入出境鼠疫染疫列车卫生处理规程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SN/T1268入出境航空器消毒规程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SN/T1270入出境散装货物消毒规程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SN/T1279入出境特殊物品处理规程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SN/T1284入出境霍乱染疫船舶卫生处理规程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SN/T1288入境废旧船舶卫生处理规程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SN/T1290入出境鼠疫染疫船舶卫生处理规程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SN/T1298入出境鼠疫染疫航空器卫生处理规程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SN/T1322入出境黄热病染疫航空器卫生处理规程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SN/T1332入出境列车废弃物消毒规程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SN/T1333入境汽车及其他车辆消毒规程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SN/T1334入出境尸体和骸骨卫生处理规程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SN/T1343入出境船舶压舱水消毒规程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SN/T1519国境口岸黄热病疫情处理规程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SN/T1527国境口岸霍乱处理规程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SN/T1528入出境船舶饮用水消毒规程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SN/T1844入出境快件及邮寄物卫生处理规程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SN/T2093入出境人禽流感感染疫交通工具卫生处理规程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SN/T2778入出境虫媒传染病受染船舶卫生处理规程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SN/T2858进出境动物重大疫病检疫处理规程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SN/T3089进出境动物运输工具消毒处理规程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SN/T3161入出境船舶食源性疾病卫生处理规程</w:t>
      </w:r>
    </w:p>
    <w:p>
      <w:pPr>
        <w:pStyle w:val="17"/>
        <w:numPr>
          <w:ilvl w:val="0"/>
          <w:numId w:val="3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SN/T3883国境口岸二次供水设施清洗消毒规范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三、其他类</w:t>
      </w:r>
      <w:r>
        <w:rPr>
          <w:rFonts w:ascii="Times New Roman" w:eastAsia="方正仿宋_GBK" w:cs="Times New Roman" w:hAnsi="Times New Roman"/>
          <w:sz w:val="32"/>
          <w:szCs w:val="32"/>
        </w:rPr>
        <w:t>〔D类（药物及器械除虫灭鼠，熏蒸方式除外）〕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（一）药品管理。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除虫灭鼠药品的分类、理化特性、使用范围、作用机制、储存要求、作用特点、使用时的注意事项。重点考核常用除虫灭鼠药品为有机磷类杀虫剂、氨基甲酸酯类杀虫剂、拟除虫菊酯类杀虫剂、杂环杀虫剂、溴敌隆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（二）器械管理。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常用杀虫灭鼠器械的选用、适用范围。重点考核喷雾器械、鼠夹鼠笼。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（三）操作规程。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处理对象、适用范围、处理前准备工作、方法选用、操作步骤、注意事项。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（四）职业防护。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除虫灭鼠药品的中毒症状、急救治疗、作业时防护设备的选用、防护设备穿戴要求。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（五）应急预案。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考核应急处置的原则、应急处置措施、中毒急救。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（六）效果评价。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SN/T1213入出境列车除鼠规程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SN/T1215入出境客运列车除虫规程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SN/T1261入出境鼠疫染疫列车卫生处理规程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SN/T1267入出境航空器除虫规程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SN/T1275入出境船舶除虫规程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SN/T1281入出境集装箱及其货物除虫规程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SN/T1286入出境集装箱及其货物除鼠规程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SN/T1287入出境船舶除鼠规程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SN/T1288入境废旧船舶卫生处理规程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SN/T1290入出境鼠疫染疫船舶卫生处理规程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SN/T1299入出境航空器器械除鼠操作规程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SN/T1302入出境散装货物除虫规程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SN/T1331入出境散装货物除鼠规程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SN/T1416国境口岸灭蚊规程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SN/T1417国境口岸除鼠规程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SN/T1435入出境列车熏蒸除鼠规程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SN/T1437国境口岸灭蠓规程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SN/T1516国境口岸灭蜚蠊规程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SN/T1602国境口岸灭蜱规程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SN/T1706出入境口岸灭蚤规程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SN/T1707出入境口岸鼠疫疫情处理规程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SN/T1714出入境口岸灭螨规程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SN/T1756出入境口岸灭蝇规程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SN/T1836出入境口岸除虫效果快速评价方法</w:t>
      </w:r>
    </w:p>
    <w:p>
      <w:pPr>
        <w:pStyle w:val="17"/>
        <w:numPr>
          <w:ilvl w:val="0"/>
          <w:numId w:val="4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SN/T3568危险性有害生物检疫处理原则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四、其他类</w:t>
      </w:r>
      <w:r>
        <w:rPr>
          <w:rFonts w:ascii="Times New Roman" w:eastAsia="方正仿宋_GBK" w:cs="Times New Roman" w:hAnsi="Times New Roman"/>
          <w:sz w:val="32"/>
          <w:szCs w:val="32"/>
        </w:rPr>
        <w:t>〔E类（热处理）〕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（一）设备管理。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热处理设施设备选用要求、维护保养要求、计量要求。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（二）操作规程。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处理对象、适用范围、处理前准备工作、温度控制标准、操作步骤、注意事项。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（三）职业防护。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防护设备选用、防护要求、穿戴防护设备程序。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（四）应急预案。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主要考核急救措施。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（五）效果评价。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5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GB/T28838木质包装热处理作业规范</w:t>
      </w:r>
    </w:p>
    <w:p>
      <w:pPr>
        <w:pStyle w:val="17"/>
        <w:numPr>
          <w:ilvl w:val="0"/>
          <w:numId w:val="5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SN/T1583输日稻草热处理操作规程</w:t>
      </w:r>
    </w:p>
    <w:p>
      <w:pPr>
        <w:pStyle w:val="17"/>
        <w:numPr>
          <w:ilvl w:val="0"/>
          <w:numId w:val="5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SN/T2371木质包装热处理操作规程</w:t>
      </w:r>
    </w:p>
    <w:p>
      <w:pPr>
        <w:pStyle w:val="17"/>
        <w:numPr>
          <w:ilvl w:val="0"/>
          <w:numId w:val="5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SN/T3291热处理通用要求</w:t>
      </w:r>
    </w:p>
    <w:p>
      <w:pPr>
        <w:pStyle w:val="17"/>
        <w:numPr>
          <w:ilvl w:val="0"/>
          <w:numId w:val="5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SN/T3568危险性有害生物检疫处理原则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五、其他类</w:t>
      </w:r>
      <w:r>
        <w:rPr>
          <w:rFonts w:ascii="Times New Roman" w:eastAsia="方正仿宋_GBK" w:cs="Times New Roman" w:hAnsi="Times New Roman"/>
          <w:sz w:val="32"/>
          <w:szCs w:val="32"/>
        </w:rPr>
        <w:t>〔F类（辐照处理）〕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（一）辐照处理基本原理。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（二）器械管理。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辐射源和辐射装置的管理原则、检测设备的使用和维护。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（三）操作规程。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处理对象、适用范围、处理前准备工作、控制标准、操作步骤、注意事项。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（四）职业防护。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核辐射的职业防护通则、防护器具的选用、穿戴程序、个人剂量仪的使用。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（五）应急预案。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主要考核急救措施。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（六）效果评价。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植物检疫措施国际标准-辐照作为植物检疫措施准则（ISPM18）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GB/T 21659植物检疫措施准则辐照处理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GB 17568-2008辐照装置设计建造和使用规范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GB 10252 γ辐照装置的辐射防护与安全规范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SN/T3568危险性有害生物检疫处理原则</w:t>
      </w:r>
    </w:p>
    <w:p>
      <w:pPr>
        <w:pStyle w:val="17"/>
        <w:numPr>
          <w:ilvl w:val="0"/>
          <w:numId w:val="6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SN/T4331进境水果检疫辐照处理基本技术要求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六、其他类</w:t>
      </w:r>
      <w:r>
        <w:rPr>
          <w:rFonts w:ascii="Times New Roman" w:eastAsia="方正仿宋_GBK" w:cs="Times New Roman" w:hAnsi="Times New Roman"/>
          <w:sz w:val="32"/>
          <w:szCs w:val="32"/>
        </w:rPr>
        <w:t>〔G类（除上述类别外，采用冷处理、微波处理、除污处理等方式实施的出入境检疫处理）〕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（一）冷处理、微波处理、除污处理工作原理。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（二）设备管理。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（三）操作规程。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处理对象、适用范围、处理前准备工作、控制标准、操作步骤、注意事项。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（四）职业防护。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职业防护通则、防护器具的选用、穿戴程序。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（五）应急预案。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主要考核急救措施。</w:t>
      </w:r>
    </w:p>
    <w:p>
      <w:pPr>
        <w:overflowPunct/>
        <w:spacing w:line="560" w:lineRule="exact"/>
        <w:ind w:left="0" w:firstLineChars="200" w:firstLine="640"/>
        <w:rPr>
          <w:rFonts w:ascii="方正楷体_GBK" w:eastAsia="方正楷体_GBK" w:cs="Times New Roman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（六）效果评价。</w:t>
      </w:r>
    </w:p>
    <w:p>
      <w:pPr>
        <w:pStyle w:val="17"/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考核评价方法、评价指标、评价程序、结果判定。</w:t>
      </w:r>
    </w:p>
    <w:p>
      <w:pPr>
        <w:overflowPunct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主要参考材料：</w:t>
      </w:r>
    </w:p>
    <w:p>
      <w:pPr>
        <w:pStyle w:val="17"/>
        <w:numPr>
          <w:ilvl w:val="0"/>
          <w:numId w:val="7"/>
        </w:numPr>
        <w:overflowPunct/>
        <w:spacing w:line="560" w:lineRule="exact"/>
        <w:ind w:left="0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SN/T3568危险性有害生物检疫处理原则</w:t>
      </w:r>
    </w:p>
    <w:p>
      <w:pPr>
        <w:pStyle w:val="17"/>
        <w:numPr>
          <w:ilvl w:val="0"/>
          <w:numId w:val="7"/>
        </w:numPr>
        <w:overflowPunct/>
        <w:spacing w:line="560" w:lineRule="exact"/>
        <w:ind w:left="0" w:firstLineChars="200" w:firstLine="64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SN/T3889入境集装箱及货物除污总则</w:t>
      </w: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简体">
    <w:altName w:val="Arial Unicode MS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  <w:rFonts w:ascii="宋体"/>
        <w:sz w:val="28"/>
        <w:szCs w:val="28"/>
      </w:rPr>
    </w:pPr>
    <w:r>
      <w:rPr>
        <w:rStyle w:val="16"/>
        <w:rFonts w:ascii="宋体" w:hint="eastAsia"/>
        <w:sz w:val="28"/>
        <w:szCs w:val="28"/>
      </w:rPr>
      <w:t xml:space="preserve">— </w:t>
    </w:r>
    <w:r>
      <w:rPr>
        <w:rStyle w:val="16"/>
        <w:rFonts w:ascii="宋体"/>
        <w:sz w:val="28"/>
        <w:szCs w:val="28"/>
      </w:rPr>
      <w:fldChar w:fldCharType="begin"/>
    </w:r>
    <w:r>
      <w:rPr>
        <w:rStyle w:val="16"/>
        <w:rFonts w:ascii="宋体"/>
        <w:sz w:val="28"/>
        <w:szCs w:val="28"/>
      </w:rPr>
      <w:instrText xml:space="preserve">PAGE  </w:instrText>
    </w:r>
    <w:r>
      <w:rPr>
        <w:rStyle w:val="16"/>
        <w:rFonts w:ascii="宋体"/>
        <w:sz w:val="28"/>
        <w:szCs w:val="28"/>
      </w:rPr>
      <w:fldChar w:fldCharType="separate"/>
    </w:r>
    <w:r>
      <w:rPr>
        <w:rStyle w:val="16"/>
        <w:rFonts w:ascii="宋体"/>
        <w:sz w:val="28"/>
        <w:szCs w:val="28"/>
      </w:rPr>
      <w:t>12</w:t>
    </w:r>
    <w:r>
      <w:rPr>
        <w:rStyle w:val="16"/>
        <w:rFonts w:ascii="宋体"/>
        <w:sz w:val="28"/>
        <w:szCs w:val="28"/>
      </w:rPr>
      <w:fldChar w:fldCharType="end"/>
    </w:r>
    <w:r>
      <w:rPr>
        <w:rStyle w:val="16"/>
        <w:rFonts w:ascii="宋体" w:hint="eastAsia"/>
        <w:sz w:val="28"/>
        <w:szCs w:val="28"/>
      </w:rPr>
      <w:t xml:space="preserve"> —</w:t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2A4270AA"/>
    <w:multiLevelType w:val="hybridMultilevel"/>
    <w:tmpl w:val="E02A5694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106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8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2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74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16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8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400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20" w:hanging="420"/>
      </w:pPr>
    </w:lvl>
  </w:abstractNum>
  <w:abstractNum w:abstractNumId="1">
    <w:nsid w:val="57C449B3"/>
    <w:multiLevelType w:val="hybridMultilevel"/>
    <w:tmpl w:val="1FECF1B2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>
    <w:nsid w:val="64FD79DD"/>
    <w:multiLevelType w:val="hybridMultilevel"/>
    <w:tmpl w:val="C394B6B4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98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4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66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0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2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40" w:hanging="420"/>
      </w:pPr>
    </w:lvl>
  </w:abstractNum>
  <w:abstractNum w:abstractNumId="3">
    <w:nsid w:val="118E26A5"/>
    <w:multiLevelType w:val="hybridMultilevel"/>
    <w:tmpl w:val="768651B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3114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4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66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0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2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40" w:hanging="420"/>
      </w:pPr>
    </w:lvl>
  </w:abstractNum>
  <w:abstractNum w:abstractNumId="4">
    <w:nsid w:val="7FA06C82"/>
    <w:multiLevelType w:val="hybridMultilevel"/>
    <w:tmpl w:val="26EEE9B4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5949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369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6789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7209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7629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49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69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8889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309" w:hanging="420"/>
      </w:pPr>
    </w:lvl>
  </w:abstractNum>
  <w:abstractNum w:abstractNumId="5">
    <w:nsid w:val="47E97535"/>
    <w:multiLevelType w:val="hybridMultilevel"/>
    <w:tmpl w:val="91969200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98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4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66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0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2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40" w:hanging="420"/>
      </w:pPr>
    </w:lvl>
  </w:abstractNum>
  <w:abstractNum w:abstractNumId="6">
    <w:nsid w:val="5EA12306"/>
    <w:multiLevelType w:val="hybridMultilevel"/>
    <w:tmpl w:val="A4EC7C02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98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4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66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0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2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4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Times New Roman" w:cs="Times New Roman" w:hAnsi="Times New Roman"/>
      <w:sz w:val="18"/>
      <w:szCs w:val="18"/>
    </w:rPr>
  </w:style>
  <w:style w:type="character" w:styleId="16">
    <w:name w:val="page number"/>
    <w:basedOn w:val="10"/>
  </w:style>
  <w:style w:type="paragraph" w:customStyle="1" w:styleId="17">
    <w:name w:val="列出段落1"/>
    <w:basedOn w:val="0"/>
    <w:pPr>
      <w:ind w:firstLineChars="200" w:firstLine="200"/>
    </w:pPr>
    <w:rPr>
      <w:rFonts w:cs="Times New Roman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140</TotalTime>
  <Application>Yozo_Office</Application>
  <Pages>13</Pages>
  <Words>4385</Words>
  <Characters>5456</Characters>
  <Lines>311</Lines>
  <Paragraphs>257</Paragraphs>
  <CharactersWithSpaces>5650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王晓丰(动监科/动植处/江苏局)</dc:creator>
  <cp:lastModifiedBy>梁超</cp:lastModifiedBy>
  <cp:revision>5</cp:revision>
  <dcterms:created xsi:type="dcterms:W3CDTF">2019-08-06T08:25:00Z</dcterms:created>
  <dcterms:modified xsi:type="dcterms:W3CDTF">2019-08-30T03:08:27Z</dcterms:modified>
</cp:coreProperties>
</file>