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楷体_GBK" w:eastAsia="方正楷体_GBK" w:cs="Times New Roman"/>
          <w:b/>
          <w:color w:val="000000"/>
          <w:kern w:val="0"/>
          <w:sz w:val="28"/>
          <w:szCs w:val="28"/>
          <w:lang w:bidi="ar-SA"/>
        </w:rPr>
      </w:pPr>
      <w:bookmarkStart w:id="0" w:name="_GoBack"/>
      <w:bookmarkEnd w:id="0"/>
      <w:r>
        <w:rPr>
          <w:rFonts w:ascii="Times New Roman" w:eastAsia="方正小标宋_GBK" w:cs="Times New Roman" w:hAnsi="Times New Roman" w:hint="eastAsia"/>
          <w:color w:val="000000"/>
          <w:sz w:val="44"/>
          <w:szCs w:val="44"/>
          <w:lang w:bidi="ar-SA"/>
        </w:rPr>
        <w:t>八廓</w:t>
      </w:r>
      <w:r>
        <w:rPr>
          <w:rFonts w:ascii="Times New Roman" w:eastAsia="方正小标宋_GBK" w:cs="Times New Roman" w:hAnsi="Times New Roman"/>
          <w:sz w:val="44"/>
          <w:szCs w:val="44"/>
          <w:lang w:bidi="ar-SA"/>
        </w:rPr>
        <w:t>海关</w:t>
      </w:r>
      <w:r>
        <w:rPr>
          <w:rFonts w:ascii="Times New Roman" w:eastAsia="方正小标宋_GBK" w:cs="Times New Roman" w:hAnsi="Times New Roman" w:hint="eastAsia"/>
          <w:sz w:val="44"/>
          <w:szCs w:val="44"/>
          <w:lang w:bidi="ar-SA"/>
        </w:rPr>
        <w:t>办事机构信息</w:t>
      </w:r>
    </w:p>
    <w:p/>
    <w:tbl>
      <w:tblPr>
        <w:jc w:val="center"/>
        <w:tblW w:w="14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61"/>
        <w:gridCol w:w="3894"/>
        <w:gridCol w:w="1918"/>
        <w:gridCol w:w="2409"/>
        <w:gridCol w:w="3261"/>
        <w:gridCol w:w="2268"/>
      </w:tblGrid>
      <w:tr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/>
                <w:b/>
                <w:color w:val="000000"/>
                <w:kern w:val="0"/>
                <w:szCs w:val="21"/>
              </w:rPr>
            </w:pPr>
            <w:r>
              <w:rPr>
                <w:rFonts w:ascii="方正楷体_GBK" w:eastAsia="方正楷体_GBK" w:cs="Times New Roman" w:hint="eastAsia"/>
                <w:b/>
                <w:color w:val="000000"/>
                <w:kern w:val="0"/>
                <w:sz w:val="28"/>
                <w:szCs w:val="28"/>
                <w:lang w:bidi="ar-SA"/>
              </w:rPr>
              <w:t>序号</w:t>
            </w:r>
          </w:p>
        </w:tc>
        <w:tc>
          <w:tcPr>
            <w:tcW w:w="38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/>
                <w:b/>
                <w:color w:val="000000"/>
                <w:kern w:val="0"/>
                <w:szCs w:val="21"/>
              </w:rPr>
            </w:pPr>
            <w:r>
              <w:rPr>
                <w:rFonts w:ascii="方正楷体_GBK" w:eastAsia="方正楷体_GBK" w:cs="Times New Roman" w:hint="eastAsia"/>
                <w:b/>
                <w:color w:val="000000"/>
                <w:kern w:val="0"/>
                <w:sz w:val="28"/>
                <w:szCs w:val="28"/>
                <w:lang w:bidi="ar-SA"/>
              </w:rPr>
              <w:t>业务内容</w:t>
            </w:r>
          </w:p>
        </w:tc>
        <w:tc>
          <w:tcPr>
            <w:tcW w:w="19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/>
                <w:b/>
                <w:color w:val="000000"/>
                <w:kern w:val="0"/>
                <w:szCs w:val="21"/>
              </w:rPr>
            </w:pPr>
            <w:r>
              <w:rPr>
                <w:rFonts w:ascii="方正楷体_GBK" w:eastAsia="方正楷体_GBK" w:cs="Times New Roman" w:hint="eastAsia"/>
                <w:b/>
                <w:color w:val="000000"/>
                <w:kern w:val="0"/>
                <w:sz w:val="28"/>
                <w:szCs w:val="28"/>
                <w:lang w:bidi="ar-SA"/>
              </w:rPr>
              <w:t>办理部门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/>
                <w:b/>
                <w:color w:val="000000"/>
                <w:kern w:val="0"/>
                <w:szCs w:val="21"/>
              </w:rPr>
            </w:pPr>
            <w:r>
              <w:rPr>
                <w:rFonts w:ascii="方正楷体_GBK" w:eastAsia="方正楷体_GBK" w:cs="Times New Roman" w:hint="eastAsia"/>
                <w:b/>
                <w:color w:val="000000"/>
                <w:kern w:val="0"/>
                <w:sz w:val="28"/>
                <w:szCs w:val="28"/>
                <w:lang w:bidi="ar-SA"/>
              </w:rPr>
              <w:t>办理时间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/>
                <w:b/>
                <w:color w:val="000000"/>
                <w:kern w:val="0"/>
                <w:szCs w:val="21"/>
              </w:rPr>
            </w:pPr>
            <w:r>
              <w:rPr>
                <w:rFonts w:ascii="方正楷体_GBK" w:eastAsia="方正楷体_GBK" w:cs="Times New Roman" w:hint="eastAsia"/>
                <w:b/>
                <w:color w:val="000000"/>
                <w:kern w:val="0"/>
                <w:sz w:val="28"/>
                <w:szCs w:val="28"/>
                <w:lang w:bidi="ar-SA"/>
              </w:rPr>
              <w:t>办公地点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/>
                <w:b/>
                <w:color w:val="000000"/>
                <w:kern w:val="0"/>
                <w:szCs w:val="21"/>
              </w:rPr>
            </w:pPr>
            <w:r>
              <w:rPr>
                <w:rFonts w:ascii="方正楷体_GBK" w:eastAsia="方正楷体_GBK" w:cs="Times New Roman" w:hint="eastAsia"/>
                <w:b/>
                <w:color w:val="000000"/>
                <w:kern w:val="0"/>
                <w:sz w:val="28"/>
                <w:szCs w:val="28"/>
                <w:lang w:bidi="ar-SA"/>
              </w:rPr>
              <w:t>办公电话</w:t>
            </w:r>
          </w:p>
        </w:tc>
      </w:tr>
      <w:t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宋体" w:cs="Times New Roman" w:hint="eastAsia"/>
                <w:color w:val="000000"/>
                <w:kern w:val="0"/>
                <w:sz w:val="23"/>
                <w:szCs w:val="23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1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cs="Times New Roman" w:hint="eastAsia"/>
                <w:color w:val="000000"/>
                <w:kern w:val="0"/>
                <w:sz w:val="23"/>
                <w:szCs w:val="23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信访接待、值班应急、新闻宣传、政务公开、档案管理、安全保卫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办公室</w:t>
            </w:r>
            <w:r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  <w:br/>
            </w: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（党委组织宣传部）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工作日:09：30-13：00；       15：30-18:00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宋体" w:cs="Times New Roman" w:hint="eastAsia"/>
                <w:color w:val="000000"/>
                <w:kern w:val="0"/>
                <w:sz w:val="23"/>
                <w:szCs w:val="23"/>
                <w:lang w:bidi="ar-SA"/>
              </w:rPr>
            </w:pP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</w:p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</w:p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</w:p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拉萨市城关区鲁定中路11号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6283483</w:t>
            </w:r>
          </w:p>
        </w:tc>
      </w:tr>
      <w:t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宋体" w:cs="Times New Roman" w:hint="eastAsia"/>
                <w:color w:val="000000"/>
                <w:kern w:val="0"/>
                <w:sz w:val="23"/>
                <w:szCs w:val="23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2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cs="Times New Roman" w:hint="eastAsia"/>
                <w:color w:val="000000"/>
                <w:kern w:val="0"/>
                <w:sz w:val="23"/>
                <w:szCs w:val="23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干部人事、海关关衔、教育培训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办公室</w:t>
            </w:r>
            <w:r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  <w:br/>
            </w: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（党委组织宣传部）</w:t>
            </w:r>
          </w:p>
        </w:tc>
        <w:tc>
          <w:tcPr>
            <w:tcW w:w="2409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6283483</w:t>
            </w:r>
          </w:p>
        </w:tc>
      </w:tr>
      <w:t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3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科技管理、网络及信息系统安全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cs="Times New Roman"/>
                <w:color w:val="00000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办公室</w:t>
            </w:r>
            <w:r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  <w:br/>
            </w: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（党委组织宣传部）</w:t>
            </w:r>
          </w:p>
        </w:tc>
        <w:tc>
          <w:tcPr>
            <w:tcW w:w="2409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6283483</w:t>
            </w:r>
          </w:p>
        </w:tc>
      </w:tr>
      <w:t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4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督察审计、内控机制建设工作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办公室</w:t>
            </w:r>
            <w:r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  <w:br/>
            </w: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（党委组织宣传部）</w:t>
            </w:r>
          </w:p>
        </w:tc>
        <w:tc>
          <w:tcPr>
            <w:tcW w:w="2409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94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6283483</w:t>
            </w:r>
          </w:p>
        </w:tc>
      </w:tr>
      <w:tr>
        <w:trPr>
          <w:trHeight w:val="49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5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snapToGrid w:val="0"/>
                <w:color w:val="000000"/>
                <w:kern w:val="0"/>
                <w:sz w:val="20"/>
                <w:szCs w:val="20"/>
                <w:lang w:bidi="ar-SA"/>
              </w:rPr>
              <w:t>牵头全关法制工作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办公室</w:t>
              <w:br/>
              <w:t>（党委组织宣传部）</w:t>
            </w:r>
          </w:p>
        </w:tc>
        <w:tc>
          <w:tcPr>
            <w:tcW w:w="2409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94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6283483</w:t>
            </w:r>
          </w:p>
        </w:tc>
      </w:tr>
      <w:t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93"/>
              <w:widowControl/>
              <w:spacing w:before="100" w:beforeAutospacing="1" w:after="100" w:afterAutospacing="1" w:line="560" w:lineRule="exact"/>
              <w:jc w:val="center"/>
              <w:rPr>
                <w:rFonts w:ascii="宋体" w:hint="eastAsia"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92"/>
              <w:widowControl/>
              <w:spacing w:before="100" w:beforeAutospacing="1" w:after="100" w:afterAutospacing="1" w:line="360" w:lineRule="exact"/>
              <w:jc w:val="center"/>
              <w:rPr>
                <w:rFonts w:ascii="宋体" w:hint="eastAsia"/>
                <w:color w:val="00000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sz w:val="20"/>
                <w:szCs w:val="20"/>
                <w:lang w:bidi="ar-SA"/>
              </w:rPr>
              <w:t>业务统筹和协调，落实推进重大业务改革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91"/>
              <w:widowControl/>
              <w:spacing w:before="100" w:beforeAutospacing="1" w:after="100" w:afterAutospacing="1" w:line="560" w:lineRule="exact"/>
              <w:jc w:val="center"/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综合业务科</w:t>
            </w:r>
          </w:p>
        </w:tc>
        <w:tc>
          <w:tcPr>
            <w:tcW w:w="2409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90"/>
              <w:widowControl/>
              <w:spacing w:before="100" w:beforeAutospacing="1" w:after="100" w:afterAutospacing="1" w:line="560" w:lineRule="exact"/>
              <w:jc w:val="center"/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6283546</w:t>
            </w:r>
          </w:p>
        </w:tc>
      </w:tr>
      <w:t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89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7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cs="Times New Roman" w:hint="eastAsia"/>
                <w:snapToGrid w:val="0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Times New Roman" w:hint="eastAsia"/>
                <w:snapToGrid w:val="0"/>
                <w:color w:val="000000"/>
                <w:kern w:val="0"/>
                <w:sz w:val="20"/>
                <w:szCs w:val="20"/>
                <w:lang w:bidi="ar-SA"/>
              </w:rPr>
              <w:t>通关监管现场综合业务工作(报关单修撤、有纸接单、理单档案、退补税、通关事务担保、滞报滞纳征收、暂时进出境、直接退运、检验检疫证单签发、空白证单使用、原产地证书签发、签证印章使用等)，承担综合治税、执法评估工作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综合业务科</w:t>
            </w:r>
          </w:p>
        </w:tc>
        <w:tc>
          <w:tcPr>
            <w:tcW w:w="2409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88"/>
              <w:widowControl/>
              <w:spacing w:before="100" w:beforeAutospacing="1" w:after="100" w:afterAutospacing="1" w:line="560" w:lineRule="exact"/>
              <w:jc w:val="center"/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6832723</w:t>
            </w:r>
          </w:p>
        </w:tc>
      </w:tr>
      <w:tr>
        <w:trPr>
          <w:trHeight w:val="632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86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8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cs="Times New Roman" w:hint="eastAsia"/>
                <w:snapToGrid w:val="0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snapToGrid w:val="0"/>
                <w:color w:val="000000"/>
                <w:kern w:val="0"/>
                <w:sz w:val="20"/>
                <w:szCs w:val="20"/>
                <w:lang w:bidi="ar-SA"/>
              </w:rPr>
              <w:t>统计分析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综合业务科</w:t>
            </w:r>
          </w:p>
        </w:tc>
        <w:tc>
          <w:tcPr>
            <w:tcW w:w="2409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87"/>
              <w:widowControl/>
              <w:spacing w:before="100" w:beforeAutospacing="1" w:after="100" w:afterAutospacing="1" w:line="560" w:lineRule="exact"/>
              <w:jc w:val="center"/>
              <w:rPr>
                <w:rFonts w:ascii="华文仿宋" w:eastAsia="华文仿宋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6862723</w:t>
            </w:r>
          </w:p>
        </w:tc>
      </w:tr>
      <w:tr>
        <w:trPr>
          <w:trHeight w:val="1312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86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9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cs="宋体" w:hint="eastAsia"/>
                <w:snapToGrid w:val="0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snapToGrid w:val="0"/>
                <w:color w:val="000000"/>
                <w:kern w:val="0"/>
                <w:sz w:val="20"/>
                <w:szCs w:val="20"/>
                <w:lang w:bidi="ar-SA"/>
              </w:rPr>
              <w:t>通用资质（报关单位注册登记）、特定资质的人员（报关员登记备案）、备案管理工作（企业注册登记）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综合业务科</w:t>
            </w:r>
          </w:p>
        </w:tc>
        <w:tc>
          <w:tcPr>
            <w:tcW w:w="2409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6862723</w:t>
            </w:r>
          </w:p>
        </w:tc>
      </w:tr>
      <w:t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86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10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cs="宋体" w:hint="eastAsia"/>
                <w:snapToGrid w:val="0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snapToGrid w:val="0"/>
                <w:color w:val="000000"/>
                <w:kern w:val="0"/>
                <w:sz w:val="20"/>
                <w:szCs w:val="20"/>
                <w:lang w:bidi="ar-SA"/>
              </w:rPr>
              <w:t>公自用物品审批监管、加工贸易及保税监管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综合业务科</w:t>
            </w:r>
          </w:p>
        </w:tc>
        <w:tc>
          <w:tcPr>
            <w:tcW w:w="2409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6862723</w:t>
            </w:r>
          </w:p>
        </w:tc>
      </w:tr>
      <w:t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85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11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cs="Times New Roman" w:hint="eastAsia"/>
                <w:color w:val="000000"/>
                <w:kern w:val="0"/>
                <w:sz w:val="23"/>
                <w:szCs w:val="23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进出境货物的实货监管、查验、检验检疫工作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宋体" w:cs="Times New Roman" w:hint="eastAsia"/>
                <w:color w:val="000000"/>
                <w:kern w:val="0"/>
                <w:sz w:val="23"/>
                <w:szCs w:val="23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监管科</w:t>
            </w:r>
          </w:p>
        </w:tc>
        <w:tc>
          <w:tcPr>
            <w:tcW w:w="2409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84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6283549</w:t>
            </w:r>
          </w:p>
        </w:tc>
      </w:tr>
      <w:t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83"/>
              <w:widowControl/>
              <w:spacing w:before="100" w:beforeAutospacing="1" w:after="100" w:afterAutospacing="1" w:line="560" w:lineRule="exact"/>
              <w:jc w:val="center"/>
              <w:rPr>
                <w:rFonts w:ascii="宋体" w:cs="Times New Roman" w:hint="eastAsia"/>
                <w:color w:val="000000"/>
                <w:kern w:val="0"/>
                <w:sz w:val="23"/>
                <w:szCs w:val="23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12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进出境货物的目的地检验检疫、产地/组货地检验检疫工作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监管科</w:t>
            </w:r>
          </w:p>
        </w:tc>
        <w:tc>
          <w:tcPr>
            <w:tcW w:w="2409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82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6283549</w:t>
            </w:r>
          </w:p>
        </w:tc>
      </w:tr>
      <w:t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81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13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国门生物安全监测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宋体" w:cs="Times New Roman" w:hint="eastAsia"/>
                <w:color w:val="000000"/>
                <w:kern w:val="0"/>
                <w:sz w:val="23"/>
                <w:szCs w:val="23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监管科</w:t>
            </w:r>
          </w:p>
        </w:tc>
        <w:tc>
          <w:tcPr>
            <w:tcW w:w="2409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80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6283550</w:t>
            </w:r>
          </w:p>
        </w:tc>
      </w:tr>
      <w:tr>
        <w:trPr>
          <w:trHeight w:val="523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79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14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78"/>
              <w:widowControl/>
              <w:spacing w:line="360" w:lineRule="exact"/>
              <w:jc w:val="center"/>
              <w:rPr>
                <w:rFonts w:ascii="宋体" w:hint="eastAsia"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cs="宋体" w:hint="eastAsia"/>
                <w:snapToGrid w:val="0"/>
                <w:color w:val="000000"/>
                <w:kern w:val="0"/>
                <w:sz w:val="20"/>
                <w:szCs w:val="20"/>
                <w:lang w:bidi="ar-SA"/>
              </w:rPr>
              <w:t>进出口食品抽样检验和风险监测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宋体" w:cs="Times New Roman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监管科</w:t>
            </w:r>
          </w:p>
        </w:tc>
        <w:tc>
          <w:tcPr>
            <w:tcW w:w="2409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77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6283550</w:t>
            </w:r>
          </w:p>
        </w:tc>
      </w:tr>
      <w:t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76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15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75"/>
              <w:widowControl/>
              <w:spacing w:before="100" w:beforeAutospacing="1" w:after="100" w:afterAutospacing="1" w:line="360" w:lineRule="exact"/>
              <w:jc w:val="center"/>
              <w:rPr>
                <w:rFonts w:ascii="宋体" w:cs="宋体" w:hint="eastAsia"/>
                <w:snapToGrid w:val="0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常规稽查、专项稽查和企业主动披露管理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74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监管科</w:t>
            </w:r>
          </w:p>
        </w:tc>
        <w:tc>
          <w:tcPr>
            <w:tcW w:w="2409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71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6283551</w:t>
            </w:r>
          </w:p>
        </w:tc>
      </w:tr>
      <w:t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70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16</w:t>
            </w:r>
          </w:p>
        </w:tc>
        <w:tc>
          <w:tcPr>
            <w:tcW w:w="3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9"/>
              <w:widowControl/>
              <w:spacing w:before="100" w:beforeAutospacing="1" w:after="100" w:afterAutospacing="1" w:line="360" w:lineRule="exact"/>
              <w:jc w:val="center"/>
              <w:rPr>
                <w:rFonts w:ascii="宋体" w:cs="宋体" w:hint="eastAsia"/>
                <w:snapToGrid w:val="0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snapToGrid w:val="0"/>
                <w:color w:val="000000"/>
                <w:kern w:val="0"/>
                <w:sz w:val="20"/>
                <w:szCs w:val="20"/>
                <w:lang w:bidi="ar-SA"/>
              </w:rPr>
              <w:t>“多查合一”事项各类核查工作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8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监管科</w:t>
            </w:r>
          </w:p>
        </w:tc>
        <w:tc>
          <w:tcPr>
            <w:tcW w:w="2409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left w:val="nil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7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6283551</w:t>
            </w:r>
          </w:p>
        </w:tc>
      </w:tr>
      <w:tr>
        <w:tc>
          <w:tcPr>
            <w:tcW w:w="8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6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17</w:t>
            </w:r>
          </w:p>
        </w:tc>
        <w:tc>
          <w:tcPr>
            <w:tcW w:w="38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5"/>
              <w:widowControl/>
              <w:spacing w:line="360" w:lineRule="exact"/>
              <w:jc w:val="center"/>
              <w:rPr>
                <w:rFonts w:ascii="宋体" w:cs="宋体" w:hint="eastAsia"/>
                <w:snapToGrid w:val="0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进出境邮件监管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4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监管科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3"/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工作日：15:30—17：30</w:t>
            </w:r>
          </w:p>
          <w:p>
            <w:pPr>
              <w:pStyle w:val="63"/>
              <w:jc w:val="center"/>
              <w:rPr>
                <w:color w:val="00000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 xml:space="preserve">  节假日：11:00—12:00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2"/>
              <w:jc w:val="center"/>
              <w:rPr>
                <w:color w:val="000000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拉萨邮区中心局邮件处理中心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1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6283551</w:t>
            </w:r>
          </w:p>
        </w:tc>
      </w:tr>
      <w:tr>
        <w:tc>
          <w:tcPr>
            <w:tcW w:w="8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60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18</w:t>
            </w:r>
          </w:p>
        </w:tc>
        <w:tc>
          <w:tcPr>
            <w:tcW w:w="38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59"/>
              <w:widowControl/>
              <w:spacing w:line="360" w:lineRule="exact"/>
              <w:jc w:val="center"/>
              <w:rPr>
                <w:rFonts w:ascii="宋体" w:cs="宋体" w:hint="eastAsia"/>
                <w:snapToGrid w:val="0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监管作业场地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58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监管科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bottom"/>
          </w:tcPr>
          <w:p/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57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6283468</w:t>
            </w:r>
          </w:p>
        </w:tc>
      </w:tr>
      <w:tr>
        <w:trPr>
          <w:trHeight w:val="960"/>
        </w:trPr>
        <w:tc>
          <w:tcPr>
            <w:tcW w:w="8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56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19</w:t>
            </w:r>
          </w:p>
        </w:tc>
        <w:tc>
          <w:tcPr>
            <w:tcW w:w="38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55"/>
              <w:widowControl/>
              <w:spacing w:line="3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  <w:sz w:val="20"/>
                <w:szCs w:val="20"/>
                <w:lang w:bidi="ar-SA"/>
              </w:rPr>
              <w:t>负责拉萨综合保税区进出区货物的查检、查验工作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54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保税监管科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6"/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工作日:09：30-13：00；       15：30-18:00</w:t>
            </w:r>
          </w:p>
          <w:p>
            <w:pPr>
              <w:pStyle w:val="47"/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</w:p>
          <w:p>
            <w:pPr>
              <w:pStyle w:val="53"/>
              <w:spacing w:before="100" w:beforeAutospacing="1" w:after="100" w:afterAutospacing="1" w:line="24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5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拉萨综合保税区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3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6283555</w:t>
            </w:r>
          </w:p>
        </w:tc>
      </w:tr>
      <w:tr>
        <w:trPr>
          <w:trHeight w:val="760"/>
        </w:trPr>
        <w:tc>
          <w:tcPr>
            <w:tcW w:w="8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2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20</w:t>
            </w:r>
          </w:p>
        </w:tc>
        <w:tc>
          <w:tcPr>
            <w:tcW w:w="38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1"/>
              <w:widowControl/>
              <w:spacing w:line="3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  <w:sz w:val="20"/>
                <w:szCs w:val="20"/>
                <w:lang w:bidi="ar-SA"/>
              </w:rPr>
              <w:t>负责拉萨综合保税区内跨境电子商务货物的实货监管工作。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0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保税监管科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bottom"/>
          </w:tcPr>
          <w:p/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9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6283555</w:t>
            </w:r>
          </w:p>
        </w:tc>
      </w:tr>
      <w:tr>
        <w:trPr>
          <w:trHeight w:val="990"/>
        </w:trPr>
        <w:tc>
          <w:tcPr>
            <w:tcW w:w="8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8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21</w:t>
            </w:r>
          </w:p>
        </w:tc>
        <w:tc>
          <w:tcPr>
            <w:tcW w:w="38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7"/>
              <w:widowControl/>
              <w:spacing w:line="3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  <w:sz w:val="20"/>
                <w:szCs w:val="20"/>
                <w:lang w:bidi="ar-SA"/>
              </w:rPr>
              <w:t>负责拉萨综合保税区内检验检疫证书的拟制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6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保税监管科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5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拉萨市城关区鲁定中路11号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4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6283555</w:t>
            </w:r>
          </w:p>
        </w:tc>
      </w:tr>
      <w:tr>
        <w:trPr>
          <w:trHeight w:val="980"/>
        </w:trPr>
        <w:tc>
          <w:tcPr>
            <w:tcW w:w="8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3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22</w:t>
            </w:r>
          </w:p>
        </w:tc>
        <w:tc>
          <w:tcPr>
            <w:tcW w:w="38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2"/>
              <w:widowControl/>
              <w:spacing w:line="360" w:lineRule="exact"/>
              <w:jc w:val="center"/>
              <w:rPr>
                <w:rFonts w:ascii="宋体" w:cs="宋体" w:hint="eastAsia"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  <w:sz w:val="20"/>
                <w:szCs w:val="20"/>
                <w:lang w:bidi="ar-SA"/>
              </w:rPr>
              <w:t>负责拉萨综合保税区内的属地查检工作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1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保税监管科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0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拉萨综合保税区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29"/>
              <w:widowControl/>
              <w:spacing w:before="100" w:beforeAutospacing="1" w:after="100" w:afterAutospacing="1" w:line="560" w:lineRule="exact"/>
              <w:jc w:val="center"/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ascii="宋体" w:cs="宋体" w:hint="eastAsia"/>
                <w:color w:val="000000"/>
                <w:kern w:val="0"/>
                <w:sz w:val="20"/>
                <w:szCs w:val="20"/>
                <w:lang w:bidi="ar-SA"/>
              </w:rPr>
              <w:t>6283555</w:t>
            </w:r>
          </w:p>
        </w:tc>
      </w:tr>
    </w:tbl>
    <w:p/>
    <w:sectPr>
      <w:footerReference w:type="default" r:id="rId2"/>
      <w:footerReference w:type="even" r:id="rId3"/>
      <w:pgSz w:w="16840" w:h="11907" w:orient="landscape"/>
      <w:pgMar w:top="1531" w:right="2098" w:bottom="1361" w:left="1985" w:header="851" w:footer="1418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00000000" w:usb2="00000000" w:usb3="00000000" w:csb0="8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spacing w:line="200" w:lineRule="exact"/>
      <w:ind w:rightChars="100" w:right="210"/>
      <w:jc w:val="right"/>
      <w:rPr>
        <w:rFonts w:ascii="宋体" w:eastAsia="宋体"/>
        <w:sz w:val="28"/>
        <w:szCs w:val="28"/>
      </w:rPr>
    </w:pPr>
    <w:r>
      <w:rPr>
        <w:sz w:val="28"/>
      </w:rPr>
      <w:tab/>
    </w:r>
  </w:p>
  <w:p>
    <w:pPr>
      <w:pStyle w:val="16"/>
      <w:tabs>
        <w:tab w:val="center" w:pos="4153"/>
        <w:tab w:val="right" w:pos="8307"/>
      </w:tabs>
      <w:wordWrap w:val="0"/>
      <w:spacing w:line="240" w:lineRule="auto"/>
      <w:ind w:rightChars="100" w:right="210"/>
      <w:jc w:val="right"/>
      <w:rPr>
        <w:rFonts w:ascii="宋体" w:eastAsia="宋体" w:hint="eastAsia"/>
        <w:sz w:val="28"/>
      </w:rPr>
    </w:pPr>
    <w:r>
      <w:rPr>
        <w:rFonts w:ascii="宋体" w:eastAsia="宋体" w:hint="eastAsia"/>
        <w:sz w:val="28"/>
        <w:szCs w:val="28"/>
      </w:rPr>
      <w:t>-</w:t>
    </w:r>
    <w:r>
      <w:rPr>
        <w:rFonts w:ascii="宋体" w:eastAsia="宋体"/>
        <w:sz w:val="28"/>
        <w:szCs w:val="28"/>
      </w:rPr>
      <w:t xml:space="preserve"> </w:t>
    </w:r>
    <w:r>
      <w:rPr>
        <w:rFonts w:ascii="宋体" w:eastAsia="宋体" w:hint="eastAsia"/>
        <w:sz w:val="28"/>
        <w:szCs w:val="28"/>
      </w:rPr>
      <w:fldChar w:fldCharType="begin"/>
    </w:r>
    <w:r>
      <w:rPr>
        <w:rFonts w:ascii="宋体" w:eastAsia="宋体" w:hint="eastAsia"/>
        <w:sz w:val="28"/>
        <w:szCs w:val="28"/>
      </w:rPr>
      <w:instrText>Page</w:instrText>
    </w:r>
    <w:r>
      <w:rPr>
        <w:rFonts w:ascii="宋体" w:eastAsia="宋体" w:hint="eastAsia"/>
        <w:sz w:val="28"/>
        <w:szCs w:val="28"/>
      </w:rPr>
      <w:fldChar w:fldCharType="separate"/>
    </w:r>
    <w:r>
      <w:rPr>
        <w:rFonts w:ascii="宋体" w:eastAsia="宋体" w:hint="eastAsia"/>
        <w:sz w:val="28"/>
        <w:szCs w:val="28"/>
      </w:rPr>
      <w:t>1</w:t>
    </w:r>
    <w:r>
      <w:rPr>
        <w:rFonts w:ascii="宋体" w:eastAsia="宋体" w:hint="eastAsia"/>
        <w:sz w:val="28"/>
        <w:szCs w:val="28"/>
      </w:rPr>
      <w:fldChar w:fldCharType="end"/>
    </w:r>
    <w:r>
      <w:rPr>
        <w:rFonts w:ascii="宋体" w:eastAsia="宋体"/>
        <w:sz w:val="28"/>
        <w:szCs w:val="28"/>
      </w:rPr>
      <w:t xml:space="preserve"> </w:t>
    </w:r>
    <w:r>
      <w:rPr>
        <w:rFonts w:ascii="宋体" w:eastAsia="宋体" w:hint="eastAsia"/>
        <w:sz w:val="28"/>
        <w:szCs w:val="28"/>
      </w:rPr>
      <w:t>-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spacing w:line="200" w:lineRule="exact"/>
      <w:ind w:leftChars="100" w:left="210"/>
      <w:rPr>
        <w:rFonts w:ascii="宋体" w:eastAsia="宋体"/>
        <w:sz w:val="28"/>
        <w:szCs w:val="28"/>
      </w:rPr>
    </w:pPr>
  </w:p>
  <w:p>
    <w:pPr>
      <w:pStyle w:val="16"/>
      <w:tabs>
        <w:tab w:val="center" w:pos="4153"/>
        <w:tab w:val="right" w:pos="8307"/>
      </w:tabs>
      <w:spacing w:line="240" w:lineRule="auto"/>
      <w:ind w:leftChars="100" w:left="210"/>
      <w:rPr>
        <w:rFonts w:ascii="宋体" w:eastAsia="宋体" w:hint="eastAsia"/>
        <w:sz w:val="28"/>
      </w:rPr>
    </w:pPr>
    <w:r>
      <w:rPr>
        <w:rFonts w:ascii="宋体" w:eastAsia="宋体" w:hint="eastAsia"/>
        <w:sz w:val="28"/>
        <w:szCs w:val="28"/>
      </w:rPr>
      <w:t>-</w:t>
    </w:r>
    <w:r>
      <w:rPr>
        <w:rFonts w:ascii="宋体" w:eastAsia="宋体"/>
        <w:sz w:val="28"/>
        <w:szCs w:val="28"/>
      </w:rPr>
      <w:t xml:space="preserve"> </w:t>
    </w:r>
    <w:r>
      <w:rPr>
        <w:rFonts w:ascii="宋体" w:eastAsia="宋体" w:hint="eastAsia"/>
        <w:sz w:val="28"/>
        <w:szCs w:val="28"/>
      </w:rPr>
      <w:fldChar w:fldCharType="begin"/>
    </w:r>
    <w:r>
      <w:rPr>
        <w:rFonts w:ascii="宋体" w:eastAsia="宋体" w:hint="eastAsia"/>
        <w:sz w:val="28"/>
        <w:szCs w:val="28"/>
      </w:rPr>
      <w:instrText>Page</w:instrText>
    </w:r>
    <w:r>
      <w:rPr>
        <w:rFonts w:ascii="宋体" w:eastAsia="宋体" w:hint="eastAsia"/>
        <w:sz w:val="28"/>
        <w:szCs w:val="28"/>
      </w:rPr>
      <w:fldChar w:fldCharType="separate"/>
    </w:r>
    <w:r>
      <w:rPr>
        <w:rFonts w:ascii="宋体" w:eastAsia="宋体" w:hint="eastAsia"/>
        <w:sz w:val="28"/>
        <w:szCs w:val="28"/>
      </w:rPr>
      <w:t>2</w:t>
    </w:r>
    <w:r>
      <w:rPr>
        <w:rFonts w:ascii="宋体" w:eastAsia="宋体" w:hint="eastAsia"/>
        <w:sz w:val="28"/>
        <w:szCs w:val="28"/>
      </w:rPr>
      <w:fldChar w:fldCharType="end"/>
    </w:r>
    <w:r>
      <w:rPr>
        <w:rFonts w:ascii="宋体" w:eastAsia="宋体"/>
        <w:sz w:val="28"/>
        <w:szCs w:val="28"/>
      </w:rPr>
      <w:t xml:space="preserve"> </w:t>
    </w:r>
    <w:r>
      <w:rPr>
        <w:rFonts w:ascii="宋体" w:eastAsia="宋体" w:hint="eastAsia"/>
        <w:sz w:val="28"/>
        <w:szCs w:val="28"/>
      </w:rPr>
      <w:t>-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0FFFFF89"/>
    <w:multiLevelType w:val="singleLevel"/>
    <w:tmpl w:val="00000000"/>
    <w:lvl w:ilvl="0">
      <w:start w:val="1"/>
      <w:numFmt w:val="bullet"/>
      <w:lvlRestart w:val="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FFFFF7F"/>
    <w:multiLevelType w:val="singleLevel"/>
    <w:tmpl w:val="00000000"/>
    <w:lvl w:ilvl="0">
      <w:start w:val="1"/>
      <w:numFmt w:val="decimal"/>
      <w:lvlRestart w:val="0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2">
    <w:nsid w:val="0FFFFF7D"/>
    <w:multiLevelType w:val="singleLevel"/>
    <w:tmpl w:val="00000000"/>
    <w:lvl w:ilvl="0">
      <w:start w:val="1"/>
      <w:numFmt w:val="decimal"/>
      <w:lvlRestart w:val="0"/>
      <w:lvlText w:val="%1."/>
      <w:lvlJc w:val="left"/>
      <w:pPr>
        <w:tabs>
          <w:tab w:val="num" w:pos="1620"/>
        </w:tabs>
        <w:ind w:left="162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20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20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7">
    <w:name w:val="caption"/>
    <w:basedOn w:val="0"/>
    <w:next w:val="0"/>
    <w:rPr>
      <w:rFonts w:ascii="Arial" w:eastAsia="黑体" w:hAnsi="Arial"/>
      <w:b/>
      <w:sz w:val="20"/>
    </w:rPr>
  </w:style>
  <w:style w:type="character" w:styleId="18">
    <w:name w:val="page number"/>
    <w:basedOn w:val="10"/>
  </w:style>
  <w:style w:type="paragraph" w:styleId="19">
    <w:name w:val="List Bullet"/>
    <w:basedOn w:val="0"/>
    <w:pPr>
      <w:numPr>
        <w:ilvl w:val="0"/>
        <w:numId w:val="1"/>
      </w:numPr>
    </w:pPr>
  </w:style>
  <w:style w:type="paragraph" w:styleId="20">
    <w:name w:val="List Number 2"/>
    <w:basedOn w:val="0"/>
    <w:pPr>
      <w:numPr>
        <w:ilvl w:val="0"/>
        <w:numId w:val="2"/>
      </w:numPr>
    </w:pPr>
  </w:style>
  <w:style w:type="paragraph" w:styleId="21">
    <w:name w:val="List Number 4"/>
    <w:basedOn w:val="0"/>
    <w:pPr>
      <w:numPr>
        <w:ilvl w:val="0"/>
        <w:numId w:val="3"/>
      </w:numPr>
    </w:pPr>
  </w:style>
  <w:style w:type="paragraph" w:styleId="22">
    <w:name w:val="Body Text"/>
    <w:basedOn w:val="0"/>
    <w:pPr>
      <w:spacing w:after="120"/>
    </w:pPr>
  </w:style>
  <w:style w:type="paragraph" w:styleId="23">
    <w:name w:val="Subtitle"/>
    <w:basedOn w:val="0"/>
    <w:pPr>
      <w:spacing w:before="240" w:after="6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24">
    <w:name w:val="Salutation"/>
    <w:basedOn w:val="0"/>
    <w:next w:val="0"/>
  </w:style>
  <w:style w:type="paragraph" w:styleId="25">
    <w:name w:val="Body Text 2"/>
    <w:basedOn w:val="0"/>
    <w:pPr>
      <w:spacing w:after="120" w:line="480" w:lineRule="auto"/>
    </w:pPr>
  </w:style>
  <w:style w:type="paragraph" w:styleId="26">
    <w:name w:val="Body Text 3"/>
    <w:basedOn w:val="0"/>
    <w:pPr>
      <w:spacing w:after="120"/>
    </w:pPr>
    <w:rPr>
      <w:sz w:val="16"/>
    </w:rPr>
  </w:style>
  <w:style w:type="paragraph" w:styleId="27">
    <w:name w:val="Body Text Indent 2"/>
    <w:basedOn w:val="0"/>
    <w:pPr>
      <w:spacing w:after="120" w:line="480" w:lineRule="auto"/>
      <w:ind w:left="420"/>
    </w:pPr>
  </w:style>
  <w:style w:type="paragraph" w:styleId="28">
    <w:name w:val="Balloon Text"/>
    <w:basedOn w:val="0"/>
    <w:next w:val="0"/>
    <w:rPr>
      <w:sz w:val="18"/>
    </w:rPr>
  </w:style>
  <w:style w:type="paragraph" w:customStyle="1" w:styleId="29">
    <w:name w:val="样式 2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">
    <w:name w:val="样式 2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">
    <w:name w:val="样式 2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">
    <w:name w:val="样式 217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3">
    <w:name w:val="样式 2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">
    <w:name w:val="样式 2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">
    <w:name w:val="样式 2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">
    <w:name w:val="样式 2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">
    <w:name w:val="样式 222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8">
    <w:name w:val="样式 2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">
    <w:name w:val="样式 2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">
    <w:name w:val="样式 2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">
    <w:name w:val="样式 226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2">
    <w:name w:val="样式 22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">
    <w:name w:val="样式 22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">
    <w:name w:val="样式 22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">
    <w:name w:val="样式 23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">
    <w:name w:val="样式 2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">
    <w:name w:val="样式 2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">
    <w:name w:val="样式 2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">
    <w:name w:val="样式 2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">
    <w:name w:val="样式 2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">
    <w:name w:val="样式 2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">
    <w:name w:val="样式 2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">
    <w:name w:val="样式 2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4">
    <w:name w:val="样式 2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5">
    <w:name w:val="样式 240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56">
    <w:name w:val="样式 2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7">
    <w:name w:val="样式 2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">
    <w:name w:val="样式 2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">
    <w:name w:val="样式 244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60">
    <w:name w:val="样式 2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">
    <w:name w:val="样式 2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">
    <w:name w:val="样式 24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">
    <w:name w:val="样式 24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4">
    <w:name w:val="样式 24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5">
    <w:name w:val="样式 250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66">
    <w:name w:val="样式 25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7">
    <w:name w:val="样式 25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8">
    <w:name w:val="样式 25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9">
    <w:name w:val="样式 25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0">
    <w:name w:val="样式 2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1">
    <w:name w:val="样式 25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2">
    <w:name w:val="样式 25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3">
    <w:name w:val="样式 25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4">
    <w:name w:val="样式 26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5">
    <w:name w:val="样式 26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6">
    <w:name w:val="样式 26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7">
    <w:name w:val="样式 130 10 磅"/>
    <w:next w:val="60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78">
    <w:name w:val="样式 32 10 磅"/>
    <w:next w:val="19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79">
    <w:name w:val="样式 64 10 磅"/>
    <w:next w:val="26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0">
    <w:name w:val="样式 129 10 磅"/>
    <w:next w:val="5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1">
    <w:name w:val="样式 63 10 磅"/>
    <w:next w:val="2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2">
    <w:name w:val="样式 128 10 磅"/>
    <w:next w:val="5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3">
    <w:name w:val="样式 58 10 磅"/>
    <w:next w:val="24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4">
    <w:name w:val="样式 127 10 磅"/>
    <w:next w:val="5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">
    <w:name w:val="样式 57 10 磅"/>
    <w:next w:val="23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6">
    <w:name w:val="样式 49 10 磅"/>
    <w:next w:val="2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7">
    <w:name w:val="样式 135 10 磅"/>
    <w:next w:val="6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8">
    <w:name w:val="样式 134 10 磅"/>
    <w:next w:val="64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9">
    <w:name w:val="样式 44 10 磅"/>
    <w:next w:val="2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0">
    <w:name w:val="样式 133 10 磅"/>
    <w:next w:val="63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1">
    <w:name w:val="样式 18 10 磅"/>
    <w:next w:val="1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2">
    <w:name w:val="样式 三号"/>
    <w:next w:val="28"/>
    <w:pPr>
      <w:widowControl w:val="0"/>
      <w:jc w:val="both"/>
    </w:pPr>
    <w:rPr>
      <w:rFonts w:ascii="Times New Roman" w:eastAsia="宋体" w:cs="Times New Roman" w:hAnsi="Times New Roman"/>
      <w:sz w:val="32"/>
      <w:szCs w:val="32"/>
      <w:lang w:val="en-US" w:eastAsia="zh-CN" w:bidi="ar-SA"/>
    </w:rPr>
  </w:style>
  <w:style w:type="paragraph" w:customStyle="1" w:styleId="93">
    <w:name w:val="样式 42 10 磅"/>
    <w:next w:val="20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94">
    <w:name w:val="样式 65 10 磅"/>
    <w:next w:val="27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5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numbering" Target="numbering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</TotalTime>
  <Application>Yozo_Office</Application>
  <Pages>3</Pages>
  <Words>760</Words>
  <Characters>953</Characters>
  <Lines>140</Lines>
  <Paragraphs>104</Paragraphs>
  <CharactersWithSpaces>974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谷云乐</dc:creator>
  <cp:lastModifiedBy>石晓云</cp:lastModifiedBy>
  <cp:revision>1</cp:revision>
  <dcterms:created xsi:type="dcterms:W3CDTF">2025-08-05T08:48:46Z</dcterms:created>
  <dcterms:modified xsi:type="dcterms:W3CDTF">2025-12-17T13:40:53Z</dcterms:modified>
</cp:coreProperties>
</file>