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in" ContentType="application/vnd.openxmlformats-officedocument.oleObject"/>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
        <w:pBdr>
          <w:top w:val="none" w:sz="0" w:space="0" w:color="auto"/>
          <w:left w:val="none" w:sz="0" w:space="0" w:color="auto"/>
          <w:bottom w:val="none" w:sz="0" w:space="0" w:color="auto"/>
          <w:right w:val="none" w:sz="0" w:space="0" w:color="auto"/>
        </w:pBdr>
        <w:shd w:val="clear" w:color="auto" w:fill="FFFFFF"/>
        <w:ind w:firstLine="0"/>
        <w:jc w:val="center"/>
        <w:outlineLvl w:val="0"/>
        <w:rPr>
          <w:rStyle w:val="20"/>
          <w:rFonts w:ascii="Times New Roman" w:cs="Times New Roman" w:hAnsi="Times New Roman"/>
          <w:b/>
          <w:i w:val="0"/>
          <w:iCs w:val="0"/>
          <w:caps w:val="0"/>
          <w:smallCaps w:val="0"/>
          <w:vanish w:val="0"/>
          <w:color w:val="303133"/>
          <w:spacing w:val="0"/>
          <w:kern w:val="36"/>
          <w:sz w:val="48"/>
        </w:rPr>
      </w:pPr>
    </w:p>
    <w:p>
      <w:pPr>
        <w:pStyle w:val="1"/>
        <w:pBdr>
          <w:top w:val="none" w:sz="0" w:space="0" w:color="auto"/>
          <w:left w:val="none" w:sz="0" w:space="0" w:color="auto"/>
          <w:bottom w:val="none" w:sz="0" w:space="0" w:color="auto"/>
          <w:right w:val="none" w:sz="0" w:space="0" w:color="auto"/>
        </w:pBdr>
        <w:shd w:val="clear" w:color="auto" w:fill="FFFFFF"/>
        <w:ind w:firstLine="0"/>
        <w:jc w:val="center"/>
        <w:outlineLvl w:val="0"/>
        <w:rPr>
          <w:rStyle w:val="20"/>
          <w:rFonts w:ascii="Times New Roman" w:cs="Times New Roman" w:hAnsi="Times New Roman"/>
          <w:b/>
          <w:i w:val="0"/>
          <w:iCs w:val="0"/>
          <w:caps w:val="0"/>
          <w:smallCaps w:val="0"/>
          <w:vanish w:val="0"/>
          <w:color w:val="303133"/>
          <w:spacing w:val="0"/>
          <w:kern w:val="36"/>
          <w:sz w:val="48"/>
        </w:rPr>
      </w:pPr>
    </w:p>
    <w:p>
      <w:pPr>
        <w:pStyle w:val="1"/>
        <w:pBdr>
          <w:top w:val="none" w:sz="0" w:space="0" w:color="auto"/>
          <w:left w:val="none" w:sz="0" w:space="0" w:color="auto"/>
          <w:bottom w:val="none" w:sz="0" w:space="0" w:color="auto"/>
          <w:right w:val="none" w:sz="0" w:space="0" w:color="auto"/>
        </w:pBdr>
        <w:shd w:val="clear" w:color="auto" w:fill="FFFFFF"/>
        <w:ind w:firstLine="0"/>
        <w:jc w:val="center"/>
        <w:outlineLvl w:val="0"/>
        <w:rPr>
          <w:rStyle w:val="20"/>
          <w:rFonts w:ascii="Times New Roman" w:cs="Times New Roman" w:hAnsi="Times New Roman"/>
          <w:b/>
          <w:i w:val="0"/>
          <w:iCs w:val="0"/>
          <w:caps w:val="0"/>
          <w:smallCaps w:val="0"/>
          <w:vanish w:val="0"/>
          <w:color w:val="303133"/>
          <w:spacing w:val="0"/>
          <w:kern w:val="36"/>
          <w:sz w:val="48"/>
        </w:rPr>
      </w:pPr>
    </w:p>
    <w:p>
      <w:pPr>
        <w:pStyle w:val="1"/>
        <w:pBdr>
          <w:top w:val="none" w:sz="0" w:space="0" w:color="auto"/>
          <w:left w:val="none" w:sz="0" w:space="0" w:color="auto"/>
          <w:bottom w:val="none" w:sz="0" w:space="0" w:color="auto"/>
          <w:right w:val="none" w:sz="0" w:space="0" w:color="auto"/>
        </w:pBdr>
        <w:shd w:val="clear" w:color="auto" w:fill="FFFFFF"/>
        <w:ind w:firstLine="0"/>
        <w:jc w:val="center"/>
        <w:outlineLvl w:val="0"/>
        <w:rPr>
          <w:rStyle w:val="20"/>
          <w:rFonts w:ascii="Times New Roman" w:cs="Times New Roman" w:hAnsi="Times New Roman"/>
          <w:b/>
          <w:i w:val="0"/>
          <w:iCs w:val="0"/>
          <w:caps w:val="0"/>
          <w:smallCaps w:val="0"/>
          <w:vanish w:val="0"/>
          <w:color w:val="303133"/>
          <w:spacing w:val="0"/>
          <w:kern w:val="36"/>
          <w:sz w:val="48"/>
        </w:rPr>
      </w:pPr>
    </w:p>
    <w:p>
      <w:pPr>
        <w:pStyle w:val="1"/>
        <w:pBdr>
          <w:top w:val="none" w:sz="0" w:space="0" w:color="auto"/>
          <w:left w:val="none" w:sz="0" w:space="0" w:color="auto"/>
          <w:bottom w:val="none" w:sz="0" w:space="0" w:color="auto"/>
          <w:right w:val="none" w:sz="0" w:space="0" w:color="auto"/>
        </w:pBdr>
        <w:shd w:val="clear" w:color="auto" w:fill="FFFFFF"/>
        <w:ind w:firstLine="0"/>
        <w:jc w:val="center"/>
        <w:outlineLvl w:val="0"/>
        <w:rPr>
          <w:rStyle w:val="20"/>
          <w:rFonts w:ascii="Times New Roman" w:cs="Times New Roman" w:hAnsi="Times New Roman"/>
          <w:b/>
          <w:i w:val="0"/>
          <w:iCs w:val="0"/>
          <w:caps w:val="0"/>
          <w:smallCaps w:val="0"/>
          <w:vanish w:val="0"/>
          <w:color w:val="303133"/>
          <w:spacing w:val="0"/>
          <w:kern w:val="36"/>
          <w:sz w:val="48"/>
        </w:rPr>
      </w:pPr>
    </w:p>
    <w:p>
      <w:pPr>
        <w:pStyle w:val="1"/>
        <w:pBdr>
          <w:top w:val="none" w:sz="0" w:space="0" w:color="auto"/>
          <w:left w:val="none" w:sz="0" w:space="0" w:color="auto"/>
          <w:bottom w:val="none" w:sz="0" w:space="0" w:color="auto"/>
          <w:right w:val="none" w:sz="0" w:space="0" w:color="auto"/>
        </w:pBdr>
        <w:shd w:val="clear" w:color="auto" w:fill="FFFFFF"/>
        <w:ind w:firstLine="0"/>
        <w:jc w:val="center"/>
        <w:outlineLvl w:val="0"/>
        <w:rPr>
          <w:rStyle w:val="20"/>
          <w:rFonts w:ascii="Times New Roman" w:cs="Times New Roman" w:hAnsi="Times New Roman"/>
          <w:b/>
          <w:i w:val="0"/>
          <w:iCs w:val="0"/>
          <w:caps w:val="0"/>
          <w:smallCaps w:val="0"/>
          <w:vanish w:val="0"/>
          <w:color w:val="303133"/>
          <w:spacing w:val="0"/>
          <w:kern w:val="36"/>
          <w:sz w:val="48"/>
        </w:rPr>
      </w:pPr>
    </w:p>
    <w:p>
      <w:pPr>
        <w:pStyle w:val="1"/>
        <w:pBdr>
          <w:top w:val="none" w:sz="0" w:space="0" w:color="auto"/>
          <w:left w:val="none" w:sz="0" w:space="0" w:color="auto"/>
          <w:bottom w:val="none" w:sz="0" w:space="0" w:color="auto"/>
          <w:right w:val="none" w:sz="0" w:space="0" w:color="auto"/>
        </w:pBdr>
        <w:shd w:val="clear" w:color="auto" w:fill="FFFFFF"/>
        <w:ind w:firstLine="0"/>
        <w:jc w:val="center"/>
        <w:outlineLvl w:val="0"/>
        <w:rPr>
          <w:rStyle w:val="20"/>
          <w:rFonts w:ascii="Times New Roman" w:cs="Times New Roman" w:hAnsi="Times New Roman"/>
          <w:b/>
          <w:i w:val="0"/>
          <w:iCs w:val="0"/>
          <w:caps w:val="0"/>
          <w:smallCaps w:val="0"/>
          <w:vanish w:val="0"/>
          <w:color w:val="303133"/>
          <w:spacing w:val="0"/>
          <w:kern w:val="36"/>
          <w:sz w:val="48"/>
        </w:rPr>
      </w:pPr>
    </w:p>
    <w:p>
      <w:pPr>
        <w:pStyle w:val="1"/>
        <w:pBdr>
          <w:top w:val="none" w:sz="0" w:space="0" w:color="auto"/>
          <w:left w:val="none" w:sz="0" w:space="0" w:color="auto"/>
          <w:bottom w:val="none" w:sz="0" w:space="0" w:color="auto"/>
          <w:right w:val="none" w:sz="0" w:space="0" w:color="auto"/>
        </w:pBdr>
        <w:shd w:val="clear" w:color="auto" w:fill="FFFFFF"/>
        <w:ind w:firstLine="0"/>
        <w:jc w:val="center"/>
        <w:outlineLvl w:val="0"/>
        <w:rPr>
          <w:rFonts w:ascii="方正小标宋_GBK" w:eastAsia="方正小标宋_GBK" w:cs="Times New Roman" w:hint="eastAsia"/>
          <w:b/>
          <w:i w:val="0"/>
          <w:iCs w:val="0"/>
          <w:caps w:val="0"/>
          <w:smallCaps w:val="0"/>
          <w:vanish w:val="0"/>
          <w:color w:val="303133"/>
          <w:spacing w:val="0"/>
          <w:kern w:val="36"/>
          <w:szCs w:val="48"/>
        </w:rPr>
      </w:pPr>
      <w:r>
        <w:rPr>
          <w:rStyle w:val="20"/>
          <w:rFonts w:ascii="方正小标宋_GBK" w:eastAsia="方正小标宋_GBK" w:cs="Times New Roman" w:hint="eastAsia"/>
          <w:b/>
          <w:i w:val="0"/>
          <w:iCs w:val="0"/>
          <w:caps w:val="0"/>
          <w:smallCaps w:val="0"/>
          <w:vanish w:val="0"/>
          <w:color w:val="303133"/>
          <w:spacing w:val="0"/>
          <w:kern w:val="36"/>
          <w:szCs w:val="48"/>
        </w:rPr>
        <w:t>中华人民共和国拉萨海关 </w:t>
      </w:r>
    </w:p>
    <w:p>
      <w:pPr>
        <w:pStyle w:val="1"/>
        <w:pBdr>
          <w:top w:val="none" w:sz="0" w:space="0" w:color="auto"/>
          <w:left w:val="none" w:sz="0" w:space="0" w:color="auto"/>
          <w:bottom w:val="none" w:sz="0" w:space="0" w:color="auto"/>
          <w:right w:val="none" w:sz="0" w:space="0" w:color="auto"/>
        </w:pBdr>
        <w:shd w:val="clear" w:color="auto" w:fill="FFFFFF"/>
        <w:ind w:firstLine="0"/>
        <w:jc w:val="center"/>
        <w:outlineLvl w:val="0"/>
        <w:rPr>
          <w:rFonts w:ascii="方正小标宋_GBK" w:eastAsia="方正小标宋_GBK" w:cs="Times New Roman" w:hint="eastAsia"/>
          <w:b/>
          <w:i w:val="0"/>
          <w:iCs w:val="0"/>
          <w:caps w:val="0"/>
          <w:smallCaps w:val="0"/>
          <w:vanish w:val="0"/>
          <w:color w:val="303133"/>
          <w:spacing w:val="0"/>
          <w:kern w:val="36"/>
          <w:szCs w:val="48"/>
        </w:rPr>
      </w:pPr>
      <w:r>
        <w:rPr>
          <w:rStyle w:val="20"/>
          <w:rFonts w:ascii="方正小标宋_GBK" w:eastAsia="方正小标宋_GBK" w:cs="Times New Roman" w:hint="eastAsia"/>
          <w:b/>
          <w:i w:val="0"/>
          <w:iCs w:val="0"/>
          <w:caps w:val="0"/>
          <w:smallCaps w:val="0"/>
          <w:vanish w:val="0"/>
          <w:color w:val="303133"/>
          <w:spacing w:val="0"/>
          <w:kern w:val="36"/>
          <w:szCs w:val="48"/>
        </w:rPr>
        <w:t>2023年度决算公开报告</w:t>
      </w:r>
    </w:p>
    <w:p>
      <w:pPr>
        <w:pStyle w:val="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72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72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72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72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72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720"/>
        <w:outlineLvl w:val="1"/>
        <w:rPr>
          <w:rStyle w:val="20"/>
          <w:rFonts w:ascii="Times New Roman" w:cs="Times New Roman" w:hAnsi="Times New Roman"/>
          <w:b/>
          <w:i w:val="0"/>
          <w:iCs w:val="0"/>
          <w:caps w:val="0"/>
          <w:smallCaps w:val="0"/>
          <w:vanish w:val="0"/>
          <w:color w:val="303133"/>
          <w:spacing w:val="0"/>
          <w:sz w:val="36"/>
        </w:rPr>
      </w:pPr>
    </w:p>
    <w:p>
      <w:pPr>
        <w:pStyle w:val="79"/>
        <w:spacing w:line="576" w:lineRule="exact"/>
        <w:jc w:val="center"/>
        <w:rPr>
          <w:rFonts w:ascii="方正黑体_GBK" w:eastAsia="方正黑体_GBK"/>
          <w:sz w:val="52"/>
          <w:szCs w:val="52"/>
          <w:lang w:eastAsia="zh-TW"/>
        </w:rPr>
      </w:pPr>
      <w:r>
        <w:rPr>
          <w:rFonts w:ascii="方正黑体_GBK" w:eastAsia="方正黑体_GBK" w:hint="eastAsia"/>
          <w:sz w:val="52"/>
          <w:szCs w:val="52"/>
          <w:lang w:eastAsia="zh-TW"/>
        </w:rPr>
        <w:t>目录</w:t>
      </w:r>
    </w:p>
    <w:p>
      <w:pPr>
        <w:pStyle w:val="79"/>
        <w:spacing w:line="576" w:lineRule="exact"/>
        <w:rPr>
          <w:rFonts w:ascii="宋体"/>
          <w:b/>
          <w:sz w:val="32"/>
          <w:szCs w:val="32"/>
        </w:rPr>
      </w:pPr>
      <w:r>
        <w:rPr>
          <w:rFonts w:ascii="方正黑体_GBK" w:hAnsi="方正黑体_GBK" w:hint="eastAsia"/>
          <w:b/>
          <w:sz w:val="32"/>
          <w:szCs w:val="32"/>
          <w:lang w:eastAsia="zh-TW"/>
        </w:rPr>
        <w:t>第一部分</w:t>
      </w:r>
      <w:r>
        <w:rPr>
          <w:rFonts w:ascii="方正黑体_GBK" w:hAnsi="方正黑体_GBK" w:hint="eastAsia"/>
          <w:b/>
          <w:sz w:val="32"/>
          <w:szCs w:val="32"/>
        </w:rPr>
        <w:t xml:space="preserve">  </w:t>
      </w:r>
      <w:r>
        <w:rPr>
          <w:rFonts w:ascii="方正黑体_GBK" w:hAnsi="方正黑体_GBK"/>
          <w:b/>
          <w:sz w:val="32"/>
          <w:szCs w:val="32"/>
        </w:rPr>
        <w:t>基本情况</w:t>
      </w:r>
    </w:p>
    <w:p>
      <w:pPr>
        <w:pStyle w:val="79"/>
        <w:spacing w:line="576" w:lineRule="exact"/>
        <w:rPr>
          <w:rFonts w:ascii="宋体"/>
          <w:sz w:val="32"/>
          <w:szCs w:val="32"/>
          <w:lang w:eastAsia="zh-TW"/>
        </w:rPr>
      </w:pPr>
      <w:r>
        <w:rPr>
          <w:rFonts w:ascii="宋体" w:hint="eastAsia"/>
          <w:sz w:val="32"/>
          <w:szCs w:val="32"/>
        </w:rPr>
        <w:t>一</w:t>
      </w:r>
      <w:r>
        <w:rPr>
          <w:rFonts w:ascii="宋体" w:hint="eastAsia"/>
          <w:sz w:val="32"/>
          <w:szCs w:val="32"/>
          <w:lang w:eastAsia="zh-TW"/>
        </w:rPr>
        <w:t>、部门职责</w:t>
      </w:r>
    </w:p>
    <w:p>
      <w:pPr>
        <w:pStyle w:val="79"/>
        <w:spacing w:line="576" w:lineRule="exact"/>
        <w:rPr>
          <w:rFonts w:ascii="宋体"/>
          <w:sz w:val="32"/>
          <w:szCs w:val="32"/>
        </w:rPr>
      </w:pPr>
      <w:r>
        <w:rPr>
          <w:rFonts w:ascii="宋体" w:hint="eastAsia"/>
          <w:sz w:val="32"/>
          <w:szCs w:val="32"/>
          <w:lang w:eastAsia="zh-TW"/>
        </w:rPr>
        <w:t>二、机构设置</w:t>
      </w:r>
    </w:p>
    <w:p>
      <w:pPr>
        <w:pStyle w:val="79"/>
        <w:spacing w:line="576" w:lineRule="exact"/>
        <w:rPr>
          <w:rFonts w:ascii="宋体"/>
          <w:b/>
          <w:sz w:val="32"/>
          <w:szCs w:val="32"/>
          <w:lang w:eastAsia="zh-TW"/>
        </w:rPr>
      </w:pPr>
      <w:r>
        <w:rPr>
          <w:rFonts w:ascii="方正黑体_GBK" w:hAnsi="方正黑体_GBK" w:hint="eastAsia"/>
          <w:b/>
          <w:sz w:val="32"/>
          <w:szCs w:val="32"/>
          <w:lang w:eastAsia="zh-TW"/>
        </w:rPr>
        <w:t>第二部分</w:t>
      </w:r>
      <w:r>
        <w:rPr>
          <w:rFonts w:ascii="方正黑体_GBK" w:hAnsi="方正黑体_GBK" w:hint="eastAsia"/>
          <w:b/>
          <w:sz w:val="32"/>
          <w:szCs w:val="32"/>
        </w:rPr>
        <w:t xml:space="preserve">  </w:t>
      </w:r>
      <w:r>
        <w:rPr>
          <w:rFonts w:ascii="方正黑体_GBK" w:hAnsi="方正黑体_GBK" w:hint="eastAsia"/>
          <w:b/>
          <w:sz w:val="32"/>
          <w:szCs w:val="32"/>
          <w:lang w:eastAsia="zh-TW"/>
        </w:rPr>
        <w:t>部门决算表</w:t>
      </w:r>
      <w:r>
        <w:rPr>
          <w:rFonts w:ascii="宋体" w:hint="eastAsia"/>
          <w:b/>
          <w:sz w:val="32"/>
          <w:szCs w:val="32"/>
          <w:lang w:eastAsia="zh-TW"/>
        </w:rPr>
        <w:tab/>
      </w:r>
    </w:p>
    <w:p>
      <w:pPr>
        <w:pStyle w:val="79"/>
        <w:spacing w:line="576" w:lineRule="exact"/>
        <w:rPr>
          <w:rFonts w:ascii="宋体"/>
          <w:sz w:val="32"/>
          <w:szCs w:val="32"/>
          <w:lang w:eastAsia="zh-TW"/>
        </w:rPr>
      </w:pPr>
      <w:r>
        <w:rPr>
          <w:rFonts w:ascii="宋体" w:hint="eastAsia"/>
          <w:sz w:val="32"/>
          <w:szCs w:val="32"/>
          <w:lang w:eastAsia="zh-TW"/>
        </w:rPr>
        <w:t>一、收入支出决算总表</w:t>
        <w:tab/>
      </w:r>
    </w:p>
    <w:p>
      <w:pPr>
        <w:pStyle w:val="79"/>
        <w:spacing w:line="576" w:lineRule="exact"/>
        <w:rPr>
          <w:rFonts w:ascii="宋体"/>
          <w:sz w:val="32"/>
          <w:szCs w:val="32"/>
          <w:lang w:eastAsia="zh-TW"/>
        </w:rPr>
      </w:pPr>
      <w:r>
        <w:rPr>
          <w:rFonts w:ascii="宋体" w:hint="eastAsia"/>
          <w:sz w:val="32"/>
          <w:szCs w:val="32"/>
          <w:lang w:eastAsia="zh-TW"/>
        </w:rPr>
        <w:t>二、收入决算表</w:t>
        <w:tab/>
      </w:r>
    </w:p>
    <w:p>
      <w:pPr>
        <w:pStyle w:val="79"/>
        <w:spacing w:line="576" w:lineRule="exact"/>
        <w:rPr>
          <w:rFonts w:ascii="宋体"/>
          <w:sz w:val="32"/>
          <w:szCs w:val="32"/>
          <w:lang w:eastAsia="zh-TW"/>
        </w:rPr>
      </w:pPr>
      <w:r>
        <w:rPr>
          <w:rFonts w:ascii="宋体" w:hint="eastAsia"/>
          <w:sz w:val="32"/>
          <w:szCs w:val="32"/>
          <w:lang w:eastAsia="zh-TW"/>
        </w:rPr>
        <w:t>三、支出决算表</w:t>
        <w:tab/>
      </w:r>
    </w:p>
    <w:p>
      <w:pPr>
        <w:pStyle w:val="79"/>
        <w:spacing w:line="576" w:lineRule="exact"/>
        <w:rPr>
          <w:rFonts w:ascii="宋体"/>
          <w:sz w:val="32"/>
          <w:szCs w:val="32"/>
          <w:lang w:eastAsia="zh-TW"/>
        </w:rPr>
      </w:pPr>
      <w:r>
        <w:rPr>
          <w:rFonts w:ascii="宋体" w:hint="eastAsia"/>
          <w:sz w:val="32"/>
          <w:szCs w:val="32"/>
          <w:lang w:eastAsia="zh-TW"/>
        </w:rPr>
        <w:t>四、财政拨款收入支出决算总表</w:t>
        <w:tab/>
      </w:r>
    </w:p>
    <w:p>
      <w:pPr>
        <w:pStyle w:val="79"/>
        <w:spacing w:line="576" w:lineRule="exact"/>
        <w:rPr>
          <w:rFonts w:ascii="宋体"/>
          <w:sz w:val="32"/>
          <w:szCs w:val="32"/>
        </w:rPr>
      </w:pPr>
      <w:r>
        <w:rPr>
          <w:rFonts w:ascii="宋体" w:hint="eastAsia"/>
          <w:sz w:val="32"/>
          <w:szCs w:val="32"/>
          <w:lang w:eastAsia="zh-TW"/>
        </w:rPr>
        <w:t>五、一般公共预算财政拨款支出决算表</w:t>
      </w:r>
    </w:p>
    <w:p>
      <w:pPr>
        <w:pStyle w:val="79"/>
        <w:spacing w:line="576" w:lineRule="exact"/>
        <w:rPr>
          <w:rFonts w:ascii="宋体"/>
          <w:sz w:val="32"/>
          <w:szCs w:val="32"/>
          <w:lang w:eastAsia="zh-TW"/>
        </w:rPr>
      </w:pPr>
      <w:r>
        <w:rPr>
          <w:rFonts w:ascii="宋体" w:hint="eastAsia"/>
          <w:sz w:val="32"/>
          <w:szCs w:val="32"/>
          <w:lang w:eastAsia="zh-TW"/>
        </w:rPr>
        <w:t>六、一般公共预算财政拨款基本支出决算明细表</w:t>
        <w:tab/>
      </w:r>
    </w:p>
    <w:p>
      <w:pPr>
        <w:pStyle w:val="79"/>
        <w:spacing w:line="576" w:lineRule="exact"/>
        <w:rPr>
          <w:rFonts w:ascii="宋体"/>
          <w:sz w:val="32"/>
          <w:szCs w:val="32"/>
        </w:rPr>
      </w:pPr>
      <w:r>
        <w:rPr>
          <w:rFonts w:ascii="宋体" w:hint="eastAsia"/>
          <w:sz w:val="32"/>
          <w:szCs w:val="32"/>
          <w:lang w:eastAsia="zh-TW"/>
        </w:rPr>
        <w:t>七、政府性基金预算财政拨款收入支出决算表</w:t>
      </w:r>
    </w:p>
    <w:p>
      <w:pPr>
        <w:pStyle w:val="79"/>
        <w:spacing w:line="576" w:lineRule="exact"/>
        <w:rPr>
          <w:rFonts w:ascii="宋体"/>
          <w:sz w:val="32"/>
          <w:szCs w:val="32"/>
          <w:lang w:eastAsia="zh-TW"/>
        </w:rPr>
      </w:pPr>
      <w:r>
        <w:rPr>
          <w:rFonts w:ascii="宋体" w:hint="eastAsia"/>
          <w:sz w:val="32"/>
          <w:szCs w:val="32"/>
          <w:lang w:eastAsia="zh-TW"/>
        </w:rPr>
        <w:t>八、</w:t>
        <w:tab/>
        <w:t>国有资本经营预算财政拨款支出决算表</w:t>
      </w:r>
    </w:p>
    <w:p>
      <w:pPr>
        <w:pStyle w:val="79"/>
        <w:spacing w:line="576" w:lineRule="exact"/>
        <w:rPr>
          <w:rFonts w:ascii="宋体"/>
          <w:sz w:val="32"/>
          <w:szCs w:val="32"/>
          <w:lang w:eastAsia="zh-TW"/>
        </w:rPr>
      </w:pPr>
      <w:r>
        <w:rPr>
          <w:rFonts w:ascii="宋体" w:hint="eastAsia"/>
          <w:sz w:val="32"/>
          <w:szCs w:val="32"/>
          <w:lang w:eastAsia="zh-TW"/>
        </w:rPr>
        <w:t>九、</w:t>
        <w:tab/>
        <w:t>一般公共预算财政拨款“三公”经费支出决算表</w:t>
      </w:r>
    </w:p>
    <w:p>
      <w:pPr>
        <w:pStyle w:val="79"/>
        <w:spacing w:line="576" w:lineRule="exact"/>
        <w:rPr>
          <w:rFonts w:ascii="方正黑体_GBK" w:hAnsi="方正黑体_GBK"/>
          <w:b/>
          <w:sz w:val="32"/>
          <w:szCs w:val="32"/>
          <w:lang w:eastAsia="zh-TW"/>
        </w:rPr>
      </w:pPr>
      <w:r>
        <w:rPr>
          <w:rFonts w:ascii="方正黑体_GBK" w:hAnsi="方正黑体_GBK" w:hint="eastAsia"/>
          <w:b/>
          <w:sz w:val="32"/>
          <w:szCs w:val="32"/>
          <w:lang w:eastAsia="zh-TW"/>
        </w:rPr>
        <w:t>第三部分</w:t>
      </w:r>
      <w:r>
        <w:rPr>
          <w:rFonts w:ascii="方正黑体_GBK" w:hAnsi="方正黑体_GBK" w:hint="eastAsia"/>
          <w:b/>
          <w:sz w:val="32"/>
          <w:szCs w:val="32"/>
        </w:rPr>
        <w:t xml:space="preserve">  </w:t>
      </w:r>
      <w:r>
        <w:rPr>
          <w:rFonts w:ascii="方正黑体_GBK" w:hAnsi="方正黑体_GBK" w:hint="eastAsia"/>
          <w:b/>
          <w:sz w:val="32"/>
          <w:szCs w:val="32"/>
          <w:lang w:eastAsia="zh-TW"/>
        </w:rPr>
        <w:t>部门决算情况说明</w:t>
      </w:r>
    </w:p>
    <w:p>
      <w:pPr>
        <w:pStyle w:val="79"/>
        <w:spacing w:line="576" w:lineRule="exact"/>
        <w:rPr>
          <w:rFonts w:ascii="宋体"/>
          <w:sz w:val="32"/>
          <w:szCs w:val="32"/>
          <w:lang w:eastAsia="zh-TW"/>
        </w:rPr>
      </w:pPr>
      <w:r>
        <w:rPr>
          <w:rFonts w:ascii="宋体" w:hint="eastAsia"/>
          <w:sz w:val="32"/>
          <w:szCs w:val="32"/>
          <w:lang w:eastAsia="zh-TW"/>
        </w:rPr>
        <w:t>一、收入支出决算总体情况说明</w:t>
        <w:tab/>
      </w:r>
    </w:p>
    <w:p>
      <w:pPr>
        <w:pStyle w:val="79"/>
        <w:spacing w:line="576" w:lineRule="exact"/>
        <w:rPr>
          <w:rFonts w:ascii="宋体"/>
          <w:sz w:val="32"/>
          <w:szCs w:val="32"/>
          <w:lang w:eastAsia="zh-TW"/>
        </w:rPr>
      </w:pPr>
      <w:r>
        <w:rPr>
          <w:rFonts w:ascii="宋体" w:hint="eastAsia"/>
          <w:sz w:val="32"/>
          <w:szCs w:val="32"/>
          <w:lang w:eastAsia="zh-TW"/>
        </w:rPr>
        <w:t>二、收入决算情况说明</w:t>
      </w:r>
    </w:p>
    <w:p>
      <w:pPr>
        <w:pStyle w:val="79"/>
        <w:spacing w:line="576" w:lineRule="exact"/>
        <w:rPr>
          <w:rFonts w:ascii="宋体"/>
          <w:sz w:val="32"/>
          <w:szCs w:val="32"/>
          <w:lang w:eastAsia="zh-TW"/>
        </w:rPr>
      </w:pPr>
      <w:r>
        <w:rPr>
          <w:rFonts w:ascii="宋体" w:hint="eastAsia"/>
          <w:sz w:val="32"/>
          <w:szCs w:val="32"/>
          <w:lang w:eastAsia="zh-TW"/>
        </w:rPr>
        <w:t>三、支出决算情况说明</w:t>
      </w:r>
    </w:p>
    <w:p>
      <w:pPr>
        <w:pStyle w:val="79"/>
        <w:spacing w:line="576" w:lineRule="exact"/>
        <w:rPr>
          <w:rFonts w:ascii="宋体"/>
          <w:sz w:val="32"/>
          <w:szCs w:val="32"/>
          <w:lang w:eastAsia="zh-TW"/>
        </w:rPr>
      </w:pPr>
      <w:r>
        <w:rPr>
          <w:rFonts w:ascii="宋体" w:hint="eastAsia"/>
          <w:sz w:val="32"/>
          <w:szCs w:val="32"/>
          <w:lang w:eastAsia="zh-TW"/>
        </w:rPr>
        <w:t>四、财政拨款收入支出决算总体情况说明</w:t>
      </w:r>
    </w:p>
    <w:p>
      <w:pPr>
        <w:pStyle w:val="79"/>
        <w:spacing w:line="576" w:lineRule="exact"/>
        <w:rPr>
          <w:rFonts w:ascii="宋体"/>
          <w:sz w:val="32"/>
          <w:szCs w:val="32"/>
          <w:lang w:eastAsia="zh-TW"/>
        </w:rPr>
      </w:pPr>
      <w:r>
        <w:rPr>
          <w:rFonts w:ascii="宋体" w:hint="eastAsia"/>
          <w:sz w:val="32"/>
          <w:szCs w:val="32"/>
          <w:lang w:eastAsia="zh-TW"/>
        </w:rPr>
        <w:t>五、一般公共预算财政拨款支出决算情况说明</w:t>
      </w:r>
    </w:p>
    <w:p>
      <w:pPr>
        <w:pStyle w:val="79"/>
        <w:spacing w:line="576" w:lineRule="exact"/>
        <w:rPr>
          <w:rFonts w:ascii="宋体"/>
          <w:sz w:val="32"/>
          <w:szCs w:val="32"/>
          <w:lang w:eastAsia="zh-TW"/>
        </w:rPr>
      </w:pPr>
      <w:r>
        <w:rPr>
          <w:rFonts w:ascii="宋体" w:hint="eastAsia"/>
          <w:sz w:val="32"/>
          <w:szCs w:val="32"/>
          <w:lang w:eastAsia="zh-TW"/>
        </w:rPr>
        <w:t>六、一般公共预算财政拨款基本支出决算情况说明</w:t>
      </w:r>
    </w:p>
    <w:p>
      <w:pPr>
        <w:pStyle w:val="79"/>
        <w:spacing w:line="576" w:lineRule="exact"/>
        <w:rPr>
          <w:rFonts w:ascii="宋体"/>
          <w:sz w:val="32"/>
          <w:szCs w:val="32"/>
        </w:rPr>
      </w:pPr>
      <w:r>
        <w:rPr>
          <w:rFonts w:ascii="宋体" w:hint="eastAsia"/>
          <w:sz w:val="32"/>
          <w:szCs w:val="32"/>
          <w:lang w:eastAsia="zh-TW"/>
        </w:rPr>
        <w:t>七、一般公共预算财政拨款“三公”经费支出决算情况说明</w:t>
      </w:r>
    </w:p>
    <w:p>
      <w:pPr>
        <w:pStyle w:val="79"/>
        <w:spacing w:line="576" w:lineRule="exact"/>
        <w:rPr>
          <w:rFonts w:ascii="宋体"/>
          <w:sz w:val="32"/>
          <w:szCs w:val="32"/>
        </w:rPr>
      </w:pPr>
      <w:r>
        <w:rPr>
          <w:rFonts w:ascii="宋体" w:hint="eastAsia"/>
          <w:sz w:val="32"/>
          <w:szCs w:val="32"/>
          <w:lang w:eastAsia="zh-TW"/>
        </w:rPr>
        <w:t>八、机关运行经费支出说明</w:t>
      </w:r>
    </w:p>
    <w:p>
      <w:pPr>
        <w:pStyle w:val="79"/>
        <w:spacing w:line="576" w:lineRule="exact"/>
        <w:rPr>
          <w:rFonts w:ascii="宋体"/>
          <w:sz w:val="32"/>
          <w:szCs w:val="32"/>
          <w:lang w:eastAsia="zh-TW"/>
        </w:rPr>
      </w:pPr>
      <w:r>
        <w:rPr>
          <w:rFonts w:ascii="宋体" w:hint="eastAsia"/>
          <w:sz w:val="32"/>
          <w:szCs w:val="32"/>
          <w:lang w:eastAsia="zh-TW"/>
        </w:rPr>
        <w:t>九、政府采购支出说明</w:t>
      </w:r>
    </w:p>
    <w:p>
      <w:pPr>
        <w:pStyle w:val="79"/>
        <w:spacing w:line="576" w:lineRule="exact"/>
        <w:rPr>
          <w:rFonts w:ascii="宋体"/>
          <w:sz w:val="32"/>
          <w:szCs w:val="32"/>
          <w:lang w:eastAsia="zh-TW"/>
        </w:rPr>
      </w:pPr>
      <w:r>
        <w:rPr>
          <w:rFonts w:ascii="宋体" w:hint="eastAsia"/>
          <w:sz w:val="32"/>
          <w:szCs w:val="32"/>
          <w:lang w:eastAsia="zh-TW"/>
        </w:rPr>
        <w:t>十、国有资产占用情况说明</w:t>
      </w:r>
    </w:p>
    <w:p>
      <w:pPr>
        <w:pStyle w:val="79"/>
        <w:spacing w:line="576" w:lineRule="exact"/>
        <w:rPr>
          <w:rFonts w:ascii="宋体"/>
          <w:sz w:val="32"/>
          <w:szCs w:val="32"/>
        </w:rPr>
      </w:pPr>
      <w:r>
        <w:rPr>
          <w:rFonts w:ascii="宋体" w:hint="eastAsia"/>
          <w:sz w:val="32"/>
          <w:szCs w:val="32"/>
          <w:lang w:eastAsia="zh-TW"/>
        </w:rPr>
        <w:t>十一、预算绩效情况说明</w:t>
      </w:r>
    </w:p>
    <w:p>
      <w:pPr>
        <w:pStyle w:val="79"/>
        <w:spacing w:line="576" w:lineRule="exact"/>
        <w:rPr>
          <w:rFonts w:ascii="宋体"/>
          <w:sz w:val="32"/>
          <w:szCs w:val="32"/>
          <w:lang w:eastAsia="zh-TW"/>
        </w:rPr>
        <w:sectPr>
          <w:pgSz w:w="11907" w:h="16840"/>
          <w:pgMar w:top="2098" w:right="1474" w:bottom="1985" w:left="1588" w:header="851" w:footer="992" w:gutter="0"/>
          <w:docGrid w:type="lines" w:linePitch="312" w:charSpace="-6553"/>
        </w:sectPr>
      </w:pPr>
      <w:r>
        <w:rPr>
          <w:rFonts w:ascii="方正黑体_GBK" w:hAnsi="方正黑体_GBK" w:hint="eastAsia"/>
          <w:b/>
          <w:sz w:val="32"/>
          <w:szCs w:val="32"/>
          <w:lang w:eastAsia="zh-TW"/>
        </w:rPr>
        <w:t>第四部分</w:t>
      </w:r>
      <w:r>
        <w:rPr>
          <w:rFonts w:ascii="方正黑体_GBK" w:hAnsi="方正黑体_GBK" w:hint="eastAsia"/>
          <w:b/>
          <w:sz w:val="32"/>
          <w:szCs w:val="32"/>
        </w:rPr>
        <w:t xml:space="preserve">  </w:t>
      </w:r>
      <w:r>
        <w:rPr>
          <w:rFonts w:ascii="方正黑体_GBK" w:hAnsi="方正黑体_GBK"/>
          <w:b/>
          <w:sz w:val="32"/>
          <w:szCs w:val="32"/>
        </w:rPr>
        <w:t>专业</w:t>
      </w:r>
      <w:r>
        <w:rPr>
          <w:rFonts w:ascii="方正黑体_GBK" w:hAnsi="方正黑体_GBK" w:hint="eastAsia"/>
          <w:b/>
          <w:sz w:val="32"/>
          <w:szCs w:val="32"/>
          <w:lang w:eastAsia="zh-TW"/>
        </w:rPr>
        <w:t>名词</w:t>
      </w:r>
      <w:r>
        <w:rPr>
          <w:rFonts w:ascii="方正黑体_GBK" w:hAnsi="方正黑体_GBK"/>
          <w:b/>
          <w:sz w:val="32"/>
          <w:szCs w:val="32"/>
          <w:lang w:eastAsia="zh-TW"/>
        </w:rPr>
        <w:t>解释</w:t>
      </w:r>
    </w:p>
    <w:p>
      <w:pPr>
        <w:pStyle w:val="80"/>
        <w:spacing w:line="576" w:lineRule="exact"/>
        <w:ind w:left="0"/>
        <w:rPr>
          <w:rFonts w:ascii="方正黑体_GBK" w:eastAsia="方正黑体_GBK"/>
          <w:b/>
          <w:sz w:val="48"/>
          <w:szCs w:val="48"/>
          <w:lang w:eastAsia="zh-TW"/>
        </w:rPr>
      </w:pPr>
    </w:p>
    <w:p>
      <w:pPr>
        <w:pStyle w:val="80"/>
        <w:spacing w:line="576" w:lineRule="exact"/>
        <w:ind w:left="0"/>
        <w:rPr>
          <w:rFonts w:ascii="方正黑体_GBK" w:eastAsia="方正黑体_GBK"/>
          <w:b/>
          <w:sz w:val="48"/>
          <w:szCs w:val="48"/>
          <w:lang w:eastAsia="zh-TW"/>
        </w:rPr>
      </w:pPr>
    </w:p>
    <w:p>
      <w:pPr>
        <w:pStyle w:val="80"/>
        <w:spacing w:line="576" w:lineRule="exact"/>
        <w:ind w:left="0"/>
        <w:rPr>
          <w:rFonts w:ascii="方正黑体_GBK" w:eastAsia="方正黑体_GBK"/>
          <w:b/>
          <w:sz w:val="48"/>
          <w:szCs w:val="48"/>
          <w:lang w:eastAsia="zh-TW"/>
        </w:rPr>
      </w:pPr>
    </w:p>
    <w:p>
      <w:pPr>
        <w:pStyle w:val="80"/>
        <w:spacing w:line="576" w:lineRule="exact"/>
        <w:ind w:left="0"/>
        <w:rPr>
          <w:rFonts w:ascii="方正黑体_GBK" w:eastAsia="方正黑体_GBK"/>
          <w:b/>
          <w:sz w:val="48"/>
          <w:szCs w:val="48"/>
          <w:lang w:eastAsia="zh-TW"/>
        </w:rPr>
      </w:pPr>
    </w:p>
    <w:p>
      <w:pPr>
        <w:pStyle w:val="80"/>
        <w:spacing w:line="576" w:lineRule="exact"/>
        <w:ind w:left="0"/>
        <w:rPr>
          <w:rFonts w:ascii="方正黑体_GBK" w:eastAsia="方正黑体_GBK"/>
          <w:b/>
          <w:sz w:val="48"/>
          <w:szCs w:val="48"/>
          <w:lang w:eastAsia="zh-TW"/>
        </w:rPr>
      </w:pPr>
    </w:p>
    <w:p>
      <w:pPr>
        <w:pStyle w:val="80"/>
        <w:spacing w:line="576" w:lineRule="exact"/>
        <w:ind w:left="0"/>
        <w:rPr>
          <w:rFonts w:ascii="方正黑体_GBK" w:eastAsia="方正黑体_GBK"/>
          <w:b/>
          <w:sz w:val="48"/>
          <w:szCs w:val="48"/>
          <w:lang w:eastAsia="zh-TW"/>
        </w:rPr>
      </w:pPr>
    </w:p>
    <w:p>
      <w:pPr>
        <w:pStyle w:val="80"/>
        <w:spacing w:line="576" w:lineRule="exact"/>
        <w:ind w:left="0"/>
        <w:rPr>
          <w:rFonts w:ascii="方正黑体_GBK" w:eastAsia="方正黑体_GBK"/>
          <w:b/>
          <w:sz w:val="48"/>
          <w:szCs w:val="48"/>
          <w:lang w:eastAsia="zh-TW"/>
        </w:rPr>
      </w:pPr>
    </w:p>
    <w:p>
      <w:pPr>
        <w:pStyle w:val="80"/>
        <w:spacing w:line="576" w:lineRule="exact"/>
        <w:ind w:left="0"/>
        <w:rPr>
          <w:rFonts w:ascii="方正黑体_GBK" w:eastAsia="方正黑体_GBK"/>
          <w:b/>
          <w:sz w:val="48"/>
          <w:szCs w:val="48"/>
          <w:lang w:eastAsia="zh-TW"/>
        </w:rPr>
      </w:pPr>
    </w:p>
    <w:p>
      <w:pPr>
        <w:pStyle w:val="80"/>
        <w:spacing w:line="576" w:lineRule="exact"/>
        <w:ind w:left="0"/>
        <w:rPr>
          <w:rFonts w:ascii="方正黑体_GBK" w:eastAsia="方正黑体_GBK"/>
          <w:b/>
          <w:sz w:val="48"/>
          <w:szCs w:val="48"/>
          <w:lang w:eastAsia="zh-TW"/>
        </w:rPr>
      </w:pPr>
    </w:p>
    <w:p>
      <w:pPr>
        <w:pStyle w:val="80"/>
        <w:spacing w:line="576" w:lineRule="exact"/>
        <w:ind w:left="0"/>
        <w:jc w:val="center"/>
        <w:rPr>
          <w:rFonts w:ascii="方正黑体_GBK" w:eastAsia="方正黑体_GBK" w:hint="eastAsia"/>
          <w:b/>
          <w:sz w:val="48"/>
          <w:szCs w:val="48"/>
        </w:rPr>
      </w:pPr>
      <w:r>
        <w:rPr>
          <w:rFonts w:ascii="方正黑体_GBK" w:eastAsia="方正黑体_GBK" w:hint="eastAsia"/>
          <w:b/>
          <w:sz w:val="48"/>
          <w:szCs w:val="48"/>
          <w:lang w:eastAsia="zh-TW"/>
        </w:rPr>
        <w:t>第一部分</w:t>
      </w:r>
      <w:r>
        <w:rPr>
          <w:rFonts w:ascii="方正黑体_GBK" w:eastAsia="方正黑体_GBK" w:hint="eastAsia"/>
          <w:b/>
          <w:sz w:val="48"/>
          <w:szCs w:val="48"/>
        </w:rPr>
        <w:t xml:space="preserve">  基本情况</w:t>
      </w: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outlineLvl w:val="2"/>
        <w:rPr>
          <w:rStyle w:val="20"/>
          <w:rFonts w:ascii="方正黑体_GBK" w:eastAsia="方正黑体_GBK" w:cs="Times New Roman"/>
          <w:b w:val="0"/>
          <w:i w:val="0"/>
          <w:iCs w:val="0"/>
          <w:caps w:val="0"/>
          <w:smallCaps w:val="0"/>
          <w:vanish w:val="0"/>
          <w:color w:val="303133"/>
          <w:spacing w:val="0"/>
          <w:sz w:val="32"/>
          <w:szCs w:val="32"/>
        </w:rPr>
      </w:pP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Fonts w:ascii="方正黑体_GBK" w:eastAsia="方正黑体_GBK" w:cs="Times New Roman" w:hint="eastAsia"/>
          <w:b w:val="0"/>
          <w:i w:val="0"/>
          <w:iCs w:val="0"/>
          <w:caps w:val="0"/>
          <w:smallCaps w:val="0"/>
          <w:vanish w:val="0"/>
          <w:color w:val="303133"/>
          <w:spacing w:val="0"/>
          <w:sz w:val="32"/>
          <w:szCs w:val="32"/>
        </w:rPr>
      </w:pPr>
      <w:r>
        <w:rPr>
          <w:rStyle w:val="20"/>
          <w:rFonts w:ascii="方正黑体_GBK" w:eastAsia="方正黑体_GBK" w:cs="Times New Roman" w:hint="eastAsia"/>
          <w:b w:val="0"/>
          <w:i w:val="0"/>
          <w:iCs w:val="0"/>
          <w:caps w:val="0"/>
          <w:smallCaps w:val="0"/>
          <w:vanish w:val="0"/>
          <w:color w:val="303133"/>
          <w:spacing w:val="0"/>
          <w:sz w:val="32"/>
          <w:szCs w:val="32"/>
        </w:rPr>
        <w:t>一、部门职责</w:t>
      </w:r>
    </w:p>
    <w:p>
      <w:pPr>
        <w:pStyle w:val="25"/>
        <w:spacing w:line="576" w:lineRule="exact"/>
        <w:ind w:firstLineChars="200" w:firstLine="640"/>
        <w:rPr>
          <w:rFonts w:eastAsia="方正仿宋_GBK"/>
          <w:sz w:val="32"/>
          <w:szCs w:val="32"/>
        </w:rPr>
      </w:pPr>
      <w:r>
        <w:rPr>
          <w:rFonts w:eastAsia="方正仿宋_GBK"/>
          <w:sz w:val="32"/>
          <w:szCs w:val="32"/>
        </w:rPr>
        <w:t>拉萨海关是受海关总署直接领导，负责指定口岸及相关区域范围内海关工作运行管理、监督监控的正厅级直属海关，领导隶属海关。拉萨海关管辖范围为西藏自治区的各项海关管理工作，主要职责是：</w:t>
      </w:r>
    </w:p>
    <w:p>
      <w:pPr>
        <w:pStyle w:val="25"/>
        <w:spacing w:line="576" w:lineRule="exact"/>
        <w:ind w:firstLineChars="200" w:firstLine="640"/>
        <w:rPr>
          <w:rFonts w:eastAsia="方正仿宋_GBK"/>
          <w:sz w:val="32"/>
          <w:szCs w:val="32"/>
        </w:rPr>
      </w:pPr>
      <w:r>
        <w:rPr>
          <w:rFonts w:eastAsia="方正仿宋_GBK"/>
          <w:sz w:val="32"/>
          <w:szCs w:val="32"/>
        </w:rPr>
        <w:t>（一）负责本关区贯彻落实党中央、国务院关于海关工作的方针政策和决策部署，在履行职责过程中坚持和加强党对海关工作的集中统一领导，履行全面从严治党责任。</w:t>
      </w:r>
    </w:p>
    <w:p>
      <w:pPr>
        <w:pStyle w:val="25"/>
        <w:spacing w:line="576" w:lineRule="exact"/>
        <w:ind w:firstLineChars="200" w:firstLine="640"/>
        <w:rPr>
          <w:rFonts w:eastAsia="方正仿宋_GBK"/>
          <w:sz w:val="32"/>
          <w:szCs w:val="32"/>
        </w:rPr>
      </w:pPr>
      <w:r>
        <w:rPr>
          <w:rFonts w:eastAsia="方正仿宋_GBK"/>
          <w:sz w:val="32"/>
          <w:szCs w:val="32"/>
        </w:rPr>
        <w:t>（二）负责贯彻执行与海关管理相关的法律、法规、规章、规范性文件和相关技术规范，负责本关区征税、监管、缉私、出入境检验检疫、统计等工作。</w:t>
      </w:r>
    </w:p>
    <w:p>
      <w:pPr>
        <w:pStyle w:val="25"/>
        <w:spacing w:line="576" w:lineRule="exact"/>
        <w:ind w:firstLineChars="200" w:firstLine="640"/>
        <w:rPr>
          <w:rFonts w:eastAsia="方正仿宋_GBK"/>
          <w:sz w:val="32"/>
          <w:szCs w:val="32"/>
        </w:rPr>
      </w:pPr>
      <w:r>
        <w:rPr>
          <w:rFonts w:eastAsia="方正仿宋_GBK"/>
          <w:sz w:val="32"/>
          <w:szCs w:val="32"/>
        </w:rPr>
        <w:t>（三）监控研判本关区各类执法风险、管理风险和廉政风险并组织防范和化解，负责本关区基层党组织建设、队伍建设和日常管理工作。</w:t>
      </w:r>
    </w:p>
    <w:p>
      <w:pPr>
        <w:pStyle w:val="25"/>
        <w:spacing w:line="576" w:lineRule="exact"/>
        <w:ind w:firstLineChars="200" w:firstLine="640"/>
        <w:rPr>
          <w:color w:val="000080"/>
          <w:sz w:val="18"/>
          <w:szCs w:val="18"/>
        </w:rPr>
      </w:pPr>
      <w:r>
        <w:rPr>
          <w:rFonts w:eastAsia="方正仿宋_GBK"/>
          <w:sz w:val="32"/>
          <w:szCs w:val="32"/>
        </w:rPr>
        <w:t>（四）完成海关总署交办的其他工作。</w:t>
      </w:r>
    </w:p>
    <w:p>
      <w:pPr>
        <w:pStyle w:val="3"/>
        <w:shd w:val="clear" w:color="auto" w:fill="FFFFFF"/>
        <w:spacing w:before="0" w:beforeAutospacing="0" w:after="0" w:afterAutospacing="0" w:line="576" w:lineRule="exact"/>
        <w:ind w:firstLineChars="200" w:firstLine="640"/>
        <w:rPr>
          <w:rStyle w:val="20"/>
          <w:rFonts w:ascii="方正黑体_GBK" w:eastAsia="方正黑体_GBK" w:hint="eastAsia"/>
          <w:b w:val="0"/>
          <w:color w:val="303133"/>
          <w:sz w:val="32"/>
          <w:szCs w:val="32"/>
        </w:rPr>
      </w:pPr>
      <w:r>
        <w:rPr>
          <w:rStyle w:val="20"/>
          <w:rFonts w:ascii="方正黑体_GBK" w:eastAsia="方正黑体_GBK" w:hint="eastAsia"/>
          <w:b w:val="0"/>
          <w:color w:val="303133"/>
          <w:sz w:val="32"/>
          <w:szCs w:val="32"/>
        </w:rPr>
        <w:t>二、机构设置</w:t>
      </w:r>
    </w:p>
    <w:p>
      <w:pPr>
        <w:pStyle w:val="51"/>
        <w:shd w:val="clear" w:color="auto" w:fill="FFFFFF"/>
        <w:snapToGrid w:val="0"/>
        <w:spacing w:line="576" w:lineRule="exact"/>
        <w:ind w:firstLineChars="200" w:firstLine="640"/>
        <w:rPr>
          <w:rFonts w:eastAsia="方正仿宋_GBK"/>
          <w:sz w:val="32"/>
          <w:szCs w:val="32"/>
        </w:rPr>
      </w:pPr>
      <w:r>
        <w:rPr>
          <w:rFonts w:eastAsia="方正仿宋_GBK"/>
          <w:sz w:val="32"/>
          <w:szCs w:val="32"/>
        </w:rPr>
        <w:t>拉萨海关设下列正处级内设机构，分别是：办公室（党委办公室）、法规处、综合业务一处、综合业务二处、卫生检疫处、动植物和食品检验检疫处、口岸监管处、企业管理和稽查处、财务处、科技处、督察内审处、人事教育处（党委组织部）、缉私局。</w:t>
      </w:r>
    </w:p>
    <w:p>
      <w:pPr>
        <w:pStyle w:val="51"/>
        <w:shd w:val="clear" w:color="auto" w:fill="FFFFFF"/>
        <w:snapToGrid w:val="0"/>
        <w:spacing w:line="576" w:lineRule="exact"/>
        <w:ind w:firstLineChars="200" w:firstLine="640"/>
        <w:rPr>
          <w:rFonts w:eastAsia="方正仿宋_GBK"/>
          <w:sz w:val="32"/>
          <w:szCs w:val="32"/>
        </w:rPr>
      </w:pPr>
      <w:r>
        <w:rPr>
          <w:rFonts w:eastAsia="方正仿宋_GBK"/>
          <w:sz w:val="32"/>
          <w:szCs w:val="32"/>
        </w:rPr>
        <w:t>另设立机关党委（思想政治工作办公室、党委宣传部）、监察室（党委纪检组）、离退休干部办公室</w:t>
      </w:r>
      <w:r>
        <w:rPr>
          <w:rFonts w:eastAsia="方正仿宋_GBK"/>
          <w:sz w:val="32"/>
          <w:szCs w:val="32"/>
          <w:lang w:bidi="ar-SA"/>
        </w:rPr>
        <w:t>等</w:t>
      </w:r>
      <w:r>
        <w:rPr>
          <w:rFonts w:eastAsia="方正仿宋_GBK"/>
          <w:sz w:val="32"/>
          <w:szCs w:val="32"/>
        </w:rPr>
        <w:t>正处级机构。</w:t>
      </w:r>
    </w:p>
    <w:p>
      <w:pPr>
        <w:pStyle w:val="51"/>
        <w:shd w:val="clear" w:color="auto" w:fill="FFFFFF"/>
        <w:snapToGrid w:val="0"/>
        <w:spacing w:line="576" w:lineRule="exact"/>
        <w:ind w:firstLineChars="200" w:firstLine="640"/>
        <w:rPr>
          <w:rFonts w:eastAsia="方正仿宋_GBK"/>
          <w:sz w:val="32"/>
          <w:szCs w:val="32"/>
        </w:rPr>
      </w:pPr>
      <w:r>
        <w:rPr>
          <w:rFonts w:eastAsia="方正仿宋_GBK"/>
          <w:sz w:val="32"/>
          <w:szCs w:val="32"/>
        </w:rPr>
        <w:t>拉萨海关政治部。承担干部管理、领导基层党组织建设、开展思想政治工作和文化建设、队伍建设等职责。政治部日常工作由人事教育处（党委组织部）、机关党委（思想政治工作办公室、党委宣传部）、监察室（党委纪检组）等承担。</w:t>
      </w:r>
    </w:p>
    <w:p>
      <w:pPr>
        <w:pStyle w:val="51"/>
        <w:shd w:val="clear" w:color="auto" w:fill="FFFFFF"/>
        <w:snapToGrid w:val="0"/>
        <w:spacing w:line="576" w:lineRule="exact"/>
        <w:ind w:firstLineChars="200" w:firstLine="640"/>
        <w:rPr>
          <w:rFonts w:eastAsia="方正仿宋_GBK"/>
          <w:sz w:val="32"/>
          <w:szCs w:val="32"/>
        </w:rPr>
      </w:pPr>
      <w:r>
        <w:rPr>
          <w:rFonts w:eastAsia="方正仿宋_GBK"/>
          <w:sz w:val="32"/>
          <w:szCs w:val="32"/>
        </w:rPr>
        <w:t>拉萨海关党委向隶属海关共派驻3个纪检组。</w:t>
      </w:r>
    </w:p>
    <w:p>
      <w:pPr>
        <w:pStyle w:val="51"/>
        <w:shd w:val="clear" w:color="auto" w:fill="FFFFFF"/>
        <w:snapToGrid w:val="0"/>
        <w:spacing w:line="576" w:lineRule="exact"/>
        <w:ind w:firstLineChars="200" w:firstLine="640"/>
        <w:rPr>
          <w:rFonts w:eastAsia="方正仿宋_GBK"/>
          <w:sz w:val="32"/>
          <w:szCs w:val="32"/>
        </w:rPr>
      </w:pPr>
      <w:r>
        <w:rPr>
          <w:rFonts w:eastAsia="方正仿宋_GBK"/>
          <w:sz w:val="32"/>
          <w:szCs w:val="32"/>
        </w:rPr>
        <w:t>隶属海关单位是受直属海关直接领导，按授权负责指定口岸和区域内海关各类管理工作的执行机构。主要负责党的基层组织建设和干部队伍建设；办理具体海关业务，反馈执法作业结果；完成直属海关交办的其他工作。拉萨海关下设正处级隶属海关单位10个，下设隶属事业单位4个：</w:t>
      </w:r>
    </w:p>
    <w:p>
      <w:pPr>
        <w:pStyle w:val="51"/>
        <w:autoSpaceDN w:val="0"/>
        <w:spacing w:line="576" w:lineRule="exact"/>
        <w:ind w:firstLineChars="200" w:firstLine="640"/>
        <w:rPr>
          <w:rFonts w:eastAsia="方正仿宋_GBK"/>
          <w:sz w:val="32"/>
          <w:szCs w:val="32"/>
        </w:rPr>
      </w:pPr>
      <w:r>
        <w:rPr>
          <w:rFonts w:eastAsia="方正仿宋_GBK"/>
          <w:sz w:val="32"/>
          <w:szCs w:val="32"/>
        </w:rPr>
        <w:t>拉萨贡嘎机场海关、八廓海关、聂拉木海关、吉隆海关、普兰海关、亚东海关、日喀则海关、狮泉河海关、林芝海关、拉萨海关风险防控分局，中国电子口岸数据中心拉萨分中心、中华人民共和国拉萨海关后勤管理中心、拉萨海关技术中心、西藏国际旅行卫生保健中心（拉萨海关口岸门诊部）。</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81"/>
        <w:gridCol w:w="2913"/>
        <w:gridCol w:w="581"/>
        <w:gridCol w:w="4453"/>
      </w:tblGrid>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50"/>
              <w:jc w:val="center"/>
              <w:rPr>
                <w:rFonts w:eastAsia="方正小标宋_GBK"/>
                <w:color w:val="000000"/>
                <w:sz w:val="18"/>
                <w:szCs w:val="18"/>
              </w:rPr>
            </w:pPr>
            <w:r>
              <w:rPr>
                <w:rFonts w:eastAsia="方正小标宋_GBK"/>
                <w:color w:val="000000"/>
                <w:sz w:val="18"/>
                <w:szCs w:val="18"/>
              </w:rPr>
              <w:t>序号</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49"/>
              <w:jc w:val="center"/>
              <w:rPr>
                <w:rFonts w:eastAsia="方正小标宋_GBK"/>
                <w:color w:val="000000"/>
                <w:sz w:val="18"/>
                <w:szCs w:val="18"/>
              </w:rPr>
            </w:pPr>
            <w:r>
              <w:rPr>
                <w:rFonts w:eastAsia="方正小标宋_GBK"/>
                <w:color w:val="000000"/>
                <w:sz w:val="18"/>
                <w:szCs w:val="18"/>
              </w:rPr>
              <w:t>单位</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48"/>
              <w:jc w:val="center"/>
              <w:rPr>
                <w:rFonts w:eastAsia="方正小标宋_GBK"/>
                <w:color w:val="000000"/>
                <w:sz w:val="18"/>
                <w:szCs w:val="18"/>
              </w:rPr>
            </w:pPr>
            <w:r>
              <w:rPr>
                <w:rFonts w:eastAsia="方正小标宋_GBK"/>
                <w:color w:val="000000"/>
                <w:sz w:val="18"/>
                <w:szCs w:val="18"/>
              </w:rPr>
              <w:t>序号</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47"/>
              <w:jc w:val="center"/>
              <w:rPr>
                <w:rFonts w:eastAsia="方正小标宋_GBK"/>
                <w:color w:val="000000"/>
                <w:sz w:val="18"/>
                <w:szCs w:val="18"/>
              </w:rPr>
            </w:pPr>
            <w:r>
              <w:rPr>
                <w:rFonts w:eastAsia="方正小标宋_GBK"/>
                <w:color w:val="000000"/>
                <w:sz w:val="18"/>
                <w:szCs w:val="18"/>
              </w:rPr>
              <w:t>单位</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46"/>
              <w:jc w:val="center"/>
              <w:rPr>
                <w:rFonts w:eastAsia="方正黑体_GBK"/>
                <w:color w:val="000000"/>
                <w:sz w:val="20"/>
                <w:szCs w:val="20"/>
              </w:rPr>
            </w:pPr>
            <w:r>
              <w:rPr>
                <w:rFonts w:eastAsia="方正黑体_GBK"/>
                <w:color w:val="000000"/>
                <w:sz w:val="20"/>
                <w:szCs w:val="20"/>
              </w:rPr>
              <w:t>1</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45"/>
              <w:jc w:val="center"/>
              <w:rPr>
                <w:color w:val="000000"/>
                <w:sz w:val="20"/>
                <w:szCs w:val="20"/>
              </w:rPr>
            </w:pPr>
            <w:r>
              <w:rPr>
                <w:color w:val="000000"/>
                <w:sz w:val="20"/>
                <w:szCs w:val="20"/>
              </w:rPr>
              <w:t>中华人民共和国拉萨海关本级</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44"/>
              <w:jc w:val="center"/>
              <w:rPr>
                <w:rFonts w:eastAsia="方正黑体_GBK"/>
                <w:color w:val="000000"/>
                <w:sz w:val="20"/>
                <w:szCs w:val="20"/>
              </w:rPr>
            </w:pPr>
            <w:r>
              <w:rPr>
                <w:rFonts w:eastAsia="方正黑体_GBK"/>
                <w:color w:val="000000"/>
                <w:sz w:val="20"/>
                <w:szCs w:val="20"/>
              </w:rPr>
              <w:t>6</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43"/>
              <w:jc w:val="center"/>
              <w:rPr>
                <w:color w:val="000000"/>
                <w:sz w:val="20"/>
                <w:szCs w:val="20"/>
              </w:rPr>
            </w:pPr>
            <w:r>
              <w:rPr>
                <w:color w:val="000000"/>
                <w:sz w:val="20"/>
                <w:szCs w:val="20"/>
              </w:rPr>
              <w:t>中华人民共和国拉萨海关后勤管理中心</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42"/>
              <w:jc w:val="center"/>
              <w:rPr>
                <w:rFonts w:eastAsia="方正黑体_GBK"/>
                <w:color w:val="000000"/>
                <w:sz w:val="20"/>
                <w:szCs w:val="20"/>
              </w:rPr>
            </w:pPr>
            <w:r>
              <w:rPr>
                <w:rFonts w:eastAsia="方正黑体_GBK"/>
                <w:color w:val="000000"/>
                <w:sz w:val="20"/>
                <w:szCs w:val="20"/>
              </w:rPr>
              <w:t>2</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41"/>
              <w:jc w:val="center"/>
              <w:rPr>
                <w:color w:val="000000"/>
                <w:sz w:val="20"/>
                <w:szCs w:val="20"/>
              </w:rPr>
            </w:pPr>
            <w:r>
              <w:rPr>
                <w:color w:val="000000"/>
                <w:sz w:val="20"/>
                <w:szCs w:val="20"/>
              </w:rPr>
              <w:t>中华人民共和国狮泉河海关</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40"/>
              <w:jc w:val="center"/>
              <w:rPr>
                <w:rFonts w:eastAsia="方正黑体_GBK"/>
                <w:color w:val="000000"/>
                <w:sz w:val="20"/>
                <w:szCs w:val="20"/>
              </w:rPr>
            </w:pPr>
            <w:r>
              <w:rPr>
                <w:rFonts w:eastAsia="方正黑体_GBK"/>
                <w:color w:val="000000"/>
                <w:sz w:val="20"/>
                <w:szCs w:val="20"/>
              </w:rPr>
              <w:t>7</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39"/>
              <w:jc w:val="center"/>
              <w:rPr>
                <w:color w:val="000000"/>
                <w:sz w:val="20"/>
                <w:szCs w:val="20"/>
              </w:rPr>
            </w:pPr>
            <w:r>
              <w:rPr>
                <w:color w:val="000000"/>
                <w:sz w:val="20"/>
                <w:szCs w:val="20"/>
              </w:rPr>
              <w:t>中华人民共和国吉隆海关</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38"/>
              <w:jc w:val="center"/>
              <w:rPr>
                <w:rFonts w:eastAsia="方正黑体_GBK"/>
                <w:color w:val="000000"/>
                <w:sz w:val="20"/>
                <w:szCs w:val="20"/>
              </w:rPr>
            </w:pPr>
            <w:r>
              <w:rPr>
                <w:rFonts w:eastAsia="方正黑体_GBK"/>
                <w:color w:val="000000"/>
                <w:sz w:val="20"/>
                <w:szCs w:val="20"/>
              </w:rPr>
              <w:t>3</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37"/>
              <w:jc w:val="center"/>
              <w:rPr>
                <w:color w:val="000000"/>
                <w:sz w:val="20"/>
                <w:szCs w:val="20"/>
              </w:rPr>
            </w:pPr>
            <w:r>
              <w:rPr>
                <w:color w:val="000000"/>
                <w:sz w:val="20"/>
                <w:szCs w:val="20"/>
              </w:rPr>
              <w:t>中华人民共和国日喀则海关</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36"/>
              <w:jc w:val="center"/>
              <w:rPr>
                <w:rFonts w:eastAsia="方正黑体_GBK"/>
                <w:color w:val="000000"/>
                <w:sz w:val="20"/>
                <w:szCs w:val="20"/>
              </w:rPr>
            </w:pPr>
            <w:r>
              <w:rPr>
                <w:rFonts w:eastAsia="方正黑体_GBK"/>
                <w:color w:val="000000"/>
                <w:sz w:val="20"/>
                <w:szCs w:val="20"/>
              </w:rPr>
              <w:t>8</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35"/>
              <w:jc w:val="center"/>
              <w:rPr>
                <w:color w:val="000000"/>
                <w:sz w:val="20"/>
                <w:szCs w:val="20"/>
              </w:rPr>
            </w:pPr>
            <w:r>
              <w:rPr>
                <w:color w:val="000000"/>
                <w:sz w:val="20"/>
                <w:szCs w:val="20"/>
              </w:rPr>
              <w:t>拉萨海关技术中心</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34"/>
              <w:jc w:val="center"/>
              <w:rPr>
                <w:rFonts w:eastAsia="方正黑体_GBK"/>
                <w:color w:val="000000"/>
                <w:sz w:val="20"/>
                <w:szCs w:val="20"/>
              </w:rPr>
            </w:pPr>
            <w:r>
              <w:rPr>
                <w:rFonts w:eastAsia="方正黑体_GBK"/>
                <w:color w:val="000000"/>
                <w:sz w:val="20"/>
                <w:szCs w:val="20"/>
              </w:rPr>
              <w:t>4</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33"/>
              <w:jc w:val="center"/>
              <w:rPr>
                <w:color w:val="000000"/>
                <w:sz w:val="20"/>
                <w:szCs w:val="20"/>
              </w:rPr>
            </w:pPr>
            <w:r>
              <w:rPr>
                <w:color w:val="000000"/>
                <w:sz w:val="20"/>
                <w:szCs w:val="20"/>
              </w:rPr>
              <w:t>中华人民共和国聂拉木海关</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32"/>
              <w:jc w:val="center"/>
              <w:rPr>
                <w:rFonts w:eastAsia="方正黑体_GBK"/>
                <w:color w:val="000000"/>
                <w:sz w:val="20"/>
                <w:szCs w:val="20"/>
              </w:rPr>
            </w:pPr>
            <w:r>
              <w:rPr>
                <w:rFonts w:eastAsia="方正黑体_GBK"/>
                <w:color w:val="000000"/>
                <w:sz w:val="20"/>
                <w:szCs w:val="20"/>
              </w:rPr>
              <w:t>9</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31"/>
              <w:jc w:val="center"/>
              <w:rPr>
                <w:color w:val="000000"/>
                <w:sz w:val="20"/>
                <w:szCs w:val="20"/>
              </w:rPr>
            </w:pPr>
            <w:r>
              <w:rPr>
                <w:color w:val="000000"/>
                <w:sz w:val="20"/>
                <w:szCs w:val="20"/>
              </w:rPr>
              <w:t>西藏国际旅行卫生保健中心（拉萨海关口岸门诊部）</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30"/>
              <w:jc w:val="center"/>
              <w:rPr>
                <w:rFonts w:eastAsia="方正黑体_GBK"/>
                <w:color w:val="000000"/>
                <w:sz w:val="20"/>
                <w:szCs w:val="20"/>
              </w:rPr>
            </w:pPr>
            <w:r>
              <w:rPr>
                <w:rFonts w:eastAsia="方正黑体_GBK"/>
                <w:color w:val="000000"/>
                <w:sz w:val="20"/>
                <w:szCs w:val="20"/>
              </w:rPr>
              <w:t>5</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29"/>
              <w:jc w:val="center"/>
              <w:rPr>
                <w:color w:val="000000"/>
                <w:sz w:val="20"/>
                <w:szCs w:val="20"/>
              </w:rPr>
            </w:pPr>
            <w:r>
              <w:rPr>
                <w:color w:val="000000"/>
                <w:sz w:val="20"/>
                <w:szCs w:val="20"/>
              </w:rPr>
              <w:t>中国电子口岸数据中心拉萨分中心</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8"/>
              <w:jc w:val="center"/>
              <w:rPr>
                <w:rFonts w:eastAsia="方正黑体_GBK"/>
                <w:color w:val="000000"/>
                <w:sz w:val="20"/>
                <w:szCs w:val="20"/>
              </w:rPr>
            </w:pPr>
            <w:r>
              <w:rPr>
                <w:rFonts w:eastAsia="方正黑体_GBK"/>
                <w:color w:val="000000"/>
                <w:sz w:val="20"/>
                <w:szCs w:val="20"/>
              </w:rPr>
              <w:t>10</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27"/>
              <w:jc w:val="center"/>
              <w:rPr>
                <w:color w:val="000000"/>
                <w:sz w:val="20"/>
                <w:szCs w:val="20"/>
              </w:rPr>
            </w:pPr>
          </w:p>
        </w:tc>
      </w:tr>
    </w:tbl>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jc w:val="center"/>
        <w:outlineLvl w:val="1"/>
        <w:rPr>
          <w:rStyle w:val="20"/>
          <w:rFonts w:ascii="方正黑体_GBK" w:eastAsia="方正黑体_GBK" w:cs="Times New Roman"/>
          <w:b/>
          <w:i w:val="0"/>
          <w:iCs w:val="0"/>
          <w:caps w:val="0"/>
          <w:smallCaps w:val="0"/>
          <w:vanish w:val="0"/>
          <w:color w:val="303133"/>
          <w:spacing w:val="0"/>
          <w:sz w:val="48"/>
          <w:szCs w:val="48"/>
        </w:rPr>
      </w:pPr>
    </w:p>
    <w:p>
      <w:pPr>
        <w:pStyle w:val="2"/>
        <w:pBdr>
          <w:top w:val="none" w:sz="0" w:space="0" w:color="auto"/>
          <w:left w:val="none" w:sz="0" w:space="0" w:color="auto"/>
          <w:bottom w:val="none" w:sz="0" w:space="0" w:color="auto"/>
          <w:right w:val="none" w:sz="0" w:space="0" w:color="auto"/>
        </w:pBdr>
        <w:shd w:val="clear" w:color="auto" w:fill="FFFFFF"/>
        <w:ind w:firstLine="0"/>
        <w:jc w:val="center"/>
        <w:outlineLvl w:val="1"/>
        <w:rPr>
          <w:rStyle w:val="20"/>
          <w:rFonts w:ascii="方正黑体_GBK" w:eastAsia="方正黑体_GBK" w:cs="Times New Roman"/>
          <w:b/>
          <w:i w:val="0"/>
          <w:iCs w:val="0"/>
          <w:caps w:val="0"/>
          <w:smallCaps w:val="0"/>
          <w:vanish w:val="0"/>
          <w:color w:val="303133"/>
          <w:spacing w:val="0"/>
          <w:sz w:val="48"/>
          <w:szCs w:val="48"/>
        </w:rPr>
      </w:pPr>
    </w:p>
    <w:p>
      <w:pPr>
        <w:pStyle w:val="2"/>
        <w:pBdr>
          <w:top w:val="none" w:sz="0" w:space="0" w:color="auto"/>
          <w:left w:val="none" w:sz="0" w:space="0" w:color="auto"/>
          <w:bottom w:val="none" w:sz="0" w:space="0" w:color="auto"/>
          <w:right w:val="none" w:sz="0" w:space="0" w:color="auto"/>
        </w:pBdr>
        <w:shd w:val="clear" w:color="auto" w:fill="FFFFFF"/>
        <w:ind w:firstLine="0"/>
        <w:jc w:val="both"/>
        <w:outlineLvl w:val="1"/>
        <w:rPr>
          <w:rStyle w:val="20"/>
          <w:rFonts w:ascii="方正黑体_GBK" w:eastAsia="方正黑体_GBK" w:cs="Times New Roman"/>
          <w:b/>
          <w:i w:val="0"/>
          <w:iCs w:val="0"/>
          <w:caps w:val="0"/>
          <w:smallCaps w:val="0"/>
          <w:vanish w:val="0"/>
          <w:color w:val="303133"/>
          <w:spacing w:val="0"/>
          <w:sz w:val="48"/>
          <w:szCs w:val="48"/>
        </w:rPr>
      </w:pPr>
    </w:p>
    <w:p>
      <w:pPr>
        <w:pStyle w:val="2"/>
        <w:pBdr>
          <w:top w:val="none" w:sz="0" w:space="0" w:color="auto"/>
          <w:left w:val="none" w:sz="0" w:space="0" w:color="auto"/>
          <w:bottom w:val="none" w:sz="0" w:space="0" w:color="auto"/>
          <w:right w:val="none" w:sz="0" w:space="0" w:color="auto"/>
        </w:pBdr>
        <w:shd w:val="clear" w:color="auto" w:fill="FFFFFF"/>
        <w:ind w:firstLine="0"/>
        <w:jc w:val="center"/>
        <w:outlineLvl w:val="1"/>
        <w:rPr>
          <w:rStyle w:val="20"/>
          <w:rFonts w:ascii="方正黑体_GBK" w:eastAsia="方正黑体_GBK" w:cs="Times New Roman"/>
          <w:b/>
          <w:i w:val="0"/>
          <w:iCs w:val="0"/>
          <w:caps w:val="0"/>
          <w:smallCaps w:val="0"/>
          <w:vanish w:val="0"/>
          <w:color w:val="303133"/>
          <w:spacing w:val="0"/>
          <w:sz w:val="48"/>
          <w:szCs w:val="48"/>
        </w:rPr>
      </w:pPr>
    </w:p>
    <w:p>
      <w:pPr>
        <w:pStyle w:val="2"/>
        <w:pBdr>
          <w:top w:val="none" w:sz="0" w:space="0" w:color="auto"/>
          <w:left w:val="none" w:sz="0" w:space="0" w:color="auto"/>
          <w:bottom w:val="none" w:sz="0" w:space="0" w:color="auto"/>
          <w:right w:val="none" w:sz="0" w:space="0" w:color="auto"/>
        </w:pBdr>
        <w:shd w:val="clear" w:color="auto" w:fill="FFFFFF"/>
        <w:ind w:firstLine="0"/>
        <w:jc w:val="center"/>
        <w:outlineLvl w:val="1"/>
        <w:rPr>
          <w:rStyle w:val="20"/>
          <w:rFonts w:ascii="方正黑体_GBK" w:eastAsia="方正黑体_GBK" w:cs="Times New Roman" w:hint="eastAsia"/>
          <w:b/>
          <w:i w:val="0"/>
          <w:iCs w:val="0"/>
          <w:caps w:val="0"/>
          <w:smallCaps w:val="0"/>
          <w:vanish w:val="0"/>
          <w:color w:val="303133"/>
          <w:spacing w:val="0"/>
          <w:sz w:val="48"/>
          <w:szCs w:val="48"/>
        </w:rPr>
      </w:pPr>
      <w:r>
        <w:rPr>
          <w:rStyle w:val="20"/>
          <w:rFonts w:ascii="方正黑体_GBK" w:eastAsia="方正黑体_GBK" w:cs="Times New Roman" w:hint="eastAsia"/>
          <w:b/>
          <w:i w:val="0"/>
          <w:iCs w:val="0"/>
          <w:caps w:val="0"/>
          <w:smallCaps w:val="0"/>
          <w:vanish w:val="0"/>
          <w:color w:val="303133"/>
          <w:spacing w:val="0"/>
          <w:sz w:val="48"/>
          <w:szCs w:val="48"/>
        </w:rPr>
        <w:t>第二部分 部门决算表</w:t>
      </w: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tbl>
      <w:tblPr>
        <w:jc w:val="left"/>
        <w:tblInd w:w="0" w:type="dxa"/>
        <w:tblW w:w="8954"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820"/>
        <w:gridCol w:w="494"/>
        <w:gridCol w:w="1245"/>
        <w:gridCol w:w="2691"/>
        <w:gridCol w:w="605"/>
        <w:gridCol w:w="1100"/>
      </w:tblGrid>
      <w:tr>
        <w:trPr>
          <w:trHeight w:val="497"/>
        </w:trPr>
        <w:tc>
          <w:tcPr>
            <w:tcW w:w="8954" w:type="dxa"/>
            <w:gridSpan w:val="6"/>
            <w:tcBorders>
              <w:top w:val="nil"/>
              <w:left w:val="nil"/>
              <w:bottom w:val="nil"/>
              <w:right w:val="nil"/>
              <w:tl2br w:val="nil"/>
              <w:tr2bl w:val="nil"/>
            </w:tcBorders>
            <w:noWrap/>
            <w:vAlign w:val="center"/>
          </w:tcPr>
          <w:p>
            <w:pPr>
              <w:jc w:val="center"/>
              <w:rPr>
                <w:rFonts w:eastAsia="宋体" w:cs="Times New Roman"/>
                <w:color w:val="000000"/>
                <w:sz w:val="44"/>
              </w:rPr>
            </w:pPr>
            <w:r>
              <w:rPr>
                <w:rFonts w:eastAsia="宋体" w:cs="Times New Roman"/>
                <w:color w:val="000000"/>
                <w:sz w:val="44"/>
              </w:rPr>
              <w:t>收入支出决算总表</w:t>
            </w:r>
          </w:p>
          <w:p>
            <w:pPr>
              <w:pStyle w:val="81"/>
              <w:ind w:left="360" w:hangingChars="200" w:hanging="360"/>
              <w:jc w:val="right"/>
              <w:rPr>
                <w:rFonts w:eastAsia="宋体"/>
                <w:color w:val="000000"/>
                <w:sz w:val="18"/>
                <w:szCs w:val="18"/>
              </w:rPr>
            </w:pPr>
            <w:r>
              <w:rPr>
                <w:rFonts w:eastAsia="宋体"/>
                <w:color w:val="000000"/>
                <w:sz w:val="18"/>
                <w:szCs w:val="18"/>
              </w:rPr>
              <w:t>公开01表</w:t>
            </w:r>
          </w:p>
          <w:p>
            <w:pPr>
              <w:jc w:val="center"/>
              <w:rPr>
                <w:rFonts w:eastAsia="宋体" w:cs="Times New Roman"/>
                <w:color w:val="000000"/>
                <w:sz w:val="44"/>
              </w:rPr>
            </w:pPr>
            <w:r>
              <w:rPr>
                <w:rFonts w:eastAsia="宋体"/>
                <w:color w:val="000000"/>
                <w:sz w:val="18"/>
                <w:szCs w:val="18"/>
              </w:rPr>
              <w:t>部门：中华人民共和国拉萨海关                                                            单位：万元</w:t>
            </w:r>
          </w:p>
        </w:tc>
      </w:tr>
      <w:tr>
        <w:tc>
          <w:tcPr>
            <w:tcW w:w="455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收入</w:t>
            </w:r>
          </w:p>
        </w:tc>
        <w:tc>
          <w:tcPr>
            <w:tcW w:w="4396"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支出</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项目</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行次</w:t>
            </w:r>
          </w:p>
        </w:tc>
        <w:tc>
          <w:tcPr>
            <w:tcW w:w="124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决算数</w:t>
            </w:r>
          </w:p>
        </w:tc>
        <w:tc>
          <w:tcPr>
            <w:tcW w:w="2691"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项目</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行次</w:t>
            </w:r>
          </w:p>
        </w:tc>
        <w:tc>
          <w:tcPr>
            <w:tcW w:w="1099"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决算数</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栏次</w:t>
            </w:r>
          </w:p>
        </w:tc>
        <w:tc>
          <w:tcPr>
            <w:tcW w:w="494"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p>
        </w:tc>
        <w:tc>
          <w:tcPr>
            <w:tcW w:w="124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w:t>
            </w:r>
          </w:p>
        </w:tc>
        <w:tc>
          <w:tcPr>
            <w:tcW w:w="2691"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栏次</w:t>
            </w:r>
          </w:p>
        </w:tc>
        <w:tc>
          <w:tcPr>
            <w:tcW w:w="605"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p>
        </w:tc>
        <w:tc>
          <w:tcPr>
            <w:tcW w:w="1099"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一、一般公共预算财政拨款收入</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25,222.02 </w:t>
            </w: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 xml:space="preserve"> 一、一般公共服务支出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32</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20,366.13 </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二、政府性基金预算财政拨款收入</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 xml:space="preserve"> 二、外交支出 </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33</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三、国有资本经营预算财政拨款收入</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三、国防支出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34</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四、上级补助收入</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四、公共安全支出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35</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1,777.46 </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五、事业收入</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1,228.48 </w:t>
            </w: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五、教育支出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36</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六、经营收入</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6</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六、科学技术支出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37</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七、附属单位上缴收入</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7</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七、文化旅游体育与传媒支出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38</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八、其他收入</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8</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685.47 </w:t>
            </w: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八、社会保障和就业支出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39</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2,285.21 </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9</w:t>
            </w:r>
          </w:p>
        </w:tc>
        <w:tc>
          <w:tcPr>
            <w:tcW w:w="1244" w:type="dxa"/>
            <w:tcBorders>
              <w:top w:val="nil"/>
              <w:left w:val="nil"/>
              <w:bottom w:val="single" w:sz="6" w:space="0" w:color="000000"/>
              <w:right w:val="single" w:sz="6" w:space="0" w:color="000000"/>
              <w:tl2br w:val="nil"/>
              <w:tr2bl w:val="nil"/>
            </w:tcBorders>
            <w:noWrap/>
            <w:vAlign w:val="center"/>
          </w:tcPr>
          <w:p>
            <w:pPr>
              <w:jc w:val="cente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九、卫生健康支出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40</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863.79 </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10</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十、节能环保支出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41</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11</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十一、城乡社区支出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42</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12</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十二、农林水支出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43</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13</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十三、交通运输支出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44</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14</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十四、资源勘探工业信息等支出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45</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15</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十五、商业服务业等支出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46</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16</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十六、金融支出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47</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17</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十七、援助其他地区支出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48</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18</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十八、自然资源海洋气象等支出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49</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19</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十九、住房保障支出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50</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2,117.98 </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20</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二十、粮油物资储备支出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51</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21</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二十一、国有资本经营预算支出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52</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22</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二十二、灾害防治及应急管理支出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53</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23</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二十三、其他支出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54</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24</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二十四、债务还本支出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55</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25</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二十五、债务付息支出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56</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26</w:t>
            </w:r>
          </w:p>
        </w:tc>
        <w:tc>
          <w:tcPr>
            <w:tcW w:w="1244" w:type="dxa"/>
            <w:tcBorders>
              <w:top w:val="nil"/>
              <w:left w:val="nil"/>
              <w:bottom w:val="single" w:sz="6" w:space="0" w:color="000000"/>
              <w:right w:val="single" w:sz="6" w:space="0" w:color="000000"/>
              <w:tl2br w:val="nil"/>
              <w:tr2bl w:val="nil"/>
            </w:tcBorders>
            <w:noWrap/>
            <w:vAlign w:val="center"/>
          </w:tcPr>
          <w:p>
            <w:pP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二十六、抗疫特别国债安排的支出</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57</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本年收入合计</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27</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27,135.97 </w:t>
            </w:r>
          </w:p>
        </w:tc>
        <w:tc>
          <w:tcPr>
            <w:tcW w:w="2691"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本年支出合计</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58</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27,410.57 </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使用非财政拨款结余（含专用结余）</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28</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200.36 </w:t>
            </w: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 xml:space="preserve"> 结余分配</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59</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359.08 </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 xml:space="preserve">年初结转和结余 </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29</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11,331.90 </w:t>
            </w: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r>
              <w:rPr>
                <w:rFonts w:eastAsia="宋体" w:cs="Times New Roman"/>
                <w:sz w:val="18"/>
                <w:szCs w:val="18"/>
              </w:rPr>
              <w:t xml:space="preserve"> 年末结转和结余 </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60</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10,898.59 </w:t>
            </w: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18"/>
                <w:szCs w:val="18"/>
              </w:rPr>
            </w:pP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30</w:t>
            </w:r>
          </w:p>
        </w:tc>
        <w:tc>
          <w:tcPr>
            <w:tcW w:w="1244" w:type="dxa"/>
            <w:tcBorders>
              <w:top w:val="nil"/>
              <w:left w:val="nil"/>
              <w:bottom w:val="single" w:sz="6" w:space="0" w:color="000000"/>
              <w:right w:val="single" w:sz="6" w:space="0" w:color="000000"/>
              <w:tl2br w:val="nil"/>
              <w:tr2bl w:val="nil"/>
            </w:tcBorders>
            <w:noWrap/>
            <w:vAlign w:val="center"/>
          </w:tcPr>
          <w:p>
            <w:pPr>
              <w:jc w:val="center"/>
              <w:rPr>
                <w:rFonts w:eastAsia="Arial" w:cs="Times New Roman"/>
                <w:sz w:val="18"/>
                <w:szCs w:val="18"/>
              </w:rPr>
            </w:pPr>
          </w:p>
        </w:tc>
        <w:tc>
          <w:tcPr>
            <w:tcW w:w="2691" w:type="dxa"/>
            <w:tcBorders>
              <w:top w:val="nil"/>
              <w:left w:val="nil"/>
              <w:bottom w:val="single" w:sz="6" w:space="0" w:color="000000"/>
              <w:right w:val="single" w:sz="6" w:space="0" w:color="000000"/>
              <w:tl2br w:val="nil"/>
              <w:tr2bl w:val="nil"/>
            </w:tcBorders>
            <w:noWrap/>
            <w:vAlign w:val="center"/>
          </w:tcPr>
          <w:p>
            <w:pPr>
              <w:rPr>
                <w:rFonts w:eastAsia="宋体" w:cs="Times New Roman"/>
                <w:sz w:val="18"/>
                <w:szCs w:val="18"/>
              </w:rPr>
            </w:pP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61</w:t>
            </w:r>
          </w:p>
        </w:tc>
        <w:tc>
          <w:tcPr>
            <w:tcW w:w="1099" w:type="dxa"/>
            <w:tcBorders>
              <w:top w:val="nil"/>
              <w:left w:val="nil"/>
              <w:bottom w:val="single" w:sz="6" w:space="0" w:color="000000"/>
              <w:right w:val="single" w:sz="6" w:space="0" w:color="000000"/>
              <w:tl2br w:val="nil"/>
              <w:tr2bl w:val="nil"/>
            </w:tcBorders>
            <w:noWrap/>
            <w:vAlign w:val="center"/>
          </w:tcPr>
          <w:p>
            <w:pPr>
              <w:jc w:val="center"/>
              <w:rPr>
                <w:rFonts w:eastAsia="Arial" w:cs="Times New Roman"/>
                <w:sz w:val="18"/>
                <w:szCs w:val="18"/>
              </w:rPr>
            </w:pPr>
          </w:p>
        </w:tc>
      </w:tr>
      <w:tr>
        <w:tc>
          <w:tcPr>
            <w:tcW w:w="2820" w:type="dxa"/>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总计</w:t>
            </w:r>
          </w:p>
        </w:tc>
        <w:tc>
          <w:tcPr>
            <w:tcW w:w="49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31</w:t>
            </w:r>
          </w:p>
        </w:tc>
        <w:tc>
          <w:tcPr>
            <w:tcW w:w="124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38,668.24 </w:t>
            </w:r>
          </w:p>
        </w:tc>
        <w:tc>
          <w:tcPr>
            <w:tcW w:w="2691"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sz w:val="18"/>
                <w:szCs w:val="18"/>
              </w:rPr>
            </w:pPr>
            <w:r>
              <w:rPr>
                <w:rFonts w:eastAsia="宋体" w:cs="Times New Roman"/>
                <w:sz w:val="18"/>
                <w:szCs w:val="18"/>
              </w:rPr>
              <w:t>总计</w:t>
            </w:r>
          </w:p>
        </w:tc>
        <w:tc>
          <w:tcPr>
            <w:tcW w:w="60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18"/>
                <w:szCs w:val="18"/>
              </w:rPr>
            </w:pPr>
            <w:r>
              <w:rPr>
                <w:rFonts w:eastAsia="宋体" w:cs="Times New Roman"/>
                <w:color w:val="000000"/>
                <w:sz w:val="18"/>
                <w:szCs w:val="18"/>
              </w:rPr>
              <w:t>62</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18"/>
                <w:szCs w:val="18"/>
              </w:rPr>
            </w:pPr>
            <w:r>
              <w:rPr>
                <w:rFonts w:eastAsia="Arial" w:cs="Times New Roman"/>
                <w:sz w:val="18"/>
                <w:szCs w:val="18"/>
              </w:rPr>
              <w:t xml:space="preserve">38,668.24 </w:t>
            </w:r>
          </w:p>
        </w:tc>
      </w:tr>
      <w:tr>
        <w:tc>
          <w:tcPr>
            <w:tcW w:w="8954" w:type="dxa"/>
            <w:gridSpan w:val="6"/>
            <w:tcBorders>
              <w:top w:val="nil"/>
              <w:left w:val="nil"/>
              <w:bottom w:val="nil"/>
              <w:right w:val="nil"/>
              <w:tl2br w:val="nil"/>
              <w:tr2bl w:val="nil"/>
            </w:tcBorders>
            <w:noWrap/>
            <w:vAlign w:val="center"/>
          </w:tcPr>
          <w:p>
            <w:pPr>
              <w:ind w:left="360" w:hangingChars="200" w:hanging="360"/>
              <w:rPr>
                <w:rFonts w:eastAsia="宋体" w:cs="Times New Roman"/>
                <w:color w:val="000000"/>
                <w:sz w:val="18"/>
                <w:szCs w:val="18"/>
              </w:rPr>
            </w:pPr>
            <w:r>
              <w:rPr>
                <w:rFonts w:eastAsia="宋体" w:cs="Times New Roman"/>
                <w:color w:val="000000"/>
                <w:sz w:val="18"/>
                <w:szCs w:val="18"/>
              </w:rPr>
              <w:t>注：1.本表反映部门本年度的总收支和年末结转结余情况。</w:t>
            </w:r>
          </w:p>
          <w:p>
            <w:pPr>
              <w:ind w:leftChars="136" w:left="435"/>
              <w:rPr>
                <w:rFonts w:eastAsia="宋体" w:cs="Times New Roman"/>
                <w:color w:val="000000"/>
                <w:sz w:val="18"/>
                <w:szCs w:val="18"/>
              </w:rPr>
            </w:pPr>
            <w:r>
              <w:rPr>
                <w:rFonts w:eastAsia="宋体" w:cs="Times New Roman"/>
                <w:color w:val="000000"/>
                <w:sz w:val="18"/>
                <w:szCs w:val="18"/>
              </w:rPr>
              <w:t>2.本套报表金额单位转换时可能存在尾数误差。</w:t>
            </w:r>
          </w:p>
        </w:tc>
      </w:tr>
    </w:tbl>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tbl>
      <w:tblPr>
        <w:jc w:val="left"/>
        <w:tblW w:w="909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54"/>
        <w:gridCol w:w="1935"/>
        <w:gridCol w:w="1256"/>
        <w:gridCol w:w="1256"/>
        <w:gridCol w:w="471"/>
        <w:gridCol w:w="1099"/>
        <w:gridCol w:w="471"/>
        <w:gridCol w:w="471"/>
        <w:gridCol w:w="1086"/>
      </w:tblGrid>
      <w:tr>
        <w:tc>
          <w:tcPr>
            <w:tcW w:w="9098" w:type="dxa"/>
            <w:gridSpan w:val="9"/>
            <w:tcBorders>
              <w:top w:val="nil"/>
              <w:left w:val="nil"/>
              <w:bottom w:val="nil"/>
              <w:right w:val="nil"/>
              <w:tl2br w:val="nil"/>
              <w:tr2bl w:val="nil"/>
            </w:tcBorders>
            <w:noWrap/>
            <w:vAlign w:val="center"/>
          </w:tcPr>
          <w:p>
            <w:pPr>
              <w:jc w:val="center"/>
              <w:rPr>
                <w:rFonts w:eastAsia="宋体" w:cs="Times New Roman"/>
                <w:color w:val="000000"/>
                <w:sz w:val="44"/>
              </w:rPr>
            </w:pPr>
          </w:p>
          <w:p>
            <w:pPr>
              <w:jc w:val="center"/>
              <w:rPr>
                <w:rFonts w:eastAsia="宋体" w:cs="Times New Roman"/>
                <w:color w:val="000000"/>
                <w:sz w:val="44"/>
              </w:rPr>
            </w:pPr>
            <w:r>
              <w:rPr>
                <w:rFonts w:eastAsia="宋体" w:cs="Times New Roman"/>
                <w:color w:val="000000"/>
                <w:sz w:val="44"/>
              </w:rPr>
              <w:t>收入决算表</w:t>
            </w:r>
          </w:p>
          <w:p>
            <w:pPr>
              <w:ind w:left="360" w:hangingChars="200" w:hanging="360"/>
              <w:jc w:val="right"/>
              <w:rPr>
                <w:rFonts w:eastAsia="宋体"/>
                <w:color w:val="000000"/>
                <w:sz w:val="18"/>
                <w:szCs w:val="18"/>
              </w:rPr>
            </w:pPr>
            <w:r>
              <w:rPr>
                <w:rFonts w:eastAsia="宋体"/>
                <w:color w:val="000000"/>
                <w:sz w:val="18"/>
                <w:szCs w:val="18"/>
              </w:rPr>
              <w:t>公开02表</w:t>
            </w:r>
          </w:p>
          <w:p>
            <w:pPr>
              <w:wordWrap w:val="0"/>
              <w:ind w:left="360" w:hangingChars="200" w:hanging="360"/>
              <w:jc w:val="right"/>
              <w:rPr>
                <w:rFonts w:eastAsia="宋体" w:cs="Times New Roman"/>
                <w:color w:val="000000"/>
                <w:sz w:val="44"/>
              </w:rPr>
            </w:pPr>
            <w:r>
              <w:rPr>
                <w:rFonts w:eastAsia="宋体"/>
                <w:color w:val="000000"/>
                <w:sz w:val="18"/>
                <w:szCs w:val="18"/>
              </w:rPr>
              <w:t>部门：中华人民共和国拉萨海关                                                             单位：万元</w:t>
            </w:r>
          </w:p>
        </w:tc>
      </w:tr>
      <w:tr>
        <w:tc>
          <w:tcPr>
            <w:tcW w:w="298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项目</w:t>
            </w:r>
          </w:p>
        </w:tc>
        <w:tc>
          <w:tcPr>
            <w:tcW w:w="125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本年收入合计</w:t>
            </w:r>
          </w:p>
        </w:tc>
        <w:tc>
          <w:tcPr>
            <w:tcW w:w="125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 xml:space="preserve">财政拨款收入 </w:t>
            </w:r>
          </w:p>
        </w:tc>
        <w:tc>
          <w:tcPr>
            <w:tcW w:w="471"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上级补助收入</w:t>
            </w:r>
          </w:p>
        </w:tc>
        <w:tc>
          <w:tcPr>
            <w:tcW w:w="1099"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事业收入</w:t>
            </w:r>
          </w:p>
        </w:tc>
        <w:tc>
          <w:tcPr>
            <w:tcW w:w="471"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经营收入</w:t>
            </w:r>
          </w:p>
        </w:tc>
        <w:tc>
          <w:tcPr>
            <w:tcW w:w="471"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附属单位上缴收入</w:t>
            </w:r>
          </w:p>
        </w:tc>
        <w:tc>
          <w:tcPr>
            <w:tcW w:w="1086" w:type="dxa"/>
            <w:vMerge w:val="restart"/>
            <w:tcBorders>
              <w:top w:val="single" w:sz="6" w:space="0" w:color="000000"/>
              <w:left w:val="nil"/>
              <w:bottom w:val="single" w:sz="6" w:space="0" w:color="000000"/>
              <w:right w:val="single" w:sz="6" w:space="0" w:color="000000"/>
              <w:tl2br w:val="nil"/>
              <w:tr2bl w:val="nil"/>
            </w:tcBorders>
            <w:noWrap/>
            <w:vAlign w:val="center"/>
          </w:tcPr>
          <w:p>
            <w:pPr>
              <w:pStyle w:val="22"/>
              <w:jc w:val="center"/>
              <w:rPr>
                <w:rFonts w:ascii="宋体" w:eastAsia="宋体" w:hint="eastAsia"/>
                <w:color w:val="000000"/>
                <w:sz w:val="21"/>
                <w:szCs w:val="21"/>
              </w:rPr>
            </w:pPr>
            <w:r>
              <w:rPr>
                <w:rFonts w:ascii="宋体" w:eastAsia="宋体" w:hint="eastAsia"/>
                <w:color w:val="000000"/>
                <w:sz w:val="21"/>
                <w:szCs w:val="21"/>
              </w:rPr>
              <w:t>其</w:t>
            </w:r>
            <w:bookmarkStart w:id="0" w:name="_GoBack"/>
            <w:bookmarkEnd w:id="0"/>
            <w:r>
              <w:rPr>
                <w:rFonts w:ascii="宋体" w:eastAsia="宋体" w:hint="eastAsia"/>
                <w:color w:val="000000"/>
                <w:sz w:val="21"/>
                <w:szCs w:val="21"/>
              </w:rPr>
              <w:t>他收入</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科目代码</w:t>
            </w:r>
          </w:p>
        </w:tc>
        <w:tc>
          <w:tcPr>
            <w:tcW w:w="1935" w:type="dxa"/>
            <w:tcBorders>
              <w:top w:val="nil"/>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科目名称</w:t>
            </w:r>
          </w:p>
        </w:tc>
        <w:tc>
          <w:tcPr>
            <w:tcW w:w="1334" w:type="dxa"/>
            <w:vMerge/>
            <w:tcBorders>
              <w:top w:val="nil"/>
              <w:left w:val="nil"/>
              <w:bottom w:val="single" w:sz="6" w:space="0" w:color="000000"/>
              <w:right w:val="single" w:sz="6" w:space="0" w:color="000000"/>
              <w:tl2br w:val="nil"/>
              <w:tr2bl w:val="nil"/>
            </w:tcBorders>
            <w:noWrap/>
            <w:vAlign w:val="center"/>
          </w:tcPr>
          <w:p/>
        </w:tc>
        <w:tc>
          <w:tcPr>
            <w:tcW w:w="1263" w:type="dxa"/>
            <w:vMerge/>
            <w:tcBorders>
              <w:top w:val="nil"/>
              <w:left w:val="nil"/>
              <w:bottom w:val="single" w:sz="6" w:space="0" w:color="000000"/>
              <w:right w:val="single" w:sz="6" w:space="0" w:color="000000"/>
              <w:tl2br w:val="nil"/>
              <w:tr2bl w:val="nil"/>
            </w:tcBorders>
            <w:noWrap/>
            <w:vAlign w:val="center"/>
          </w:tcPr>
          <w:p/>
        </w:tc>
        <w:tc>
          <w:tcPr>
            <w:tcW w:w="473" w:type="dxa"/>
            <w:vMerge/>
            <w:tcBorders>
              <w:top w:val="nil"/>
              <w:left w:val="nil"/>
              <w:bottom w:val="single" w:sz="6" w:space="0" w:color="000000"/>
              <w:right w:val="single" w:sz="6" w:space="0" w:color="000000"/>
              <w:tl2br w:val="nil"/>
              <w:tr2bl w:val="nil"/>
            </w:tcBorders>
            <w:noWrap/>
            <w:vAlign w:val="center"/>
          </w:tcPr>
          <w:p/>
        </w:tc>
        <w:tc>
          <w:tcPr>
            <w:tcW w:w="1105" w:type="dxa"/>
            <w:vMerge/>
            <w:tcBorders>
              <w:top w:val="nil"/>
              <w:left w:val="nil"/>
              <w:bottom w:val="single" w:sz="6" w:space="0" w:color="000000"/>
              <w:right w:val="single" w:sz="6" w:space="0" w:color="000000"/>
              <w:tl2br w:val="nil"/>
              <w:tr2bl w:val="nil"/>
            </w:tcBorders>
            <w:noWrap/>
            <w:vAlign w:val="center"/>
          </w:tcPr>
          <w:p/>
        </w:tc>
        <w:tc>
          <w:tcPr>
            <w:tcW w:w="474" w:type="dxa"/>
            <w:vMerge/>
            <w:tcBorders>
              <w:top w:val="nil"/>
              <w:left w:val="nil"/>
              <w:bottom w:val="single" w:sz="6" w:space="0" w:color="000000"/>
              <w:right w:val="single" w:sz="6" w:space="0" w:color="000000"/>
              <w:tl2br w:val="nil"/>
              <w:tr2bl w:val="nil"/>
            </w:tcBorders>
            <w:noWrap/>
            <w:vAlign w:val="center"/>
          </w:tcPr>
          <w:p/>
        </w:tc>
        <w:tc>
          <w:tcPr>
            <w:tcW w:w="478" w:type="dxa"/>
            <w:vMerge/>
            <w:tcBorders>
              <w:top w:val="nil"/>
              <w:left w:val="nil"/>
              <w:bottom w:val="single" w:sz="6" w:space="0" w:color="000000"/>
              <w:right w:val="single" w:sz="6" w:space="0" w:color="000000"/>
              <w:tl2br w:val="nil"/>
              <w:tr2bl w:val="nil"/>
            </w:tcBorders>
            <w:noWrap/>
            <w:vAlign w:val="center"/>
          </w:tcPr>
          <w:p/>
        </w:tc>
        <w:tc>
          <w:tcPr>
            <w:tcW w:w="1255" w:type="dxa"/>
            <w:vMerge/>
            <w:tcBorders>
              <w:top w:val="single" w:sz="6" w:space="0" w:color="000000"/>
              <w:left w:val="nil"/>
              <w:bottom w:val="single" w:sz="6" w:space="0" w:color="000000"/>
              <w:right w:val="single" w:sz="6" w:space="0" w:color="000000"/>
              <w:tl2br w:val="nil"/>
              <w:tr2bl w:val="nil"/>
            </w:tcBorders>
            <w:noWrap/>
            <w:vAlign w:val="center"/>
          </w:tcPr>
          <w:p/>
        </w:tc>
      </w:tr>
      <w:tr>
        <w:tc>
          <w:tcPr>
            <w:tcW w:w="2989"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栏次</w:t>
            </w:r>
          </w:p>
        </w:tc>
        <w:tc>
          <w:tcPr>
            <w:tcW w:w="1256" w:type="dxa"/>
            <w:tcBorders>
              <w:top w:val="nil"/>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1</w:t>
            </w:r>
          </w:p>
        </w:tc>
        <w:tc>
          <w:tcPr>
            <w:tcW w:w="1256" w:type="dxa"/>
            <w:tcBorders>
              <w:top w:val="nil"/>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2</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3</w:t>
            </w:r>
          </w:p>
        </w:tc>
        <w:tc>
          <w:tcPr>
            <w:tcW w:w="1099" w:type="dxa"/>
            <w:tcBorders>
              <w:top w:val="nil"/>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4</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5</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6</w:t>
            </w:r>
          </w:p>
        </w:tc>
        <w:tc>
          <w:tcPr>
            <w:tcW w:w="1086" w:type="dxa"/>
            <w:tcBorders>
              <w:top w:val="nil"/>
              <w:left w:val="nil"/>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7</w:t>
            </w:r>
          </w:p>
        </w:tc>
      </w:tr>
      <w:tr>
        <w:tc>
          <w:tcPr>
            <w:tcW w:w="2989"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hint="eastAsia"/>
                <w:color w:val="000000"/>
                <w:sz w:val="21"/>
                <w:szCs w:val="21"/>
              </w:rPr>
            </w:pPr>
            <w:r>
              <w:rPr>
                <w:rFonts w:ascii="宋体" w:eastAsia="宋体" w:hint="eastAsia"/>
                <w:color w:val="000000"/>
                <w:sz w:val="21"/>
                <w:szCs w:val="21"/>
              </w:rPr>
              <w:t>合计</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27,135.97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25,222.02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1,228.48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685.47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一般公共服务支出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20,386.49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18,473.98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1,228.48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684.03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海关事务</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20,386.49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18,473.98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1,228.48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684.03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2010901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行政运行</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14,828.53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14,805.55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22.98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2010902</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一般行政管理事务</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580.27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160.00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420.27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2010903</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机关服务</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1,100.92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443.00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641.92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16.00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2010905</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缉私办案</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501.00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281.00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220.00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2010907</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口岸管理</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39.20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39.20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2010908</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信息化建设</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347.00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347.00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2010909</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海关关务</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1,456.50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1,456.50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2010910</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关税征管</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5.00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5.00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2010911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海关监管</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83.87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83.87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2010912</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检验检疫</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188.56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188.56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2010950</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事业运行</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1,255.65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664.30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586.56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4.79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204</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公共安全支出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1,741.15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1,741.15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20410</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缉私警察</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1,741.15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1,741.15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2041001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行政运行</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1,404.58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1,404.58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2041006</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信息化建设</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109.00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109.00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2041007</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缉私业务</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227.57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227.57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208</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社会保障和就业支出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2,106.03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2,104.59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1.44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20801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人力资源和社会保障管理事务</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1.44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1.44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2080113</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政府特殊津贴</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1.44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1.44 </w:t>
            </w: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20805</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行政事业单位养老支出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2,104.59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2,104.59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2080501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行政单位离退休</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16.00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16.00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2080505</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机关事业单位基本养老保险缴费支出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1,139.06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1,139.06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2080506</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机关事业单位职业年金缴费支出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949.53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949.53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210</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卫生健康支出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693.67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693.67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21011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行政事业单位医疗</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693.67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693.67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2101101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行政单位医疗</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506.75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506.75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2101103</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公务员医疗补助</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139.00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139.00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2101199</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其他行政事业单位医疗支出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47.92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47.92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221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住房保障支出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2,208.63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2,208.63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22102</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住房改革支出</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2,208.63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2,208.63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2210201</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住房公积金</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1,655.19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1,655.19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1054" w:type="dxa"/>
            <w:tcBorders>
              <w:top w:val="nil"/>
              <w:left w:val="single" w:sz="6" w:space="0" w:color="000000"/>
              <w:bottom w:val="single" w:sz="6" w:space="0" w:color="000000"/>
              <w:right w:val="single" w:sz="6" w:space="0" w:color="000000"/>
              <w:tl2br w:val="nil"/>
              <w:tr2bl w:val="nil"/>
            </w:tcBorders>
            <w:noWrap/>
            <w:vAlign w:val="center"/>
          </w:tcPr>
          <w:p>
            <w:pPr>
              <w:rPr>
                <w:rFonts w:ascii="宋体" w:eastAsia="宋体" w:hint="eastAsia"/>
                <w:color w:val="000000"/>
                <w:sz w:val="21"/>
                <w:szCs w:val="21"/>
              </w:rPr>
            </w:pPr>
            <w:r>
              <w:rPr>
                <w:rFonts w:ascii="宋体" w:eastAsia="宋体" w:hint="eastAsia"/>
                <w:color w:val="000000"/>
                <w:sz w:val="21"/>
                <w:szCs w:val="21"/>
              </w:rPr>
              <w:t>2210203</w:t>
            </w:r>
          </w:p>
        </w:tc>
        <w:tc>
          <w:tcPr>
            <w:tcW w:w="1935" w:type="dxa"/>
            <w:tcBorders>
              <w:top w:val="nil"/>
              <w:left w:val="nil"/>
              <w:bottom w:val="single" w:sz="6" w:space="0" w:color="000000"/>
              <w:right w:val="single" w:sz="6" w:space="0" w:color="000000"/>
              <w:tl2br w:val="nil"/>
              <w:tr2bl w:val="nil"/>
            </w:tcBorders>
            <w:noWrap/>
            <w:vAlign w:val="center"/>
          </w:tcPr>
          <w:p>
            <w:pPr>
              <w:rPr>
                <w:rFonts w:ascii="宋体" w:eastAsia="宋体" w:hint="eastAsia"/>
                <w:sz w:val="21"/>
                <w:szCs w:val="21"/>
              </w:rPr>
            </w:pPr>
            <w:r>
              <w:rPr>
                <w:rFonts w:ascii="宋体" w:eastAsia="宋体" w:hint="eastAsia"/>
                <w:sz w:val="21"/>
                <w:szCs w:val="21"/>
              </w:rPr>
              <w:t xml:space="preserve">    购房补贴</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553.44 </w:t>
            </w:r>
          </w:p>
        </w:tc>
        <w:tc>
          <w:tcPr>
            <w:tcW w:w="125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r>
              <w:rPr>
                <w:rFonts w:ascii="宋体" w:eastAsia="宋体" w:hint="eastAsia"/>
                <w:sz w:val="21"/>
                <w:szCs w:val="21"/>
              </w:rPr>
              <w:t xml:space="preserve">553.44 </w:t>
            </w: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c>
          <w:tcPr>
            <w:tcW w:w="1086" w:type="dxa"/>
            <w:tcBorders>
              <w:top w:val="nil"/>
              <w:left w:val="nil"/>
              <w:bottom w:val="single" w:sz="6" w:space="0" w:color="000000"/>
              <w:right w:val="single" w:sz="6" w:space="0" w:color="000000"/>
              <w:tl2br w:val="nil"/>
              <w:tr2bl w:val="nil"/>
            </w:tcBorders>
            <w:noWrap/>
            <w:vAlign w:val="center"/>
          </w:tcPr>
          <w:p>
            <w:pPr>
              <w:jc w:val="right"/>
              <w:rPr>
                <w:rFonts w:ascii="宋体" w:eastAsia="宋体" w:hint="eastAsia"/>
                <w:sz w:val="21"/>
                <w:szCs w:val="21"/>
              </w:rPr>
            </w:pPr>
          </w:p>
        </w:tc>
      </w:tr>
      <w:tr>
        <w:tc>
          <w:tcPr>
            <w:tcW w:w="9098" w:type="dxa"/>
            <w:gridSpan w:val="9"/>
            <w:tcBorders>
              <w:top w:val="nil"/>
              <w:left w:val="nil"/>
              <w:bottom w:val="nil"/>
              <w:right w:val="nil"/>
              <w:tl2br w:val="nil"/>
              <w:tr2bl w:val="nil"/>
            </w:tcBorders>
            <w:noWrap/>
            <w:vAlign w:val="center"/>
          </w:tcPr>
          <w:p>
            <w:pPr>
              <w:rPr>
                <w:color w:val="000000"/>
                <w:sz w:val="21"/>
                <w:szCs w:val="21"/>
              </w:rPr>
            </w:pPr>
            <w:r>
              <w:rPr>
                <w:color w:val="000000"/>
                <w:sz w:val="21"/>
                <w:szCs w:val="21"/>
              </w:rPr>
              <w:t>注：本表反映部门本年度取得的各项收入情况。</w:t>
            </w:r>
          </w:p>
        </w:tc>
      </w:tr>
    </w:tbl>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tbl>
      <w:tblPr>
        <w:jc w:val="left"/>
        <w:tblInd w:w="0" w:type="dxa"/>
        <w:tblW w:w="5153"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119"/>
        <w:gridCol w:w="2340"/>
        <w:gridCol w:w="1255"/>
        <w:gridCol w:w="1098"/>
        <w:gridCol w:w="1341"/>
        <w:gridCol w:w="501"/>
        <w:gridCol w:w="667"/>
        <w:gridCol w:w="1018"/>
      </w:tblGrid>
      <w:tr>
        <w:trPr>
          <w:trHeight w:val="539"/>
        </w:trPr>
        <w:tc>
          <w:tcPr>
            <w:tcW w:w="5000" w:type="pct"/>
            <w:gridSpan w:val="8"/>
            <w:tcBorders>
              <w:top w:val="nil"/>
              <w:left w:val="nil"/>
              <w:bottom w:val="nil"/>
              <w:right w:val="nil"/>
              <w:tl2br w:val="nil"/>
              <w:tr2bl w:val="nil"/>
            </w:tcBorders>
            <w:noWrap/>
            <w:vAlign w:val="center"/>
          </w:tcPr>
          <w:p>
            <w:pPr>
              <w:jc w:val="center"/>
              <w:rPr>
                <w:rFonts w:eastAsia="宋体" w:cs="Times New Roman"/>
                <w:color w:val="000000"/>
                <w:sz w:val="44"/>
              </w:rPr>
            </w:pPr>
          </w:p>
          <w:p>
            <w:pPr>
              <w:jc w:val="center"/>
              <w:rPr>
                <w:rFonts w:eastAsia="宋体" w:cs="Times New Roman"/>
                <w:color w:val="000000"/>
                <w:sz w:val="44"/>
              </w:rPr>
            </w:pPr>
          </w:p>
          <w:p>
            <w:pPr>
              <w:jc w:val="center"/>
              <w:rPr>
                <w:rFonts w:eastAsia="宋体" w:cs="Times New Roman"/>
                <w:color w:val="000000"/>
                <w:sz w:val="44"/>
              </w:rPr>
            </w:pPr>
          </w:p>
          <w:p>
            <w:pPr>
              <w:jc w:val="center"/>
              <w:rPr>
                <w:rFonts w:eastAsia="宋体" w:cs="Times New Roman"/>
                <w:color w:val="000000"/>
                <w:sz w:val="44"/>
              </w:rPr>
            </w:pPr>
          </w:p>
          <w:p>
            <w:pPr>
              <w:pStyle w:val="82"/>
              <w:ind w:left="880" w:hangingChars="200" w:hanging="880"/>
              <w:jc w:val="center"/>
              <w:rPr>
                <w:rFonts w:eastAsia="宋体" w:cs="Times New Roman"/>
                <w:color w:val="000000"/>
                <w:sz w:val="44"/>
              </w:rPr>
            </w:pPr>
            <w:r>
              <w:rPr>
                <w:rFonts w:eastAsia="宋体" w:cs="Times New Roman"/>
                <w:color w:val="000000"/>
                <w:sz w:val="44"/>
              </w:rPr>
              <w:t>支出决算表</w:t>
            </w:r>
          </w:p>
          <w:p>
            <w:pPr>
              <w:pStyle w:val="82"/>
              <w:ind w:left="360" w:hangingChars="200" w:hanging="360"/>
              <w:jc w:val="right"/>
              <w:rPr>
                <w:rFonts w:eastAsia="宋体"/>
                <w:color w:val="000000"/>
                <w:sz w:val="18"/>
                <w:szCs w:val="18"/>
              </w:rPr>
            </w:pPr>
            <w:r>
              <w:rPr>
                <w:rFonts w:eastAsia="宋体"/>
                <w:color w:val="000000"/>
                <w:sz w:val="18"/>
                <w:szCs w:val="18"/>
              </w:rPr>
              <w:t>公开03表</w:t>
            </w:r>
          </w:p>
          <w:p>
            <w:pPr>
              <w:jc w:val="center"/>
              <w:rPr>
                <w:rFonts w:eastAsia="宋体" w:cs="Times New Roman"/>
                <w:color w:val="000000"/>
                <w:sz w:val="44"/>
              </w:rPr>
            </w:pPr>
            <w:r>
              <w:rPr>
                <w:rFonts w:eastAsia="宋体"/>
                <w:color w:val="000000"/>
                <w:sz w:val="18"/>
                <w:szCs w:val="18"/>
              </w:rPr>
              <w:t>部门：中华人民共和国拉萨海关                                                             单位：万元</w:t>
            </w:r>
          </w:p>
        </w:tc>
      </w:tr>
      <w:tr>
        <w:trPr>
          <w:trHeight w:val="284"/>
        </w:trPr>
        <w:tc>
          <w:tcPr>
            <w:tcW w:w="1852"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项目</w:t>
            </w:r>
          </w:p>
        </w:tc>
        <w:tc>
          <w:tcPr>
            <w:tcW w:w="672"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本年支出合计</w:t>
            </w:r>
          </w:p>
        </w:tc>
        <w:tc>
          <w:tcPr>
            <w:tcW w:w="588"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基本支出</w:t>
            </w:r>
          </w:p>
        </w:tc>
        <w:tc>
          <w:tcPr>
            <w:tcW w:w="718"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项目支出</w:t>
            </w:r>
          </w:p>
        </w:tc>
        <w:tc>
          <w:tcPr>
            <w:tcW w:w="268"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上缴上级支出</w:t>
            </w:r>
          </w:p>
        </w:tc>
        <w:tc>
          <w:tcPr>
            <w:tcW w:w="357"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经营支出</w:t>
            </w:r>
          </w:p>
        </w:tc>
        <w:tc>
          <w:tcPr>
            <w:tcW w:w="542" w:type="pct"/>
            <w:vMerge w:val="restart"/>
            <w:tcBorders>
              <w:top w:val="single" w:sz="6" w:space="0" w:color="000000"/>
              <w:left w:val="nil"/>
              <w:bottom w:val="single" w:sz="6" w:space="0" w:color="000000"/>
              <w:right w:val="single" w:sz="6" w:space="0" w:color="000000"/>
              <w:tl2br w:val="nil"/>
              <w:tr2bl w:val="nil"/>
            </w:tcBorders>
            <w:noWrap/>
            <w:vAlign w:val="center"/>
          </w:tcPr>
          <w:p>
            <w:pPr>
              <w:pStyle w:val="23"/>
              <w:jc w:val="center"/>
              <w:rPr>
                <w:rFonts w:eastAsia="宋体"/>
                <w:color w:val="000000"/>
                <w:sz w:val="21"/>
                <w:szCs w:val="21"/>
              </w:rPr>
            </w:pPr>
            <w:r>
              <w:rPr>
                <w:rFonts w:eastAsia="宋体"/>
                <w:color w:val="000000"/>
                <w:sz w:val="21"/>
                <w:szCs w:val="21"/>
              </w:rPr>
              <w:t>对附属单位补助支出</w:t>
            </w:r>
          </w:p>
        </w:tc>
      </w:tr>
      <w:tr>
        <w:trPr>
          <w:trHeight w:val="569"/>
        </w:trPr>
        <w:tc>
          <w:tcPr>
            <w:tcW w:w="599" w:type="pct"/>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科目代码</w:t>
            </w:r>
          </w:p>
        </w:tc>
        <w:tc>
          <w:tcPr>
            <w:tcW w:w="1252" w:type="pct"/>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科目名称</w:t>
            </w:r>
          </w:p>
        </w:tc>
        <w:tc>
          <w:tcPr>
            <w:tcW w:w="540" w:type="pct"/>
            <w:vMerge/>
            <w:tcBorders>
              <w:top w:val="nil"/>
              <w:left w:val="nil"/>
              <w:bottom w:val="single" w:sz="6" w:space="0" w:color="000000"/>
              <w:right w:val="single" w:sz="6" w:space="0" w:color="000000"/>
              <w:tl2br w:val="nil"/>
              <w:tr2bl w:val="nil"/>
            </w:tcBorders>
            <w:noWrap/>
            <w:vAlign w:val="center"/>
          </w:tcPr>
          <w:p/>
        </w:tc>
        <w:tc>
          <w:tcPr>
            <w:tcW w:w="540" w:type="pct"/>
            <w:vMerge/>
            <w:tcBorders>
              <w:top w:val="nil"/>
              <w:left w:val="nil"/>
              <w:bottom w:val="single" w:sz="6" w:space="0" w:color="000000"/>
              <w:right w:val="single" w:sz="6" w:space="0" w:color="000000"/>
              <w:tl2br w:val="nil"/>
              <w:tr2bl w:val="nil"/>
            </w:tcBorders>
            <w:noWrap/>
            <w:vAlign w:val="center"/>
          </w:tcPr>
          <w:p/>
        </w:tc>
        <w:tc>
          <w:tcPr>
            <w:tcW w:w="540" w:type="pct"/>
            <w:vMerge/>
            <w:tcBorders>
              <w:top w:val="nil"/>
              <w:left w:val="nil"/>
              <w:bottom w:val="single" w:sz="6" w:space="0" w:color="000000"/>
              <w:right w:val="single" w:sz="6" w:space="0" w:color="000000"/>
              <w:tl2br w:val="nil"/>
              <w:tr2bl w:val="nil"/>
            </w:tcBorders>
            <w:noWrap/>
            <w:vAlign w:val="center"/>
          </w:tcPr>
          <w:p/>
        </w:tc>
        <w:tc>
          <w:tcPr>
            <w:tcW w:w="540" w:type="pct"/>
            <w:vMerge/>
            <w:tcBorders>
              <w:top w:val="nil"/>
              <w:left w:val="nil"/>
              <w:bottom w:val="single" w:sz="6" w:space="0" w:color="000000"/>
              <w:right w:val="single" w:sz="6" w:space="0" w:color="000000"/>
              <w:tl2br w:val="nil"/>
              <w:tr2bl w:val="nil"/>
            </w:tcBorders>
            <w:noWrap/>
            <w:vAlign w:val="center"/>
          </w:tcPr>
          <w:p/>
        </w:tc>
        <w:tc>
          <w:tcPr>
            <w:tcW w:w="540" w:type="pct"/>
            <w:vMerge/>
            <w:tcBorders>
              <w:top w:val="nil"/>
              <w:left w:val="nil"/>
              <w:bottom w:val="single" w:sz="6" w:space="0" w:color="000000"/>
              <w:right w:val="single" w:sz="6" w:space="0" w:color="000000"/>
              <w:tl2br w:val="nil"/>
              <w:tr2bl w:val="nil"/>
            </w:tcBorders>
            <w:noWrap/>
            <w:vAlign w:val="center"/>
          </w:tcPr>
          <w:p/>
        </w:tc>
        <w:tc>
          <w:tcPr>
            <w:tcW w:w="676" w:type="pct"/>
            <w:vMerge/>
            <w:tcBorders>
              <w:top w:val="single" w:sz="6" w:space="0" w:color="000000"/>
              <w:left w:val="nil"/>
              <w:bottom w:val="single" w:sz="6" w:space="0" w:color="000000"/>
              <w:right w:val="single" w:sz="6" w:space="0" w:color="000000"/>
              <w:tl2br w:val="nil"/>
              <w:tr2bl w:val="nil"/>
            </w:tcBorders>
            <w:noWrap/>
            <w:vAlign w:val="center"/>
          </w:tcPr>
          <w:p/>
        </w:tc>
      </w:tr>
      <w:tr>
        <w:trPr>
          <w:trHeight w:val="284"/>
        </w:trPr>
        <w:tc>
          <w:tcPr>
            <w:tcW w:w="1852" w:type="pct"/>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栏次</w:t>
            </w:r>
          </w:p>
        </w:tc>
        <w:tc>
          <w:tcPr>
            <w:tcW w:w="672" w:type="pct"/>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w:t>
            </w:r>
          </w:p>
        </w:tc>
        <w:tc>
          <w:tcPr>
            <w:tcW w:w="588" w:type="pct"/>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w:t>
            </w:r>
          </w:p>
        </w:tc>
        <w:tc>
          <w:tcPr>
            <w:tcW w:w="718" w:type="pct"/>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w:t>
            </w:r>
          </w:p>
        </w:tc>
        <w:tc>
          <w:tcPr>
            <w:tcW w:w="268" w:type="pct"/>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w:t>
            </w:r>
          </w:p>
        </w:tc>
        <w:tc>
          <w:tcPr>
            <w:tcW w:w="357" w:type="pct"/>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w:t>
            </w:r>
          </w:p>
        </w:tc>
        <w:tc>
          <w:tcPr>
            <w:tcW w:w="542" w:type="pct"/>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6</w:t>
            </w:r>
          </w:p>
        </w:tc>
      </w:tr>
      <w:tr>
        <w:trPr>
          <w:trHeight w:val="284"/>
        </w:trPr>
        <w:tc>
          <w:tcPr>
            <w:tcW w:w="1852" w:type="pct"/>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合计</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27,410.57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21,995.03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5,415.53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一般公共服务支出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20,366.13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15,287.79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5,078.34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海关事务</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20,366.13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15,287.79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5,078.34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行政运行</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13,517.69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13,517.69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2010902</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一般行政管理事务</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582.97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582.97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2010903</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机关服务</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1,099.63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1,099.63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2010905</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缉私办案</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586.03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586.03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2010907</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口岸管理</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85.40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85.40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2010908</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信息化建设</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346.99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346.99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2010909</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海关关务</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2,745.73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2,745.73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2010910</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关税征管</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5.00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5.00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2010911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海关监管</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83.87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83.87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2010912</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检验检疫</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642.34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642.34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2010950</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事业运行</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670.47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670.47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公共安全支出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1,777.46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1,440.98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336.48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20410</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缉私警察</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1,777.46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1,440.98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336.48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2041001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行政运行</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1,440.98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1,440.98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2041006</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信息化建设</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108.91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108.91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2041007</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缉私业务</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227.57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227.57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社会保障和就业支出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2,285.21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2,284.49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0.72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人力资源和社会保障管理事务</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0.72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0.72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2080113</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政府特殊津贴</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0.72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0.72 </w:t>
            </w: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20805</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行政事业单位养老支出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2,284.49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2,284.49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2080501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行政单位离退休</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16.00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16.00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2080505</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机关事业单位基本养老保险缴费支出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1,515.50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1,515.50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2080506</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机关事业单位职业年金缴费支出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752.99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752.99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卫生健康支出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21011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行政事业单位医疗</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2101101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行政单位医疗</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676.87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676.87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2101103</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公务员医疗补助</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139.00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139.00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2101199</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其他行政事业单位医疗支出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47.92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47.92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221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住房保障支出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22102</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住房改革支出</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2210201</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住房公积金</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1,584.53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1,584.53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99" w:type="pct"/>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2210203</w:t>
            </w:r>
          </w:p>
        </w:tc>
        <w:tc>
          <w:tcPr>
            <w:tcW w:w="1252" w:type="pct"/>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购房补贴</w:t>
            </w:r>
          </w:p>
        </w:tc>
        <w:tc>
          <w:tcPr>
            <w:tcW w:w="67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533.44 </w:t>
            </w:r>
          </w:p>
        </w:tc>
        <w:tc>
          <w:tcPr>
            <w:tcW w:w="58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533.44 </w:t>
            </w:r>
          </w:p>
        </w:tc>
        <w:tc>
          <w:tcPr>
            <w:tcW w:w="71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268"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357"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542" w:type="pct"/>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trHeight w:val="284"/>
        </w:trPr>
        <w:tc>
          <w:tcPr>
            <w:tcW w:w="5000" w:type="pct"/>
            <w:gridSpan w:val="8"/>
            <w:tcBorders>
              <w:top w:val="nil"/>
              <w:left w:val="nil"/>
              <w:bottom w:val="nil"/>
              <w:right w:val="nil"/>
              <w:tl2br w:val="nil"/>
              <w:tr2bl w:val="nil"/>
            </w:tcBorders>
            <w:noWrap/>
            <w:vAlign w:val="center"/>
          </w:tcPr>
          <w:p>
            <w:pPr>
              <w:rPr>
                <w:rFonts w:eastAsia="宋体"/>
                <w:color w:val="000000"/>
                <w:sz w:val="21"/>
                <w:szCs w:val="21"/>
              </w:rPr>
            </w:pPr>
            <w:r>
              <w:rPr>
                <w:rFonts w:eastAsia="宋体"/>
                <w:color w:val="000000"/>
                <w:sz w:val="21"/>
                <w:szCs w:val="21"/>
              </w:rPr>
              <w:t>注：本表反映部门本年度各项支出情况。</w:t>
            </w:r>
          </w:p>
        </w:tc>
      </w:tr>
    </w:tbl>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tbl>
      <w:tblPr>
        <w:jc w:val="left"/>
        <w:tblInd w:w="-523" w:type="dxa"/>
        <w:tblW w:w="977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413"/>
        <w:gridCol w:w="471"/>
        <w:gridCol w:w="1099"/>
        <w:gridCol w:w="1569"/>
        <w:gridCol w:w="470"/>
        <w:gridCol w:w="1099"/>
        <w:gridCol w:w="1100"/>
        <w:gridCol w:w="764"/>
        <w:gridCol w:w="790"/>
      </w:tblGrid>
      <w:tr>
        <w:tc>
          <w:tcPr>
            <w:tcW w:w="9775" w:type="dxa"/>
            <w:gridSpan w:val="9"/>
            <w:tcBorders>
              <w:top w:val="nil"/>
              <w:left w:val="nil"/>
              <w:bottom w:val="nil"/>
              <w:right w:val="nil"/>
              <w:tl2br w:val="nil"/>
              <w:tr2bl w:val="nil"/>
            </w:tcBorders>
            <w:noWrap/>
            <w:vAlign w:val="center"/>
          </w:tcPr>
          <w:p>
            <w:pPr>
              <w:jc w:val="center"/>
              <w:rPr>
                <w:rFonts w:eastAsia="宋体" w:cs="Times New Roman"/>
                <w:color w:val="000000"/>
                <w:sz w:val="44"/>
              </w:rPr>
            </w:pPr>
          </w:p>
          <w:p>
            <w:pPr>
              <w:jc w:val="center"/>
              <w:rPr>
                <w:rFonts w:eastAsia="宋体" w:cs="Times New Roman"/>
                <w:color w:val="000000"/>
                <w:sz w:val="44"/>
              </w:rPr>
            </w:pPr>
          </w:p>
          <w:p>
            <w:pPr>
              <w:jc w:val="center"/>
              <w:rPr>
                <w:rFonts w:eastAsia="宋体" w:cs="Times New Roman"/>
                <w:color w:val="000000"/>
                <w:sz w:val="44"/>
              </w:rPr>
            </w:pPr>
          </w:p>
          <w:p>
            <w:pPr>
              <w:jc w:val="center"/>
              <w:rPr>
                <w:rFonts w:eastAsia="宋体" w:cs="Times New Roman"/>
                <w:color w:val="000000"/>
                <w:sz w:val="44"/>
              </w:rPr>
            </w:pPr>
          </w:p>
          <w:p>
            <w:pPr>
              <w:jc w:val="center"/>
              <w:rPr>
                <w:rFonts w:eastAsia="宋体" w:cs="Times New Roman"/>
                <w:color w:val="000000"/>
                <w:sz w:val="44"/>
              </w:rPr>
            </w:pPr>
            <w:r>
              <w:rPr>
                <w:rFonts w:eastAsia="宋体" w:cs="Times New Roman"/>
                <w:color w:val="000000"/>
                <w:sz w:val="44"/>
              </w:rPr>
              <w:t>财政拨款收入支出决算总表</w:t>
            </w:r>
          </w:p>
          <w:p>
            <w:pPr>
              <w:pStyle w:val="83"/>
              <w:ind w:left="360" w:hangingChars="200" w:hanging="360"/>
              <w:jc w:val="right"/>
              <w:rPr>
                <w:rFonts w:eastAsia="宋体"/>
                <w:color w:val="000000"/>
                <w:sz w:val="18"/>
                <w:szCs w:val="18"/>
              </w:rPr>
            </w:pPr>
            <w:r>
              <w:rPr>
                <w:rFonts w:eastAsia="宋体"/>
                <w:color w:val="000000"/>
                <w:sz w:val="18"/>
                <w:szCs w:val="18"/>
              </w:rPr>
              <w:t>公开04表</w:t>
            </w:r>
          </w:p>
          <w:p>
            <w:pPr>
              <w:jc w:val="center"/>
              <w:rPr>
                <w:rFonts w:eastAsia="宋体" w:cs="Times New Roman"/>
                <w:color w:val="000000"/>
                <w:sz w:val="44"/>
              </w:rPr>
            </w:pPr>
            <w:r>
              <w:rPr>
                <w:rFonts w:eastAsia="宋体"/>
                <w:color w:val="000000"/>
                <w:sz w:val="18"/>
                <w:szCs w:val="18"/>
              </w:rPr>
              <w:t>部门：中华人民共和国拉萨海关                                                                    单位：万元</w:t>
            </w:r>
          </w:p>
        </w:tc>
      </w:tr>
      <w:tr>
        <w:tc>
          <w:tcPr>
            <w:tcW w:w="3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收入</w:t>
            </w:r>
          </w:p>
        </w:tc>
        <w:tc>
          <w:tcPr>
            <w:tcW w:w="5792" w:type="dxa"/>
            <w:gridSpan w:val="6"/>
            <w:tcBorders>
              <w:top w:val="single" w:sz="6" w:space="0" w:color="000000"/>
              <w:left w:val="nil"/>
              <w:bottom w:val="single" w:sz="6" w:space="0" w:color="000000"/>
              <w:right w:val="nil"/>
              <w:tl2br w:val="nil"/>
              <w:tr2bl w:val="nil"/>
            </w:tcBorders>
            <w:noWrap/>
            <w:vAlign w:val="center"/>
          </w:tcPr>
          <w:p>
            <w:pPr>
              <w:jc w:val="center"/>
              <w:rPr>
                <w:rFonts w:eastAsia="宋体"/>
                <w:color w:val="000000"/>
                <w:sz w:val="21"/>
                <w:szCs w:val="21"/>
              </w:rPr>
            </w:pPr>
            <w:r>
              <w:rPr>
                <w:rFonts w:eastAsia="宋体"/>
                <w:color w:val="000000"/>
                <w:sz w:val="21"/>
                <w:szCs w:val="21"/>
              </w:rPr>
              <w:t>支出</w:t>
            </w: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 xml:space="preserve">项目 </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行次</w:t>
            </w:r>
          </w:p>
        </w:tc>
        <w:tc>
          <w:tcPr>
            <w:tcW w:w="1099"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金额</w:t>
            </w:r>
          </w:p>
        </w:tc>
        <w:tc>
          <w:tcPr>
            <w:tcW w:w="1569"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项目</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行次</w:t>
            </w:r>
          </w:p>
        </w:tc>
        <w:tc>
          <w:tcPr>
            <w:tcW w:w="1099"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合计</w:t>
            </w:r>
          </w:p>
        </w:tc>
        <w:tc>
          <w:tcPr>
            <w:tcW w:w="1100"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一般公共预算财政拨款</w:t>
            </w:r>
          </w:p>
        </w:tc>
        <w:tc>
          <w:tcPr>
            <w:tcW w:w="764"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政府性基金预算财政拨款</w:t>
            </w:r>
          </w:p>
        </w:tc>
        <w:tc>
          <w:tcPr>
            <w:tcW w:w="790"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国有资本经营预算财政拨款</w:t>
            </w: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栏次</w:t>
            </w:r>
          </w:p>
        </w:tc>
        <w:tc>
          <w:tcPr>
            <w:tcW w:w="471"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w:t>
            </w:r>
          </w:p>
        </w:tc>
        <w:tc>
          <w:tcPr>
            <w:tcW w:w="1569"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栏次</w:t>
            </w:r>
          </w:p>
        </w:tc>
        <w:tc>
          <w:tcPr>
            <w:tcW w:w="470"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099"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w:t>
            </w:r>
          </w:p>
        </w:tc>
        <w:tc>
          <w:tcPr>
            <w:tcW w:w="110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w:t>
            </w:r>
          </w:p>
        </w:tc>
        <w:tc>
          <w:tcPr>
            <w:tcW w:w="764"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w:t>
            </w:r>
          </w:p>
        </w:tc>
        <w:tc>
          <w:tcPr>
            <w:tcW w:w="79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w:t>
            </w: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一、一般公共预算财政拨款 </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25,222.02 </w:t>
            </w: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一、一般公共服务支出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33</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17,913.02 </w:t>
            </w: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17,913.02 </w:t>
            </w: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二、政府性基金预算财政拨款</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二、外交支出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34</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三、国有资本经营预算财政拨款</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三、国防支出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35</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四、公共安全支出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36</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1,777.46 </w:t>
            </w: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1,777.46 </w:t>
            </w: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5</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五、教育支出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37</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6</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六、科学技术支出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38</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7</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七、文化旅游体育与传媒支出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39</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8</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八、社会保障和就业支出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40</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2,284.49 </w:t>
            </w: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2,284.49 </w:t>
            </w: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9</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九、卫生健康支出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41</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10</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十、节能环保支出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42</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11</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十一、城乡社区支出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43</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12</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十二、农林水支出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44</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13</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十三、交通运输支出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45</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14</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十四、资源勘探工业信息等支出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46</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15</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十五、商业服务业等支出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47</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16</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十六、金融支出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48</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17</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十七、援助其他地区支出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49</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18</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十八、自然资源海洋气象等支出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50</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19</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十九、住房保障支出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51</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20</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二十、粮油物资储备支出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52</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21</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二十一、国有资本经营预算支出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53</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22</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二十二、灾害防治及应急管理支出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54</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23</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二十三、其他支出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55</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24</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二十四、债务还本支出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56</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25</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二十五、债务付息支出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57</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26</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二十六、抗疫特别国债安排的支出</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58</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本年收入合计</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27</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25,222.02 </w:t>
            </w:r>
          </w:p>
        </w:tc>
        <w:tc>
          <w:tcPr>
            <w:tcW w:w="1569"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本年支出合计</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59</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24,956.74 </w:t>
            </w: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24,956.74 </w:t>
            </w: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年初财政拨款结转和结余 </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28</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5,166.19 </w:t>
            </w: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年末财政拨款结转和结余 </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60</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5,431.47 </w:t>
            </w: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5,431.47 </w:t>
            </w: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一般公共预算财政拨款</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29</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5,166.19 </w:t>
            </w: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61</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政府性基金预算财政拨款</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30</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62</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国有资本经营预算财政拨款</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31</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56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63</w:t>
            </w:r>
          </w:p>
        </w:tc>
        <w:tc>
          <w:tcPr>
            <w:tcW w:w="1099"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100"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764"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r>
      <w:tr>
        <w:tc>
          <w:tcPr>
            <w:tcW w:w="2413" w:type="dxa"/>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 xml:space="preserve">总计 </w:t>
            </w:r>
          </w:p>
        </w:tc>
        <w:tc>
          <w:tcPr>
            <w:tcW w:w="471"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32</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30,388.21 </w:t>
            </w:r>
          </w:p>
        </w:tc>
        <w:tc>
          <w:tcPr>
            <w:tcW w:w="1569" w:type="dxa"/>
            <w:tcBorders>
              <w:top w:val="nil"/>
              <w:left w:val="nil"/>
              <w:bottom w:val="single" w:sz="6" w:space="0" w:color="000000"/>
              <w:right w:val="single" w:sz="6" w:space="0" w:color="000000"/>
              <w:tl2br w:val="nil"/>
              <w:tr2bl w:val="nil"/>
            </w:tcBorders>
            <w:noWrap/>
            <w:vAlign w:val="center"/>
          </w:tcPr>
          <w:p>
            <w:pPr>
              <w:jc w:val="center"/>
              <w:rPr>
                <w:rFonts w:eastAsia="宋体"/>
                <w:sz w:val="21"/>
                <w:szCs w:val="21"/>
              </w:rPr>
            </w:pPr>
            <w:r>
              <w:rPr>
                <w:rFonts w:eastAsia="宋体"/>
                <w:sz w:val="21"/>
                <w:szCs w:val="21"/>
              </w:rPr>
              <w:t xml:space="preserve">总计 </w:t>
            </w:r>
          </w:p>
        </w:tc>
        <w:tc>
          <w:tcPr>
            <w:tcW w:w="470"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64</w:t>
            </w:r>
          </w:p>
        </w:tc>
        <w:tc>
          <w:tcPr>
            <w:tcW w:w="1099"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30,388.21 </w:t>
            </w:r>
          </w:p>
        </w:tc>
        <w:tc>
          <w:tcPr>
            <w:tcW w:w="110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30,388.21 </w:t>
            </w:r>
          </w:p>
        </w:tc>
        <w:tc>
          <w:tcPr>
            <w:tcW w:w="764"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9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9775" w:type="dxa"/>
            <w:gridSpan w:val="9"/>
            <w:tcBorders>
              <w:top w:val="nil"/>
              <w:left w:val="nil"/>
              <w:bottom w:val="nil"/>
              <w:right w:val="nil"/>
              <w:tl2br w:val="nil"/>
              <w:tr2bl w:val="nil"/>
            </w:tcBorders>
            <w:noWrap/>
            <w:vAlign w:val="center"/>
          </w:tcPr>
          <w:p>
            <w:pPr>
              <w:rPr>
                <w:rFonts w:eastAsia="宋体"/>
                <w:color w:val="000000"/>
                <w:sz w:val="21"/>
                <w:szCs w:val="21"/>
              </w:rPr>
            </w:pPr>
            <w:r>
              <w:rPr>
                <w:rFonts w:eastAsia="宋体"/>
                <w:color w:val="000000"/>
                <w:sz w:val="21"/>
                <w:szCs w:val="21"/>
              </w:rPr>
              <w:t>注：本表反映部门本年度一般公共预算财政拨款、政府性基金预算财政拨款和国有资本经营预算财政拨款的总收支和年末结转结余情况。</w:t>
            </w:r>
          </w:p>
        </w:tc>
      </w:tr>
    </w:tbl>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tbl>
      <w:tblPr>
        <w:jc w:val="left"/>
        <w:tblW w:w="10054"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788"/>
        <w:gridCol w:w="424"/>
        <w:gridCol w:w="1312"/>
        <w:gridCol w:w="1262"/>
        <w:gridCol w:w="788"/>
        <w:gridCol w:w="425"/>
        <w:gridCol w:w="586"/>
        <w:gridCol w:w="967"/>
        <w:gridCol w:w="232"/>
        <w:gridCol w:w="947"/>
        <w:gridCol w:w="108"/>
        <w:gridCol w:w="1106"/>
        <w:gridCol w:w="180"/>
        <w:gridCol w:w="930"/>
      </w:tblGrid>
      <w:tr>
        <w:trPr>
          <w:gridAfter w:val="2"/>
          <w:wAfter w:w="1110" w:type="dxa"/>
        </w:trPr>
        <w:tc>
          <w:tcPr>
            <w:tcW w:w="8944" w:type="dxa"/>
            <w:gridSpan w:val="12"/>
            <w:tcBorders>
              <w:top w:val="nil"/>
              <w:left w:val="nil"/>
              <w:bottom w:val="nil"/>
              <w:right w:val="nil"/>
              <w:tl2br w:val="nil"/>
              <w:tr2bl w:val="nil"/>
            </w:tcBorders>
            <w:noWrap/>
            <w:vAlign w:val="center"/>
          </w:tcPr>
          <w:p>
            <w:pPr>
              <w:jc w:val="center"/>
              <w:rPr>
                <w:rFonts w:eastAsia="宋体" w:cs="Times New Roman"/>
                <w:color w:val="000000"/>
                <w:sz w:val="44"/>
              </w:rPr>
            </w:pPr>
          </w:p>
          <w:p>
            <w:pPr>
              <w:jc w:val="center"/>
              <w:rPr>
                <w:rFonts w:eastAsia="宋体" w:cs="Times New Roman"/>
                <w:color w:val="000000"/>
                <w:sz w:val="44"/>
              </w:rPr>
            </w:pPr>
            <w:r>
              <w:rPr>
                <w:rFonts w:eastAsia="宋体" w:cs="Times New Roman"/>
                <w:color w:val="000000"/>
                <w:sz w:val="44"/>
              </w:rPr>
              <w:t>一般公共预算财政拨款支出决算表</w:t>
            </w:r>
          </w:p>
          <w:p>
            <w:pPr>
              <w:pStyle w:val="84"/>
              <w:ind w:left="360" w:hangingChars="200" w:hanging="360"/>
              <w:jc w:val="right"/>
              <w:rPr>
                <w:rFonts w:eastAsia="宋体"/>
                <w:color w:val="000000"/>
                <w:sz w:val="18"/>
                <w:szCs w:val="18"/>
              </w:rPr>
            </w:pPr>
            <w:r>
              <w:rPr>
                <w:rFonts w:eastAsia="宋体"/>
                <w:color w:val="000000"/>
                <w:sz w:val="18"/>
                <w:szCs w:val="18"/>
              </w:rPr>
              <w:t>公开05表</w:t>
            </w:r>
          </w:p>
          <w:p>
            <w:pPr>
              <w:jc w:val="center"/>
              <w:rPr>
                <w:rFonts w:eastAsia="宋体" w:cs="Times New Roman"/>
                <w:color w:val="000000"/>
                <w:sz w:val="44"/>
              </w:rPr>
            </w:pPr>
            <w:r>
              <w:rPr>
                <w:rFonts w:eastAsia="宋体"/>
                <w:color w:val="000000"/>
                <w:sz w:val="18"/>
                <w:szCs w:val="18"/>
              </w:rPr>
              <w:t>部门：中华人民共和国拉萨海关                                                            单位：万元</w:t>
            </w:r>
          </w:p>
        </w:tc>
      </w:tr>
      <w:tr>
        <w:trPr>
          <w:gridAfter w:val="2"/>
          <w:wAfter w:w="1110" w:type="dxa"/>
        </w:trPr>
        <w:tc>
          <w:tcPr>
            <w:tcW w:w="499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项目</w:t>
            </w:r>
          </w:p>
        </w:tc>
        <w:tc>
          <w:tcPr>
            <w:tcW w:w="3946" w:type="dxa"/>
            <w:gridSpan w:val="6"/>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本年支出</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科目代码</w:t>
            </w:r>
          </w:p>
        </w:tc>
        <w:tc>
          <w:tcPr>
            <w:tcW w:w="3787" w:type="dxa"/>
            <w:gridSpan w:val="4"/>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科目名称</w:t>
            </w:r>
          </w:p>
        </w:tc>
        <w:tc>
          <w:tcPr>
            <w:tcW w:w="1553" w:type="dxa"/>
            <w:gridSpan w:val="2"/>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小计</w:t>
            </w:r>
          </w:p>
        </w:tc>
        <w:tc>
          <w:tcPr>
            <w:tcW w:w="1287" w:type="dxa"/>
            <w:gridSpan w:val="3"/>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基本支出</w:t>
            </w:r>
          </w:p>
        </w:tc>
        <w:tc>
          <w:tcPr>
            <w:tcW w:w="1106"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项目支出</w:t>
            </w:r>
          </w:p>
        </w:tc>
      </w:tr>
      <w:tr>
        <w:trPr>
          <w:gridAfter w:val="2"/>
          <w:wAfter w:w="1110" w:type="dxa"/>
        </w:trPr>
        <w:tc>
          <w:tcPr>
            <w:tcW w:w="4998" w:type="dxa"/>
            <w:gridSpan w:val="6"/>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栏次</w:t>
            </w:r>
          </w:p>
        </w:tc>
        <w:tc>
          <w:tcPr>
            <w:tcW w:w="1553" w:type="dxa"/>
            <w:gridSpan w:val="2"/>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1</w:t>
            </w:r>
          </w:p>
        </w:tc>
        <w:tc>
          <w:tcPr>
            <w:tcW w:w="1287" w:type="dxa"/>
            <w:gridSpan w:val="3"/>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2</w:t>
            </w:r>
          </w:p>
        </w:tc>
        <w:tc>
          <w:tcPr>
            <w:tcW w:w="1106" w:type="dxa"/>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3</w:t>
            </w:r>
          </w:p>
        </w:tc>
      </w:tr>
      <w:tr>
        <w:trPr>
          <w:gridAfter w:val="2"/>
          <w:wAfter w:w="1110" w:type="dxa"/>
        </w:trPr>
        <w:tc>
          <w:tcPr>
            <w:tcW w:w="4998" w:type="dxa"/>
            <w:gridSpan w:val="6"/>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合计</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24,956.74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20,679.16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4,277.57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一般公共服务支出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17,913.02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13,971.92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3,941.09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海关事务</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17,913.02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13,971.92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3,941.09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2010901</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行政运行</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13,292.37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13,292.37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2010902</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一般行政管理事务</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391.59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391.59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2010903</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机关服务</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255.32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255.32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2010905</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缉私办案</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306.89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306.89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2010907</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口岸管理</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85.40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85.40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2010908</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信息化建设</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346.99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346.99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2010909</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海关关务</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2,079.01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2,079.01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2010910</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关税征管</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5.00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5.00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2010911</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海关监管</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83.87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83.87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2010912</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检验检疫</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642.34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642.34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2010950</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事业运行</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424.23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424.23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公共安全支出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1,777.46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1,440.98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336.48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20410</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缉私警察</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1,777.46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1,440.98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336.48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2041001</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行政运行</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1,440.98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1,440.98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2041006</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信息化建设</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108.91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108.91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2041007</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缉私业务</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227.57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227.57 </w:t>
            </w: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社会保障和就业支出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2,284.49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2,284.49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20805</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行政事业单位养老支出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2,284.49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2,284.49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2080501</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行政单位离退休</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16.00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16.00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2080505</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机关事业单位基本养老保险缴费支出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1,515.50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1,515.50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2080506</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机关事业单位职业年金缴费支出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752.99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752.99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卫生健康支出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21011</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行政事业单位医疗</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863.79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2101101</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行政单位医疗</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676.87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676.87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2101103</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公务员医疗补助</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139.00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139.00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2101199</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其他行政事业单位医疗支出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47.92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47.92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221</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住房保障支出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22102</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住房改革支出</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2,117.98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2210201</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住房公积金</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1,584.53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1,584.53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1212" w:type="dxa"/>
            <w:gridSpan w:val="2"/>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2210203</w:t>
            </w:r>
          </w:p>
        </w:tc>
        <w:tc>
          <w:tcPr>
            <w:tcW w:w="3787" w:type="dxa"/>
            <w:gridSpan w:val="4"/>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 xml:space="preserve">    购房补贴</w:t>
            </w:r>
          </w:p>
        </w:tc>
        <w:tc>
          <w:tcPr>
            <w:tcW w:w="1553"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533.44 </w:t>
            </w:r>
          </w:p>
        </w:tc>
        <w:tc>
          <w:tcPr>
            <w:tcW w:w="1287" w:type="dxa"/>
            <w:gridSpan w:val="3"/>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533.44 </w:t>
            </w:r>
          </w:p>
        </w:tc>
        <w:tc>
          <w:tcPr>
            <w:tcW w:w="1106"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rPr>
          <w:gridAfter w:val="2"/>
          <w:wAfter w:w="1110" w:type="dxa"/>
        </w:trPr>
        <w:tc>
          <w:tcPr>
            <w:tcW w:w="8944" w:type="dxa"/>
            <w:gridSpan w:val="12"/>
            <w:tcBorders>
              <w:top w:val="nil"/>
              <w:left w:val="nil"/>
              <w:bottom w:val="nil"/>
              <w:right w:val="nil"/>
              <w:tl2br w:val="nil"/>
              <w:tr2bl w:val="nil"/>
            </w:tcBorders>
            <w:noWrap/>
            <w:vAlign w:val="center"/>
          </w:tcPr>
          <w:p>
            <w:pPr>
              <w:rPr>
                <w:rFonts w:eastAsia="宋体"/>
                <w:color w:val="000000"/>
                <w:sz w:val="21"/>
                <w:szCs w:val="21"/>
              </w:rPr>
            </w:pPr>
            <w:r>
              <w:rPr>
                <w:rFonts w:eastAsia="宋体"/>
                <w:color w:val="000000"/>
                <w:sz w:val="21"/>
                <w:szCs w:val="21"/>
              </w:rPr>
              <w:t>注：本表反映部门本年度一般公共预算财政拨款支出情况。</w:t>
            </w:r>
          </w:p>
        </w:tc>
      </w:tr>
      <w:tr>
        <w:tc>
          <w:tcPr>
            <w:tcW w:w="10054" w:type="dxa"/>
            <w:gridSpan w:val="14"/>
            <w:tcBorders>
              <w:top w:val="nil"/>
              <w:left w:val="nil"/>
              <w:bottom w:val="nil"/>
              <w:right w:val="nil"/>
              <w:tl2br w:val="nil"/>
              <w:tr2bl w:val="nil"/>
            </w:tcBorders>
            <w:noWrap/>
            <w:vAlign w:val="center"/>
          </w:tcPr>
          <w:p>
            <w:pPr>
              <w:rPr>
                <w:rFonts w:eastAsia="宋体" w:cs="Times New Roman"/>
                <w:color w:val="000000"/>
                <w:sz w:val="44"/>
              </w:rPr>
            </w:pPr>
          </w:p>
          <w:p>
            <w:pPr>
              <w:jc w:val="center"/>
              <w:rPr>
                <w:rFonts w:eastAsia="宋体" w:cs="Times New Roman"/>
                <w:color w:val="000000"/>
                <w:sz w:val="44"/>
              </w:rPr>
            </w:pPr>
            <w:r>
              <w:rPr>
                <w:rFonts w:eastAsia="宋体" w:cs="Times New Roman"/>
                <w:color w:val="000000"/>
                <w:sz w:val="44"/>
              </w:rPr>
              <w:t>一般公共预算财政拨款基本支出决算明细表</w:t>
            </w:r>
          </w:p>
          <w:p>
            <w:pPr>
              <w:pStyle w:val="86"/>
              <w:ind w:left="360" w:hangingChars="200" w:hanging="360"/>
              <w:jc w:val="right"/>
              <w:rPr>
                <w:rFonts w:eastAsia="宋体"/>
                <w:color w:val="000000"/>
                <w:sz w:val="18"/>
                <w:szCs w:val="18"/>
              </w:rPr>
            </w:pPr>
            <w:r>
              <w:rPr>
                <w:rFonts w:eastAsia="宋体"/>
                <w:color w:val="000000"/>
                <w:sz w:val="18"/>
                <w:szCs w:val="18"/>
              </w:rPr>
              <w:t>公开06表</w:t>
            </w:r>
          </w:p>
          <w:p>
            <w:pPr>
              <w:jc w:val="center"/>
              <w:rPr>
                <w:rFonts w:eastAsia="宋体" w:cs="Times New Roman"/>
                <w:color w:val="000000"/>
                <w:sz w:val="44"/>
              </w:rPr>
            </w:pPr>
            <w:r>
              <w:rPr>
                <w:rFonts w:eastAsia="宋体"/>
                <w:color w:val="000000"/>
                <w:sz w:val="18"/>
                <w:szCs w:val="18"/>
              </w:rPr>
              <w:t>部门：中华人民共和国拉萨海关                                                                    单位：万元</w:t>
            </w:r>
          </w:p>
        </w:tc>
      </w:tr>
      <w:tr>
        <w:tc>
          <w:tcPr>
            <w:tcW w:w="78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科目代码</w:t>
            </w:r>
          </w:p>
        </w:tc>
        <w:tc>
          <w:tcPr>
            <w:tcW w:w="1736"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科目名称</w:t>
            </w:r>
          </w:p>
        </w:tc>
        <w:tc>
          <w:tcPr>
            <w:tcW w:w="1262" w:type="dxa"/>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决算数</w:t>
            </w:r>
          </w:p>
        </w:tc>
        <w:tc>
          <w:tcPr>
            <w:tcW w:w="788" w:type="dxa"/>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科目代码</w:t>
            </w:r>
          </w:p>
        </w:tc>
        <w:tc>
          <w:tcPr>
            <w:tcW w:w="1011"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科目名称</w:t>
            </w:r>
          </w:p>
        </w:tc>
        <w:tc>
          <w:tcPr>
            <w:tcW w:w="1199"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决算数</w:t>
            </w:r>
          </w:p>
        </w:tc>
        <w:tc>
          <w:tcPr>
            <w:tcW w:w="947" w:type="dxa"/>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科目代码</w:t>
            </w:r>
          </w:p>
        </w:tc>
        <w:tc>
          <w:tcPr>
            <w:tcW w:w="1394"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科目名称</w:t>
            </w:r>
          </w:p>
        </w:tc>
        <w:tc>
          <w:tcPr>
            <w:tcW w:w="930" w:type="dxa"/>
            <w:tcBorders>
              <w:top w:val="single" w:sz="6" w:space="0" w:color="000000"/>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决算数</w:t>
            </w: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工资福利支出</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16,117.88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商品和服务支出</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4,441.37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307</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债务利息及费用支出</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30101</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基本工资</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2,120.97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30201</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办公费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389.68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30701</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国内债务付息</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30102</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津贴补贴</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9,262.19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30202</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印刷费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20.79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30702</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国外债务付息</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30103</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奖金</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17.90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30203</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咨询费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1.46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资本性支出</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119.91 </w:t>
            </w: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30106</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伙食补助费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30204</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手续费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0.02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31001</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房屋建筑物购建</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30107</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绩效工资</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30205</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水费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18.09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31002</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办公设备购置</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35.31 </w:t>
            </w: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30108</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机关事业单位基本养老保险缴费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1,515.50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30206</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电费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322.11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31003</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专用设备购置</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21.00 </w:t>
            </w: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30109</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职业年金缴费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752.99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30207</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邮电费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13.06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31005</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基础设施建设</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30110</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职工基本医疗保险缴费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676.87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30208</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取暖费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31.44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31006</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大型修缮</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30111</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公务员医疗补助缴费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139.00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30209</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物业管理费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1,443.67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31007</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信息网络及软件购置更新</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30112</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其他社会保障缴费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47.92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30211</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差旅费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622.38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31008</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物资储备</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30113</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住房公积金</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1,584.53 </w:t>
            </w: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30212</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因公出国（境）费用</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31009</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土地补偿</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30114</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医疗费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30213</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维修（护）费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413.43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31010</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安置补助</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30199</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其他工资福利支出</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30214</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租赁费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31.64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31011</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地上附着物和青苗补偿</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对个人和家庭的补助</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30215</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会议费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31012</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拆迁补偿</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30301</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离休费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30216</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培训费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32.26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31013</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公务用车购置</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30302</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退休费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30217</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公务接待费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2.85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31019</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其他交通工具购置</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30303</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退职（役）费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30218</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专用材料费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107.30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31021</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文物和陈列品购置</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30304</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抚恤金</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30224</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被装购置费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72.35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31022</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无形资产购置</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30305</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生活补助</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30225</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专用燃料费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31099</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其他资本性支出</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63.61 </w:t>
            </w: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30306</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救济费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30226</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劳务费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278.70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399</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其他支出</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30307</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医疗费补助</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30227</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委托业务费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283.65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39907</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国家赔偿费用支出</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30308</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助学金</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30228</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工会经费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66.19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39908</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对民间非营利组织和群众性自治组织补贴</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30309</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奖励金</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30229</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福利费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3.24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39909</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经常性赠与</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30310</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个人农业生产补贴</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30231</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公务用车运行维护费</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74.07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39910</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资本性赠与</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30311</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代缴社会保险费</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30239</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其他交通费用</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0.48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39999</w:t>
            </w: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其他支出</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30399</w:t>
            </w: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其他对个人和家庭的补助</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30240</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税金及附加费用</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947"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930"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r>
      <w:tr>
        <w:tc>
          <w:tcPr>
            <w:tcW w:w="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sz w:val="21"/>
                <w:szCs w:val="21"/>
              </w:rPr>
            </w:pPr>
          </w:p>
        </w:tc>
        <w:tc>
          <w:tcPr>
            <w:tcW w:w="1736"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p>
        </w:tc>
        <w:tc>
          <w:tcPr>
            <w:tcW w:w="788" w:type="dxa"/>
            <w:tcBorders>
              <w:top w:val="nil"/>
              <w:left w:val="nil"/>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30299</w:t>
            </w:r>
          </w:p>
        </w:tc>
        <w:tc>
          <w:tcPr>
            <w:tcW w:w="1011" w:type="dxa"/>
            <w:gridSpan w:val="2"/>
            <w:tcBorders>
              <w:top w:val="nil"/>
              <w:left w:val="nil"/>
              <w:bottom w:val="single" w:sz="6" w:space="0" w:color="000000"/>
              <w:right w:val="single" w:sz="6" w:space="0" w:color="000000"/>
              <w:tl2br w:val="nil"/>
              <w:tr2bl w:val="nil"/>
            </w:tcBorders>
            <w:noWrap/>
            <w:vAlign w:val="center"/>
          </w:tcPr>
          <w:p>
            <w:pPr>
              <w:rPr>
                <w:rFonts w:eastAsia="宋体"/>
                <w:sz w:val="21"/>
                <w:szCs w:val="21"/>
              </w:rPr>
            </w:pPr>
            <w:r>
              <w:rPr>
                <w:rFonts w:eastAsia="宋体"/>
                <w:sz w:val="21"/>
                <w:szCs w:val="21"/>
              </w:rPr>
              <w:t>其他商品和服务支出</w:t>
            </w:r>
          </w:p>
        </w:tc>
        <w:tc>
          <w:tcPr>
            <w:tcW w:w="1199" w:type="dxa"/>
            <w:gridSpan w:val="2"/>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212.52 </w:t>
            </w:r>
          </w:p>
        </w:tc>
        <w:tc>
          <w:tcPr>
            <w:tcW w:w="947"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1394" w:type="dxa"/>
            <w:gridSpan w:val="3"/>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c>
          <w:tcPr>
            <w:tcW w:w="930" w:type="dxa"/>
            <w:tcBorders>
              <w:top w:val="nil"/>
              <w:left w:val="nil"/>
              <w:bottom w:val="single" w:sz="6" w:space="0" w:color="000000"/>
              <w:right w:val="single" w:sz="6" w:space="0" w:color="000000"/>
              <w:tl2br w:val="nil"/>
              <w:tr2bl w:val="nil"/>
            </w:tcBorders>
            <w:noWrap/>
            <w:vAlign w:val="center"/>
          </w:tcPr>
          <w:p>
            <w:pPr>
              <w:rPr>
                <w:rFonts w:eastAsia="宋体"/>
                <w:sz w:val="21"/>
                <w:szCs w:val="21"/>
              </w:rPr>
            </w:pPr>
          </w:p>
        </w:tc>
      </w:tr>
      <w:tr>
        <w:tc>
          <w:tcPr>
            <w:tcW w:w="2524" w:type="dxa"/>
            <w:gridSpan w:val="3"/>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 xml:space="preserve">人员经费合计 </w:t>
            </w:r>
          </w:p>
        </w:tc>
        <w:tc>
          <w:tcPr>
            <w:tcW w:w="1262"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16,117.88 </w:t>
            </w:r>
          </w:p>
        </w:tc>
        <w:tc>
          <w:tcPr>
            <w:tcW w:w="5338" w:type="dxa"/>
            <w:gridSpan w:val="9"/>
            <w:tcBorders>
              <w:top w:val="nil"/>
              <w:left w:val="nil"/>
              <w:bottom w:val="single" w:sz="6" w:space="0" w:color="000000"/>
              <w:right w:val="single" w:sz="6" w:space="0" w:color="000000"/>
              <w:tl2br w:val="nil"/>
              <w:tr2bl w:val="nil"/>
            </w:tcBorders>
            <w:noWrap/>
            <w:vAlign w:val="center"/>
          </w:tcPr>
          <w:p>
            <w:pPr>
              <w:jc w:val="center"/>
              <w:rPr>
                <w:rFonts w:eastAsia="宋体"/>
                <w:color w:val="000000"/>
                <w:sz w:val="21"/>
                <w:szCs w:val="21"/>
              </w:rPr>
            </w:pPr>
            <w:r>
              <w:rPr>
                <w:rFonts w:eastAsia="宋体"/>
                <w:color w:val="000000"/>
                <w:sz w:val="21"/>
                <w:szCs w:val="21"/>
              </w:rPr>
              <w:t>公用经费合计</w:t>
            </w:r>
          </w:p>
        </w:tc>
        <w:tc>
          <w:tcPr>
            <w:tcW w:w="930" w:type="dxa"/>
            <w:tcBorders>
              <w:top w:val="nil"/>
              <w:left w:val="nil"/>
              <w:bottom w:val="single" w:sz="6" w:space="0" w:color="000000"/>
              <w:right w:val="single" w:sz="6" w:space="0" w:color="000000"/>
              <w:tl2br w:val="nil"/>
              <w:tr2bl w:val="nil"/>
            </w:tcBorders>
            <w:noWrap/>
            <w:vAlign w:val="center"/>
          </w:tcPr>
          <w:p>
            <w:pPr>
              <w:jc w:val="right"/>
              <w:rPr>
                <w:rFonts w:eastAsia="宋体"/>
                <w:sz w:val="21"/>
                <w:szCs w:val="21"/>
              </w:rPr>
            </w:pPr>
            <w:r>
              <w:rPr>
                <w:rFonts w:eastAsia="宋体"/>
                <w:sz w:val="21"/>
                <w:szCs w:val="21"/>
              </w:rPr>
              <w:t xml:space="preserve">4,561.29 </w:t>
            </w:r>
          </w:p>
        </w:tc>
      </w:tr>
      <w:tr>
        <w:tc>
          <w:tcPr>
            <w:tcW w:w="10054" w:type="dxa"/>
            <w:gridSpan w:val="14"/>
            <w:tcBorders>
              <w:top w:val="nil"/>
              <w:left w:val="single" w:sz="6" w:space="0" w:color="000000"/>
              <w:bottom w:val="single" w:sz="6" w:space="0" w:color="000000"/>
              <w:right w:val="single" w:sz="6" w:space="0" w:color="000000"/>
              <w:tl2br w:val="nil"/>
              <w:tr2bl w:val="nil"/>
            </w:tcBorders>
            <w:noWrap/>
            <w:vAlign w:val="center"/>
          </w:tcPr>
          <w:p>
            <w:pPr>
              <w:rPr>
                <w:rFonts w:eastAsia="宋体"/>
                <w:color w:val="000000"/>
                <w:sz w:val="21"/>
                <w:szCs w:val="21"/>
              </w:rPr>
            </w:pPr>
            <w:r>
              <w:rPr>
                <w:rFonts w:eastAsia="宋体"/>
                <w:color w:val="000000"/>
                <w:sz w:val="21"/>
                <w:szCs w:val="21"/>
              </w:rPr>
              <w:t>注：本表反映部门本年度一般公共预算财政拨款基本支出明细情况。</w:t>
            </w:r>
          </w:p>
        </w:tc>
      </w:tr>
    </w:tbl>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hAnsi="Times New Roman"/>
          <w:b/>
          <w:i w:val="0"/>
          <w:iCs w:val="0"/>
          <w:caps w:val="0"/>
          <w:smallCaps w:val="0"/>
          <w:vanish w:val="0"/>
          <w:color w:val="303133"/>
          <w:spacing w:val="0"/>
          <w:sz w:val="21"/>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hAnsi="Times New Roman"/>
          <w:b/>
          <w:i w:val="0"/>
          <w:iCs w:val="0"/>
          <w:caps w:val="0"/>
          <w:smallCaps w:val="0"/>
          <w:vanish w:val="0"/>
          <w:color w:val="303133"/>
          <w:spacing w:val="0"/>
          <w:sz w:val="21"/>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hAnsi="Times New Roman"/>
          <w:b/>
          <w:i w:val="0"/>
          <w:iCs w:val="0"/>
          <w:caps w:val="0"/>
          <w:smallCaps w:val="0"/>
          <w:vanish w:val="0"/>
          <w:color w:val="303133"/>
          <w:spacing w:val="0"/>
          <w:sz w:val="21"/>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hAnsi="Times New Roman"/>
          <w:b/>
          <w:i w:val="0"/>
          <w:iCs w:val="0"/>
          <w:caps w:val="0"/>
          <w:smallCaps w:val="0"/>
          <w:vanish w:val="0"/>
          <w:color w:val="303133"/>
          <w:spacing w:val="0"/>
          <w:sz w:val="21"/>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hAnsi="Times New Roman"/>
          <w:b/>
          <w:i w:val="0"/>
          <w:iCs w:val="0"/>
          <w:caps w:val="0"/>
          <w:smallCaps w:val="0"/>
          <w:vanish w:val="0"/>
          <w:color w:val="303133"/>
          <w:spacing w:val="0"/>
          <w:sz w:val="21"/>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hAnsi="Times New Roman"/>
          <w:b/>
          <w:i w:val="0"/>
          <w:iCs w:val="0"/>
          <w:caps w:val="0"/>
          <w:smallCaps w:val="0"/>
          <w:vanish w:val="0"/>
          <w:color w:val="303133"/>
          <w:spacing w:val="0"/>
          <w:sz w:val="21"/>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tbl>
      <w:tblPr>
        <w:jc w:val="left"/>
        <w:tblW w:w="906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440"/>
        <w:gridCol w:w="1440"/>
        <w:gridCol w:w="1503"/>
        <w:gridCol w:w="883"/>
        <w:gridCol w:w="528"/>
        <w:gridCol w:w="971"/>
        <w:gridCol w:w="883"/>
        <w:gridCol w:w="1414"/>
      </w:tblGrid>
      <w:tr>
        <w:trPr>
          <w:trHeight w:val="786"/>
        </w:trPr>
        <w:tc>
          <w:tcPr>
            <w:tcW w:w="9062" w:type="dxa"/>
            <w:gridSpan w:val="8"/>
            <w:tcBorders>
              <w:top w:val="nil"/>
              <w:left w:val="nil"/>
              <w:bottom w:val="nil"/>
              <w:right w:val="nil"/>
              <w:tl2br w:val="nil"/>
              <w:tr2bl w:val="nil"/>
            </w:tcBorders>
            <w:noWrap/>
            <w:vAlign w:val="center"/>
          </w:tcPr>
          <w:p>
            <w:pPr>
              <w:jc w:val="center"/>
              <w:rPr>
                <w:rFonts w:eastAsia="宋体" w:cs="Times New Roman"/>
                <w:color w:val="000000"/>
                <w:sz w:val="44"/>
              </w:rPr>
            </w:pPr>
            <w:r>
              <w:rPr>
                <w:rFonts w:eastAsia="宋体" w:cs="Times New Roman"/>
                <w:color w:val="000000"/>
                <w:sz w:val="44"/>
              </w:rPr>
              <w:t>政府性基金预算财政拨款收入支出决算表</w:t>
            </w:r>
          </w:p>
          <w:p>
            <w:pPr>
              <w:pStyle w:val="88"/>
              <w:ind w:left="360" w:hangingChars="200" w:hanging="360"/>
              <w:jc w:val="right"/>
              <w:rPr>
                <w:rFonts w:eastAsia="宋体"/>
                <w:color w:val="000000"/>
                <w:sz w:val="18"/>
                <w:szCs w:val="18"/>
              </w:rPr>
            </w:pPr>
            <w:r>
              <w:rPr>
                <w:rFonts w:eastAsia="宋体"/>
                <w:color w:val="000000"/>
                <w:sz w:val="18"/>
                <w:szCs w:val="18"/>
              </w:rPr>
              <w:t>公开07表</w:t>
            </w:r>
          </w:p>
          <w:p>
            <w:pPr>
              <w:jc w:val="center"/>
              <w:rPr>
                <w:rFonts w:eastAsia="宋体" w:cs="Times New Roman"/>
                <w:color w:val="000000"/>
                <w:sz w:val="44"/>
              </w:rPr>
            </w:pPr>
            <w:r>
              <w:rPr>
                <w:rFonts w:eastAsia="宋体"/>
                <w:color w:val="000000"/>
                <w:sz w:val="18"/>
                <w:szCs w:val="18"/>
              </w:rPr>
              <w:t>部门：中华人民共和国拉萨海关                                                             单位：万元</w:t>
            </w:r>
          </w:p>
        </w:tc>
      </w:tr>
      <w:tr>
        <w:trPr>
          <w:trHeight w:val="284"/>
        </w:trPr>
        <w:tc>
          <w:tcPr>
            <w:tcW w:w="28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项目</w:t>
            </w:r>
          </w:p>
        </w:tc>
        <w:tc>
          <w:tcPr>
            <w:tcW w:w="150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 xml:space="preserve">年初结转和结余 </w:t>
            </w:r>
          </w:p>
        </w:tc>
        <w:tc>
          <w:tcPr>
            <w:tcW w:w="88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本年收入</w:t>
            </w:r>
          </w:p>
        </w:tc>
        <w:tc>
          <w:tcPr>
            <w:tcW w:w="238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本年支出</w:t>
            </w:r>
          </w:p>
        </w:tc>
        <w:tc>
          <w:tcPr>
            <w:tcW w:w="1414"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年末结转和结余</w:t>
            </w:r>
          </w:p>
        </w:tc>
      </w:tr>
      <w:tr>
        <w:trPr>
          <w:trHeight w:val="569"/>
        </w:trPr>
        <w:tc>
          <w:tcPr>
            <w:tcW w:w="144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科目代码</w:t>
            </w:r>
          </w:p>
        </w:tc>
        <w:tc>
          <w:tcPr>
            <w:tcW w:w="144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科目名称</w:t>
            </w:r>
          </w:p>
        </w:tc>
        <w:tc>
          <w:tcPr>
            <w:tcW w:w="150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8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5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小计</w:t>
            </w:r>
          </w:p>
        </w:tc>
        <w:tc>
          <w:tcPr>
            <w:tcW w:w="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 xml:space="preserve">基本支出 </w:t>
            </w:r>
          </w:p>
        </w:tc>
        <w:tc>
          <w:tcPr>
            <w:tcW w:w="8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项目支出</w:t>
            </w:r>
          </w:p>
        </w:tc>
        <w:tc>
          <w:tcPr>
            <w:tcW w:w="1414" w:type="dxa"/>
            <w:vMerge/>
            <w:tcBorders>
              <w:top w:val="single" w:sz="6" w:space="0" w:color="auto"/>
              <w:left w:val="single" w:sz="6" w:space="0" w:color="auto"/>
              <w:bottom w:val="single" w:sz="6" w:space="0" w:color="auto"/>
              <w:right w:val="single" w:sz="6" w:space="0" w:color="auto"/>
              <w:tl2br w:val="nil"/>
              <w:tr2bl w:val="nil"/>
            </w:tcBorders>
            <w:noWrap/>
            <w:vAlign w:val="center"/>
          </w:tcPr>
          <w:p/>
        </w:tc>
      </w:tr>
      <w:tr>
        <w:trPr>
          <w:trHeight w:val="284"/>
        </w:trPr>
        <w:tc>
          <w:tcPr>
            <w:tcW w:w="28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栏次</w:t>
            </w:r>
          </w:p>
        </w:tc>
        <w:tc>
          <w:tcPr>
            <w:tcW w:w="150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1</w:t>
            </w:r>
          </w:p>
        </w:tc>
        <w:tc>
          <w:tcPr>
            <w:tcW w:w="8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2</w:t>
            </w:r>
          </w:p>
        </w:tc>
        <w:tc>
          <w:tcPr>
            <w:tcW w:w="5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3</w:t>
            </w:r>
          </w:p>
        </w:tc>
        <w:tc>
          <w:tcPr>
            <w:tcW w:w="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4</w:t>
            </w:r>
          </w:p>
        </w:tc>
        <w:tc>
          <w:tcPr>
            <w:tcW w:w="8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5</w:t>
            </w:r>
          </w:p>
        </w:tc>
        <w:tc>
          <w:tcPr>
            <w:tcW w:w="141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6</w:t>
            </w:r>
          </w:p>
        </w:tc>
      </w:tr>
      <w:tr>
        <w:trPr>
          <w:trHeight w:val="284"/>
        </w:trPr>
        <w:tc>
          <w:tcPr>
            <w:tcW w:w="28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合计</w:t>
            </w:r>
          </w:p>
        </w:tc>
        <w:tc>
          <w:tcPr>
            <w:tcW w:w="1503"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883"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528"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883"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141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r>
      <w:tr>
        <w:trPr>
          <w:trHeight w:val="284"/>
        </w:trPr>
        <w:tc>
          <w:tcPr>
            <w:tcW w:w="144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cs="Times New Roman"/>
                <w:color w:val="000000"/>
                <w:sz w:val="22"/>
              </w:rPr>
            </w:pPr>
          </w:p>
        </w:tc>
        <w:tc>
          <w:tcPr>
            <w:tcW w:w="144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cs="Times New Roman"/>
                <w:color w:val="000000"/>
                <w:sz w:val="22"/>
              </w:rPr>
            </w:pPr>
          </w:p>
        </w:tc>
        <w:tc>
          <w:tcPr>
            <w:tcW w:w="1503"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883"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528"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971"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883"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c>
          <w:tcPr>
            <w:tcW w:w="141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eastAsia="Arial" w:cs="Times New Roman"/>
                <w:color w:val="000000"/>
                <w:sz w:val="22"/>
              </w:rPr>
            </w:pPr>
          </w:p>
        </w:tc>
      </w:tr>
      <w:tr>
        <w:trPr>
          <w:trHeight w:val="284"/>
        </w:trPr>
        <w:tc>
          <w:tcPr>
            <w:tcW w:w="9062" w:type="dxa"/>
            <w:gridSpan w:val="8"/>
            <w:tcBorders>
              <w:top w:val="nil"/>
              <w:left w:val="nil"/>
              <w:bottom w:val="nil"/>
              <w:right w:val="nil"/>
              <w:tl2br w:val="nil"/>
              <w:tr2bl w:val="nil"/>
            </w:tcBorders>
            <w:noWrap/>
            <w:vAlign w:val="center"/>
          </w:tcPr>
          <w:p>
            <w:pPr>
              <w:rPr>
                <w:rFonts w:eastAsia="宋体" w:cs="Times New Roman"/>
                <w:color w:val="000000"/>
                <w:sz w:val="22"/>
              </w:rPr>
            </w:pPr>
            <w:r>
              <w:rPr>
                <w:rFonts w:eastAsia="宋体" w:cs="Times New Roman"/>
                <w:color w:val="000000"/>
                <w:sz w:val="22"/>
              </w:rPr>
              <w:t>注：本表反映部门本年度政府性基金预算财政拨款收入、支出及结转和结余情况。</w:t>
            </w:r>
          </w:p>
        </w:tc>
      </w:tr>
    </w:tbl>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tbl>
      <w:tblPr>
        <w:jc w:val="left"/>
        <w:tblW w:w="8471"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788"/>
        <w:gridCol w:w="1788"/>
        <w:gridCol w:w="1352"/>
        <w:gridCol w:w="1352"/>
        <w:gridCol w:w="2191"/>
      </w:tblGrid>
      <w:tr>
        <w:trPr>
          <w:trHeight w:val="539"/>
        </w:trPr>
        <w:tc>
          <w:tcPr>
            <w:tcW w:w="8471" w:type="dxa"/>
            <w:gridSpan w:val="5"/>
            <w:tcBorders>
              <w:top w:val="nil"/>
              <w:left w:val="nil"/>
              <w:bottom w:val="nil"/>
              <w:right w:val="nil"/>
              <w:tl2br w:val="nil"/>
              <w:tr2bl w:val="nil"/>
            </w:tcBorders>
            <w:noWrap/>
            <w:vAlign w:val="center"/>
          </w:tcPr>
          <w:p>
            <w:pPr>
              <w:jc w:val="center"/>
              <w:rPr>
                <w:rFonts w:eastAsia="宋体" w:cs="Times New Roman"/>
                <w:color w:val="000000"/>
                <w:sz w:val="44"/>
              </w:rPr>
            </w:pPr>
          </w:p>
          <w:p>
            <w:pPr>
              <w:jc w:val="center"/>
              <w:rPr>
                <w:rFonts w:eastAsia="宋体" w:cs="Times New Roman"/>
                <w:color w:val="000000"/>
                <w:sz w:val="44"/>
              </w:rPr>
            </w:pPr>
          </w:p>
          <w:p>
            <w:pPr>
              <w:jc w:val="center"/>
              <w:rPr>
                <w:rFonts w:eastAsia="宋体" w:cs="Times New Roman"/>
                <w:color w:val="000000"/>
                <w:sz w:val="44"/>
              </w:rPr>
            </w:pPr>
          </w:p>
          <w:p>
            <w:pPr>
              <w:jc w:val="center"/>
              <w:rPr>
                <w:rFonts w:eastAsia="宋体" w:cs="Times New Roman"/>
                <w:color w:val="000000"/>
                <w:sz w:val="44"/>
              </w:rPr>
            </w:pPr>
            <w:r>
              <w:rPr>
                <w:rFonts w:eastAsia="宋体" w:cs="Times New Roman"/>
                <w:color w:val="000000"/>
                <w:sz w:val="44"/>
              </w:rPr>
              <w:t>国有资本经营预算财政拨款支出决算表</w:t>
            </w:r>
          </w:p>
          <w:p>
            <w:pPr>
              <w:pStyle w:val="90"/>
              <w:ind w:left="360" w:hangingChars="200" w:hanging="360"/>
              <w:jc w:val="right"/>
              <w:rPr>
                <w:rFonts w:eastAsia="宋体"/>
                <w:color w:val="000000"/>
                <w:sz w:val="18"/>
                <w:szCs w:val="18"/>
              </w:rPr>
            </w:pPr>
            <w:r>
              <w:rPr>
                <w:rFonts w:eastAsia="宋体"/>
                <w:color w:val="000000"/>
                <w:sz w:val="18"/>
                <w:szCs w:val="18"/>
              </w:rPr>
              <w:t>公开08表</w:t>
            </w:r>
          </w:p>
          <w:p>
            <w:pPr>
              <w:pStyle w:val="90"/>
              <w:ind w:left="360" w:hangingChars="200" w:hanging="360"/>
              <w:rPr>
                <w:rFonts w:eastAsia="宋体"/>
                <w:color w:val="000000"/>
                <w:sz w:val="18"/>
                <w:szCs w:val="18"/>
              </w:rPr>
            </w:pPr>
            <w:r>
              <w:rPr>
                <w:rFonts w:eastAsia="宋体"/>
                <w:color w:val="000000"/>
                <w:sz w:val="18"/>
                <w:szCs w:val="18"/>
              </w:rPr>
              <w:t xml:space="preserve">部门：中华人民共和国拉萨海关                                                      单位：万元                                                                  </w:t>
            </w:r>
          </w:p>
        </w:tc>
      </w:tr>
      <w:tr>
        <w:trPr>
          <w:trHeight w:val="629"/>
        </w:trPr>
        <w:tc>
          <w:tcPr>
            <w:tcW w:w="3576" w:type="dxa"/>
            <w:gridSpan w:val="2"/>
            <w:tcBorders>
              <w:top w:val="single" w:sz="6" w:space="0" w:color="000000"/>
              <w:left w:val="single" w:sz="6" w:space="0" w:color="000000"/>
              <w:bottom w:val="nil"/>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项    目</w:t>
            </w:r>
          </w:p>
        </w:tc>
        <w:tc>
          <w:tcPr>
            <w:tcW w:w="4895" w:type="dxa"/>
            <w:gridSpan w:val="3"/>
            <w:tcBorders>
              <w:top w:val="single" w:sz="6" w:space="0" w:color="000000"/>
              <w:left w:val="nil"/>
              <w:bottom w:val="nil"/>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本年支出</w:t>
            </w:r>
          </w:p>
        </w:tc>
      </w:tr>
      <w:tr>
        <w:trPr>
          <w:trHeight w:val="854"/>
        </w:trPr>
        <w:tc>
          <w:tcPr>
            <w:tcW w:w="178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科目代码</w:t>
            </w:r>
          </w:p>
        </w:tc>
        <w:tc>
          <w:tcPr>
            <w:tcW w:w="178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科目名称</w:t>
            </w:r>
          </w:p>
        </w:tc>
        <w:tc>
          <w:tcPr>
            <w:tcW w:w="13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合计</w:t>
            </w:r>
          </w:p>
        </w:tc>
        <w:tc>
          <w:tcPr>
            <w:tcW w:w="13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基本支出</w:t>
            </w:r>
          </w:p>
        </w:tc>
        <w:tc>
          <w:tcPr>
            <w:tcW w:w="219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2"/>
              </w:rPr>
            </w:pPr>
            <w:r>
              <w:rPr>
                <w:rFonts w:eastAsia="宋体" w:cs="Times New Roman"/>
                <w:color w:val="000000"/>
                <w:sz w:val="22"/>
              </w:rPr>
              <w:t>项目支出</w:t>
            </w:r>
          </w:p>
        </w:tc>
      </w:tr>
      <w:tr>
        <w:trPr>
          <w:trHeight w:val="284"/>
        </w:trPr>
        <w:tc>
          <w:tcPr>
            <w:tcW w:w="35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4"/>
              </w:rPr>
            </w:pPr>
            <w:r>
              <w:rPr>
                <w:rFonts w:eastAsia="宋体" w:cs="Times New Roman"/>
                <w:color w:val="000000"/>
                <w:sz w:val="24"/>
              </w:rPr>
              <w:t>栏次</w:t>
            </w:r>
          </w:p>
        </w:tc>
        <w:tc>
          <w:tcPr>
            <w:tcW w:w="1352"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4"/>
              </w:rPr>
            </w:pPr>
            <w:r>
              <w:rPr>
                <w:rFonts w:eastAsia="宋体" w:cs="Times New Roman"/>
                <w:color w:val="000000"/>
                <w:sz w:val="24"/>
              </w:rPr>
              <w:t>1</w:t>
            </w:r>
          </w:p>
        </w:tc>
        <w:tc>
          <w:tcPr>
            <w:tcW w:w="1352"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4"/>
              </w:rPr>
            </w:pPr>
            <w:r>
              <w:rPr>
                <w:rFonts w:eastAsia="宋体" w:cs="Times New Roman"/>
                <w:color w:val="000000"/>
                <w:sz w:val="24"/>
              </w:rPr>
              <w:t>2</w:t>
            </w:r>
          </w:p>
        </w:tc>
        <w:tc>
          <w:tcPr>
            <w:tcW w:w="2191"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4"/>
              </w:rPr>
            </w:pPr>
            <w:r>
              <w:rPr>
                <w:rFonts w:eastAsia="宋体" w:cs="Times New Roman"/>
                <w:color w:val="000000"/>
                <w:sz w:val="24"/>
              </w:rPr>
              <w:t>3</w:t>
            </w:r>
          </w:p>
        </w:tc>
      </w:tr>
      <w:tr>
        <w:trPr>
          <w:trHeight w:val="284"/>
        </w:trPr>
        <w:tc>
          <w:tcPr>
            <w:tcW w:w="35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cs="Times New Roman"/>
                <w:color w:val="000000"/>
                <w:sz w:val="24"/>
              </w:rPr>
            </w:pPr>
            <w:r>
              <w:rPr>
                <w:rFonts w:eastAsia="宋体" w:cs="Times New Roman"/>
                <w:color w:val="000000"/>
                <w:sz w:val="24"/>
              </w:rPr>
              <w:t>合计</w:t>
            </w:r>
          </w:p>
        </w:tc>
        <w:tc>
          <w:tcPr>
            <w:tcW w:w="1352"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4"/>
              </w:rPr>
            </w:pPr>
          </w:p>
        </w:tc>
        <w:tc>
          <w:tcPr>
            <w:tcW w:w="1352"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4"/>
              </w:rPr>
            </w:pPr>
          </w:p>
        </w:tc>
        <w:tc>
          <w:tcPr>
            <w:tcW w:w="2191"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4"/>
              </w:rPr>
            </w:pPr>
          </w:p>
        </w:tc>
      </w:tr>
      <w:tr>
        <w:trPr>
          <w:trHeight w:val="284"/>
        </w:trPr>
        <w:tc>
          <w:tcPr>
            <w:tcW w:w="1788" w:type="dxa"/>
            <w:tcBorders>
              <w:top w:val="nil"/>
              <w:left w:val="single" w:sz="6" w:space="0" w:color="000000"/>
              <w:bottom w:val="single" w:sz="6" w:space="0" w:color="000000"/>
              <w:right w:val="single" w:sz="6" w:space="0" w:color="000000"/>
              <w:tl2br w:val="nil"/>
              <w:tr2bl w:val="nil"/>
            </w:tcBorders>
            <w:noWrap/>
            <w:vAlign w:val="center"/>
          </w:tcPr>
          <w:p>
            <w:pPr>
              <w:rPr>
                <w:rFonts w:eastAsia="宋体" w:cs="Times New Roman"/>
                <w:sz w:val="24"/>
              </w:rPr>
            </w:pPr>
          </w:p>
        </w:tc>
        <w:tc>
          <w:tcPr>
            <w:tcW w:w="1788" w:type="dxa"/>
            <w:tcBorders>
              <w:top w:val="nil"/>
              <w:left w:val="nil"/>
              <w:bottom w:val="single" w:sz="6" w:space="0" w:color="000000"/>
              <w:right w:val="single" w:sz="6" w:space="0" w:color="000000"/>
              <w:tl2br w:val="nil"/>
              <w:tr2bl w:val="nil"/>
            </w:tcBorders>
            <w:noWrap/>
            <w:vAlign w:val="center"/>
          </w:tcPr>
          <w:p>
            <w:pPr>
              <w:rPr>
                <w:rFonts w:eastAsia="宋体" w:cs="Times New Roman"/>
                <w:sz w:val="24"/>
              </w:rPr>
            </w:pPr>
          </w:p>
        </w:tc>
        <w:tc>
          <w:tcPr>
            <w:tcW w:w="1352"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4"/>
              </w:rPr>
            </w:pPr>
          </w:p>
        </w:tc>
        <w:tc>
          <w:tcPr>
            <w:tcW w:w="1352"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4"/>
              </w:rPr>
            </w:pPr>
          </w:p>
        </w:tc>
        <w:tc>
          <w:tcPr>
            <w:tcW w:w="2191"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4"/>
              </w:rPr>
            </w:pPr>
          </w:p>
        </w:tc>
      </w:tr>
      <w:tr>
        <w:trPr>
          <w:trHeight w:val="284"/>
        </w:trPr>
        <w:tc>
          <w:tcPr>
            <w:tcW w:w="8471" w:type="dxa"/>
            <w:gridSpan w:val="5"/>
            <w:tcBorders>
              <w:top w:val="nil"/>
              <w:left w:val="nil"/>
              <w:bottom w:val="nil"/>
              <w:right w:val="nil"/>
              <w:tl2br w:val="nil"/>
              <w:tr2bl w:val="nil"/>
            </w:tcBorders>
            <w:noWrap/>
            <w:vAlign w:val="center"/>
          </w:tcPr>
          <w:p>
            <w:pPr>
              <w:rPr>
                <w:rFonts w:eastAsia="宋体" w:cs="Times New Roman"/>
                <w:color w:val="000000"/>
                <w:sz w:val="24"/>
              </w:rPr>
            </w:pPr>
            <w:r>
              <w:rPr>
                <w:rFonts w:eastAsia="宋体" w:cs="Times New Roman"/>
                <w:color w:val="000000"/>
                <w:sz w:val="24"/>
              </w:rPr>
              <w:t>注：本表反映部门本年度国有资本经营预算财政拨款支出情况。</w:t>
            </w:r>
          </w:p>
        </w:tc>
      </w:tr>
    </w:tbl>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tbl>
      <w:tblPr>
        <w:jc w:val="left"/>
        <w:tblW w:w="909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96"/>
        <w:gridCol w:w="474"/>
        <w:gridCol w:w="945"/>
        <w:gridCol w:w="473"/>
        <w:gridCol w:w="916"/>
        <w:gridCol w:w="664"/>
        <w:gridCol w:w="946"/>
        <w:gridCol w:w="631"/>
        <w:gridCol w:w="947"/>
        <w:gridCol w:w="472"/>
        <w:gridCol w:w="946"/>
        <w:gridCol w:w="789"/>
      </w:tblGrid>
      <w:tr>
        <w:trPr>
          <w:trHeight w:val="539"/>
        </w:trPr>
        <w:tc>
          <w:tcPr>
            <w:tcW w:w="9099" w:type="dxa"/>
            <w:gridSpan w:val="12"/>
            <w:tcBorders>
              <w:top w:val="nil"/>
              <w:left w:val="nil"/>
              <w:bottom w:val="nil"/>
              <w:right w:val="nil"/>
              <w:tl2br w:val="nil"/>
              <w:tr2bl w:val="nil"/>
            </w:tcBorders>
            <w:noWrap/>
            <w:vAlign w:val="center"/>
          </w:tcPr>
          <w:p>
            <w:pPr>
              <w:jc w:val="center"/>
              <w:rPr>
                <w:rFonts w:eastAsia="宋体" w:cs="Times New Roman"/>
                <w:color w:val="000000"/>
                <w:sz w:val="44"/>
              </w:rPr>
            </w:pPr>
            <w:r>
              <w:rPr>
                <w:rFonts w:eastAsia="宋体" w:cs="Times New Roman"/>
                <w:color w:val="000000"/>
                <w:sz w:val="44"/>
              </w:rPr>
              <w:t>财政拨款“三公经费”支出决算表</w:t>
            </w:r>
          </w:p>
          <w:p>
            <w:pPr>
              <w:pStyle w:val="92"/>
              <w:ind w:left="360" w:hangingChars="200" w:hanging="360"/>
              <w:jc w:val="right"/>
              <w:rPr>
                <w:rFonts w:eastAsia="宋体"/>
                <w:color w:val="000000"/>
                <w:sz w:val="18"/>
                <w:szCs w:val="18"/>
              </w:rPr>
            </w:pPr>
            <w:r>
              <w:rPr>
                <w:rFonts w:eastAsia="宋体"/>
                <w:color w:val="000000"/>
                <w:sz w:val="18"/>
                <w:szCs w:val="18"/>
              </w:rPr>
              <w:t>公开09表</w:t>
            </w:r>
          </w:p>
          <w:p>
            <w:pPr>
              <w:jc w:val="center"/>
              <w:rPr>
                <w:rFonts w:eastAsia="宋体" w:cs="Times New Roman"/>
                <w:color w:val="000000"/>
                <w:sz w:val="44"/>
              </w:rPr>
            </w:pPr>
            <w:r>
              <w:rPr>
                <w:rFonts w:eastAsia="宋体"/>
                <w:color w:val="000000"/>
                <w:sz w:val="18"/>
                <w:szCs w:val="18"/>
              </w:rPr>
              <w:t>部门：中华人民共和国拉萨海关                                                             单位：万元</w:t>
            </w:r>
          </w:p>
        </w:tc>
      </w:tr>
      <w:tr>
        <w:trPr>
          <w:trHeight w:val="284"/>
        </w:trPr>
        <w:tc>
          <w:tcPr>
            <w:tcW w:w="436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预算数</w:t>
            </w:r>
          </w:p>
        </w:tc>
        <w:tc>
          <w:tcPr>
            <w:tcW w:w="4731" w:type="dxa"/>
            <w:gridSpan w:val="6"/>
            <w:tcBorders>
              <w:top w:val="single" w:sz="6" w:space="0" w:color="000000"/>
              <w:left w:val="nil"/>
              <w:bottom w:val="single" w:sz="6" w:space="0" w:color="000000"/>
              <w:right w:val="nil"/>
              <w:tl2br w:val="nil"/>
              <w:tr2bl w:val="nil"/>
            </w:tcBorders>
            <w:noWrap/>
            <w:vAlign w:val="center"/>
          </w:tcPr>
          <w:p>
            <w:pPr>
              <w:jc w:val="center"/>
              <w:rPr>
                <w:rFonts w:eastAsia="宋体" w:cs="Times New Roman"/>
                <w:color w:val="000000"/>
                <w:sz w:val="22"/>
              </w:rPr>
            </w:pPr>
            <w:r>
              <w:rPr>
                <w:rFonts w:eastAsia="宋体" w:cs="Times New Roman"/>
                <w:color w:val="000000"/>
                <w:sz w:val="22"/>
              </w:rPr>
              <w:t>决算数</w:t>
            </w:r>
          </w:p>
        </w:tc>
      </w:tr>
      <w:tr>
        <w:trPr>
          <w:trHeight w:val="284"/>
        </w:trPr>
        <w:tc>
          <w:tcPr>
            <w:tcW w:w="896" w:type="dxa"/>
            <w:vMerge w:val="restart"/>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合计</w:t>
            </w:r>
          </w:p>
        </w:tc>
        <w:tc>
          <w:tcPr>
            <w:tcW w:w="474" w:type="dxa"/>
            <w:vMerge w:val="restart"/>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因公出国 （境）费</w:t>
            </w:r>
          </w:p>
        </w:tc>
        <w:tc>
          <w:tcPr>
            <w:tcW w:w="2334" w:type="dxa"/>
            <w:gridSpan w:val="3"/>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公务用车购置及运行维护费</w:t>
            </w:r>
          </w:p>
        </w:tc>
        <w:tc>
          <w:tcPr>
            <w:tcW w:w="664" w:type="dxa"/>
            <w:vMerge w:val="restart"/>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公务接待费</w:t>
            </w:r>
          </w:p>
        </w:tc>
        <w:tc>
          <w:tcPr>
            <w:tcW w:w="946" w:type="dxa"/>
            <w:vMerge w:val="restart"/>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合计</w:t>
            </w:r>
          </w:p>
        </w:tc>
        <w:tc>
          <w:tcPr>
            <w:tcW w:w="631" w:type="dxa"/>
            <w:vMerge w:val="restart"/>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因公出国 （境）费</w:t>
            </w:r>
          </w:p>
        </w:tc>
        <w:tc>
          <w:tcPr>
            <w:tcW w:w="2365" w:type="dxa"/>
            <w:gridSpan w:val="3"/>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公务用车购置及运行维护费</w:t>
            </w:r>
          </w:p>
        </w:tc>
        <w:tc>
          <w:tcPr>
            <w:tcW w:w="789" w:type="dxa"/>
            <w:vMerge w:val="restart"/>
            <w:tcBorders>
              <w:top w:val="nil"/>
              <w:left w:val="nil"/>
              <w:bottom w:val="single" w:sz="6" w:space="0" w:color="000000"/>
              <w:right w:val="single" w:sz="6" w:space="0" w:color="000000"/>
              <w:tl2br w:val="nil"/>
              <w:tr2bl w:val="nil"/>
            </w:tcBorders>
            <w:noWrap/>
            <w:vAlign w:val="center"/>
          </w:tcPr>
          <w:p>
            <w:pPr>
              <w:pStyle w:val="24"/>
              <w:jc w:val="center"/>
              <w:rPr>
                <w:rFonts w:eastAsia="宋体" w:cs="Times New Roman"/>
                <w:color w:val="000000"/>
                <w:sz w:val="22"/>
              </w:rPr>
            </w:pPr>
            <w:r>
              <w:rPr>
                <w:rFonts w:eastAsia="宋体" w:cs="Times New Roman"/>
                <w:color w:val="000000"/>
                <w:sz w:val="22"/>
              </w:rPr>
              <w:t>公务接待费</w:t>
            </w:r>
          </w:p>
        </w:tc>
      </w:tr>
      <w:tr>
        <w:trPr>
          <w:trHeight w:val="569"/>
        </w:trPr>
        <w:tc>
          <w:tcPr>
            <w:tcW w:w="896" w:type="dxa"/>
            <w:vMerge/>
            <w:tcBorders>
              <w:top w:val="nil"/>
              <w:left w:val="single" w:sz="6" w:space="0" w:color="000000"/>
              <w:bottom w:val="single" w:sz="6" w:space="0" w:color="000000"/>
              <w:right w:val="single" w:sz="6" w:space="0" w:color="000000"/>
              <w:tl2br w:val="nil"/>
              <w:tr2bl w:val="nil"/>
            </w:tcBorders>
            <w:noWrap/>
            <w:vAlign w:val="center"/>
          </w:tcPr>
          <w:p/>
        </w:tc>
        <w:tc>
          <w:tcPr>
            <w:tcW w:w="474" w:type="dxa"/>
            <w:vMerge/>
            <w:tcBorders>
              <w:top w:val="nil"/>
              <w:left w:val="nil"/>
              <w:bottom w:val="single" w:sz="6" w:space="0" w:color="000000"/>
              <w:right w:val="single" w:sz="6" w:space="0" w:color="000000"/>
              <w:tl2br w:val="nil"/>
              <w:tr2bl w:val="nil"/>
            </w:tcBorders>
            <w:noWrap/>
            <w:vAlign w:val="center"/>
          </w:tcPr>
          <w:p/>
        </w:tc>
        <w:tc>
          <w:tcPr>
            <w:tcW w:w="94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 xml:space="preserve">小计 </w:t>
            </w:r>
          </w:p>
        </w:tc>
        <w:tc>
          <w:tcPr>
            <w:tcW w:w="473"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公务用车购置费</w:t>
            </w:r>
          </w:p>
        </w:tc>
        <w:tc>
          <w:tcPr>
            <w:tcW w:w="916"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公务用车运行维护费</w:t>
            </w:r>
          </w:p>
        </w:tc>
        <w:tc>
          <w:tcPr>
            <w:tcW w:w="664" w:type="dxa"/>
            <w:vMerge/>
            <w:tcBorders>
              <w:top w:val="nil"/>
              <w:left w:val="nil"/>
              <w:bottom w:val="single" w:sz="6" w:space="0" w:color="000000"/>
              <w:right w:val="single" w:sz="6" w:space="0" w:color="000000"/>
              <w:tl2br w:val="nil"/>
              <w:tr2bl w:val="nil"/>
            </w:tcBorders>
            <w:noWrap/>
            <w:vAlign w:val="center"/>
          </w:tcPr>
          <w:p/>
        </w:tc>
        <w:tc>
          <w:tcPr>
            <w:tcW w:w="946" w:type="dxa"/>
            <w:vMerge/>
            <w:tcBorders>
              <w:top w:val="nil"/>
              <w:left w:val="nil"/>
              <w:bottom w:val="single" w:sz="6" w:space="0" w:color="000000"/>
              <w:right w:val="single" w:sz="6" w:space="0" w:color="000000"/>
              <w:tl2br w:val="nil"/>
              <w:tr2bl w:val="nil"/>
            </w:tcBorders>
            <w:noWrap/>
            <w:vAlign w:val="center"/>
          </w:tcPr>
          <w:p/>
        </w:tc>
        <w:tc>
          <w:tcPr>
            <w:tcW w:w="631" w:type="dxa"/>
            <w:vMerge/>
            <w:tcBorders>
              <w:top w:val="nil"/>
              <w:left w:val="nil"/>
              <w:bottom w:val="single" w:sz="6" w:space="0" w:color="000000"/>
              <w:right w:val="single" w:sz="6" w:space="0" w:color="000000"/>
              <w:tl2br w:val="nil"/>
              <w:tr2bl w:val="nil"/>
            </w:tcBorders>
            <w:noWrap/>
            <w:vAlign w:val="center"/>
          </w:tcPr>
          <w:p/>
        </w:tc>
        <w:tc>
          <w:tcPr>
            <w:tcW w:w="947"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 xml:space="preserve">小计 </w:t>
            </w:r>
          </w:p>
        </w:tc>
        <w:tc>
          <w:tcPr>
            <w:tcW w:w="472"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公务用车购置费</w:t>
            </w:r>
          </w:p>
        </w:tc>
        <w:tc>
          <w:tcPr>
            <w:tcW w:w="946"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公务用车运行维护费</w:t>
            </w:r>
          </w:p>
        </w:tc>
        <w:tc>
          <w:tcPr>
            <w:tcW w:w="1171" w:type="dxa"/>
            <w:vMerge/>
            <w:tcBorders>
              <w:top w:val="nil"/>
              <w:left w:val="nil"/>
              <w:bottom w:val="single" w:sz="6" w:space="0" w:color="000000"/>
              <w:right w:val="single" w:sz="6" w:space="0" w:color="000000"/>
              <w:tl2br w:val="nil"/>
              <w:tr2bl w:val="nil"/>
            </w:tcBorders>
            <w:noWrap/>
            <w:vAlign w:val="center"/>
          </w:tcPr>
          <w:p/>
        </w:tc>
      </w:tr>
      <w:tr>
        <w:trPr>
          <w:trHeight w:val="284"/>
        </w:trPr>
        <w:tc>
          <w:tcPr>
            <w:tcW w:w="896" w:type="dxa"/>
            <w:tcBorders>
              <w:top w:val="nil"/>
              <w:left w:val="single" w:sz="6" w:space="0" w:color="000000"/>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1</w:t>
            </w:r>
          </w:p>
        </w:tc>
        <w:tc>
          <w:tcPr>
            <w:tcW w:w="47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2</w:t>
            </w:r>
          </w:p>
        </w:tc>
        <w:tc>
          <w:tcPr>
            <w:tcW w:w="945"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3</w:t>
            </w:r>
          </w:p>
        </w:tc>
        <w:tc>
          <w:tcPr>
            <w:tcW w:w="473"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4</w:t>
            </w:r>
          </w:p>
        </w:tc>
        <w:tc>
          <w:tcPr>
            <w:tcW w:w="916"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5</w:t>
            </w:r>
          </w:p>
        </w:tc>
        <w:tc>
          <w:tcPr>
            <w:tcW w:w="664"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6</w:t>
            </w:r>
          </w:p>
        </w:tc>
        <w:tc>
          <w:tcPr>
            <w:tcW w:w="946"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7</w:t>
            </w:r>
          </w:p>
        </w:tc>
        <w:tc>
          <w:tcPr>
            <w:tcW w:w="631"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8</w:t>
            </w:r>
          </w:p>
        </w:tc>
        <w:tc>
          <w:tcPr>
            <w:tcW w:w="947"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9</w:t>
            </w:r>
          </w:p>
        </w:tc>
        <w:tc>
          <w:tcPr>
            <w:tcW w:w="472"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10</w:t>
            </w:r>
          </w:p>
        </w:tc>
        <w:tc>
          <w:tcPr>
            <w:tcW w:w="946"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11</w:t>
            </w:r>
          </w:p>
        </w:tc>
        <w:tc>
          <w:tcPr>
            <w:tcW w:w="789" w:type="dxa"/>
            <w:tcBorders>
              <w:top w:val="nil"/>
              <w:left w:val="nil"/>
              <w:bottom w:val="single" w:sz="6" w:space="0" w:color="000000"/>
              <w:right w:val="single" w:sz="6" w:space="0" w:color="000000"/>
              <w:tl2br w:val="nil"/>
              <w:tr2bl w:val="nil"/>
            </w:tcBorders>
            <w:noWrap/>
            <w:vAlign w:val="center"/>
          </w:tcPr>
          <w:p>
            <w:pPr>
              <w:jc w:val="center"/>
              <w:rPr>
                <w:rFonts w:eastAsia="宋体" w:cs="Times New Roman"/>
                <w:color w:val="000000"/>
                <w:sz w:val="22"/>
              </w:rPr>
            </w:pPr>
            <w:r>
              <w:rPr>
                <w:rFonts w:eastAsia="宋体" w:cs="Times New Roman"/>
                <w:color w:val="000000"/>
                <w:sz w:val="22"/>
              </w:rPr>
              <w:t>12</w:t>
            </w:r>
          </w:p>
        </w:tc>
      </w:tr>
      <w:tr>
        <w:trPr>
          <w:trHeight w:val="284"/>
        </w:trPr>
        <w:tc>
          <w:tcPr>
            <w:tcW w:w="896" w:type="dxa"/>
            <w:tcBorders>
              <w:top w:val="nil"/>
              <w:left w:val="single" w:sz="6" w:space="0" w:color="000000"/>
              <w:bottom w:val="single" w:sz="6" w:space="0" w:color="000000"/>
              <w:right w:val="single" w:sz="6" w:space="0" w:color="000000"/>
              <w:tl2br w:val="nil"/>
              <w:tr2bl w:val="nil"/>
            </w:tcBorders>
            <w:noWrap/>
            <w:vAlign w:val="center"/>
          </w:tcPr>
          <w:p>
            <w:pPr>
              <w:rPr>
                <w:rFonts w:eastAsia="Arial" w:cs="Times New Roman"/>
                <w:sz w:val="22"/>
              </w:rPr>
            </w:pPr>
            <w:r>
              <w:rPr>
                <w:rFonts w:eastAsia="Arial" w:cs="Times New Roman"/>
                <w:sz w:val="22"/>
              </w:rPr>
              <w:t xml:space="preserve">329.51 </w:t>
            </w:r>
          </w:p>
        </w:tc>
        <w:tc>
          <w:tcPr>
            <w:tcW w:w="47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p>
        </w:tc>
        <w:tc>
          <w:tcPr>
            <w:tcW w:w="945"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r>
              <w:rPr>
                <w:rFonts w:eastAsia="Arial" w:cs="Times New Roman"/>
                <w:sz w:val="22"/>
              </w:rPr>
              <w:t xml:space="preserve">323.72 </w:t>
            </w:r>
          </w:p>
        </w:tc>
        <w:tc>
          <w:tcPr>
            <w:tcW w:w="473"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p>
        </w:tc>
        <w:tc>
          <w:tcPr>
            <w:tcW w:w="916"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r>
              <w:rPr>
                <w:rFonts w:eastAsia="Arial" w:cs="Times New Roman"/>
                <w:sz w:val="22"/>
              </w:rPr>
              <w:t xml:space="preserve">323.72 </w:t>
            </w:r>
          </w:p>
        </w:tc>
        <w:tc>
          <w:tcPr>
            <w:tcW w:w="664"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r>
              <w:rPr>
                <w:rFonts w:eastAsia="Arial" w:cs="Times New Roman"/>
                <w:sz w:val="22"/>
              </w:rPr>
              <w:t xml:space="preserve">5.79 </w:t>
            </w:r>
          </w:p>
        </w:tc>
        <w:tc>
          <w:tcPr>
            <w:tcW w:w="946"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r>
              <w:rPr>
                <w:rFonts w:eastAsia="Arial" w:cs="Times New Roman"/>
                <w:sz w:val="22"/>
              </w:rPr>
              <w:t xml:space="preserve">326.57 </w:t>
            </w:r>
          </w:p>
        </w:tc>
        <w:tc>
          <w:tcPr>
            <w:tcW w:w="631"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p>
        </w:tc>
        <w:tc>
          <w:tcPr>
            <w:tcW w:w="947"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r>
              <w:rPr>
                <w:rFonts w:eastAsia="Arial" w:cs="Times New Roman"/>
                <w:sz w:val="22"/>
              </w:rPr>
              <w:t xml:space="preserve">323.72 </w:t>
            </w:r>
          </w:p>
        </w:tc>
        <w:tc>
          <w:tcPr>
            <w:tcW w:w="472"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p>
        </w:tc>
        <w:tc>
          <w:tcPr>
            <w:tcW w:w="946"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r>
              <w:rPr>
                <w:rFonts w:eastAsia="Arial" w:cs="Times New Roman"/>
                <w:sz w:val="22"/>
              </w:rPr>
              <w:t xml:space="preserve">323.72 </w:t>
            </w:r>
          </w:p>
        </w:tc>
        <w:tc>
          <w:tcPr>
            <w:tcW w:w="789" w:type="dxa"/>
            <w:tcBorders>
              <w:top w:val="nil"/>
              <w:left w:val="nil"/>
              <w:bottom w:val="single" w:sz="6" w:space="0" w:color="000000"/>
              <w:right w:val="single" w:sz="6" w:space="0" w:color="000000"/>
              <w:tl2br w:val="nil"/>
              <w:tr2bl w:val="nil"/>
            </w:tcBorders>
            <w:noWrap/>
            <w:vAlign w:val="center"/>
          </w:tcPr>
          <w:p>
            <w:pPr>
              <w:jc w:val="right"/>
              <w:rPr>
                <w:rFonts w:eastAsia="Arial" w:cs="Times New Roman"/>
                <w:sz w:val="22"/>
              </w:rPr>
            </w:pPr>
            <w:r>
              <w:rPr>
                <w:rFonts w:eastAsia="Arial" w:cs="Times New Roman"/>
                <w:sz w:val="22"/>
              </w:rPr>
              <w:t xml:space="preserve">2.85 </w:t>
            </w:r>
          </w:p>
        </w:tc>
      </w:tr>
      <w:tr>
        <w:trPr>
          <w:trHeight w:val="284"/>
        </w:trPr>
        <w:tc>
          <w:tcPr>
            <w:tcW w:w="9099" w:type="dxa"/>
            <w:gridSpan w:val="12"/>
            <w:tcBorders>
              <w:top w:val="nil"/>
              <w:left w:val="nil"/>
              <w:bottom w:val="nil"/>
              <w:right w:val="nil"/>
              <w:tl2br w:val="nil"/>
              <w:tr2bl w:val="nil"/>
            </w:tcBorders>
            <w:noWrap/>
            <w:vAlign w:val="center"/>
          </w:tcPr>
          <w:p>
            <w:pPr>
              <w:rPr>
                <w:rFonts w:eastAsia="宋体" w:cs="Times New Roman"/>
                <w:color w:val="000000"/>
                <w:sz w:val="22"/>
              </w:rPr>
            </w:pPr>
            <w:r>
              <w:rPr>
                <w:rFonts w:eastAsia="宋体" w:cs="Times New Roman"/>
                <w:color w:val="00000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jc w:val="center"/>
        <w:outlineLvl w:val="1"/>
        <w:rPr>
          <w:rStyle w:val="20"/>
          <w:rFonts w:ascii="方正黑体_GBK" w:eastAsia="方正黑体_GBK" w:cs="Times New Roman"/>
          <w:b/>
          <w:i w:val="0"/>
          <w:iCs w:val="0"/>
          <w:caps w:val="0"/>
          <w:smallCaps w:val="0"/>
          <w:vanish w:val="0"/>
          <w:color w:val="303133"/>
          <w:spacing w:val="0"/>
          <w:sz w:val="48"/>
          <w:szCs w:val="48"/>
        </w:rPr>
      </w:pPr>
    </w:p>
    <w:p>
      <w:pPr>
        <w:pStyle w:val="2"/>
        <w:pBdr>
          <w:top w:val="none" w:sz="0" w:space="0" w:color="auto"/>
          <w:left w:val="none" w:sz="0" w:space="0" w:color="auto"/>
          <w:bottom w:val="none" w:sz="0" w:space="0" w:color="auto"/>
          <w:right w:val="none" w:sz="0" w:space="0" w:color="auto"/>
        </w:pBdr>
        <w:shd w:val="clear" w:color="auto" w:fill="FFFFFF"/>
        <w:ind w:firstLine="0"/>
        <w:jc w:val="center"/>
        <w:outlineLvl w:val="1"/>
        <w:rPr>
          <w:rStyle w:val="20"/>
          <w:rFonts w:ascii="方正黑体_GBK" w:eastAsia="方正黑体_GBK" w:cs="Times New Roman"/>
          <w:b/>
          <w:i w:val="0"/>
          <w:iCs w:val="0"/>
          <w:caps w:val="0"/>
          <w:smallCaps w:val="0"/>
          <w:vanish w:val="0"/>
          <w:color w:val="303133"/>
          <w:spacing w:val="0"/>
          <w:sz w:val="48"/>
          <w:szCs w:val="48"/>
        </w:rPr>
      </w:pPr>
    </w:p>
    <w:p>
      <w:pPr>
        <w:pStyle w:val="2"/>
        <w:pBdr>
          <w:top w:val="none" w:sz="0" w:space="0" w:color="auto"/>
          <w:left w:val="none" w:sz="0" w:space="0" w:color="auto"/>
          <w:bottom w:val="none" w:sz="0" w:space="0" w:color="auto"/>
          <w:right w:val="none" w:sz="0" w:space="0" w:color="auto"/>
        </w:pBdr>
        <w:shd w:val="clear" w:color="auto" w:fill="FFFFFF"/>
        <w:ind w:firstLine="0"/>
        <w:jc w:val="center"/>
        <w:outlineLvl w:val="1"/>
        <w:rPr>
          <w:rStyle w:val="20"/>
          <w:rFonts w:ascii="方正黑体_GBK" w:eastAsia="方正黑体_GBK" w:cs="Times New Roman"/>
          <w:b/>
          <w:i w:val="0"/>
          <w:iCs w:val="0"/>
          <w:caps w:val="0"/>
          <w:smallCaps w:val="0"/>
          <w:vanish w:val="0"/>
          <w:color w:val="303133"/>
          <w:spacing w:val="0"/>
          <w:sz w:val="48"/>
          <w:szCs w:val="48"/>
        </w:rPr>
      </w:pPr>
    </w:p>
    <w:p>
      <w:pPr>
        <w:pStyle w:val="2"/>
        <w:pBdr>
          <w:top w:val="none" w:sz="0" w:space="0" w:color="auto"/>
          <w:left w:val="none" w:sz="0" w:space="0" w:color="auto"/>
          <w:bottom w:val="none" w:sz="0" w:space="0" w:color="auto"/>
          <w:right w:val="none" w:sz="0" w:space="0" w:color="auto"/>
        </w:pBdr>
        <w:shd w:val="clear" w:color="auto" w:fill="FFFFFF"/>
        <w:ind w:firstLine="0"/>
        <w:jc w:val="center"/>
        <w:outlineLvl w:val="1"/>
        <w:rPr>
          <w:rStyle w:val="20"/>
          <w:rFonts w:ascii="方正黑体_GBK" w:eastAsia="方正黑体_GBK" w:cs="Times New Roman"/>
          <w:b/>
          <w:i w:val="0"/>
          <w:iCs w:val="0"/>
          <w:caps w:val="0"/>
          <w:smallCaps w:val="0"/>
          <w:vanish w:val="0"/>
          <w:color w:val="303133"/>
          <w:spacing w:val="0"/>
          <w:sz w:val="48"/>
          <w:szCs w:val="48"/>
        </w:rPr>
      </w:pPr>
    </w:p>
    <w:p>
      <w:pPr>
        <w:pStyle w:val="2"/>
        <w:pBdr>
          <w:top w:val="none" w:sz="0" w:space="0" w:color="auto"/>
          <w:left w:val="none" w:sz="0" w:space="0" w:color="auto"/>
          <w:bottom w:val="none" w:sz="0" w:space="0" w:color="auto"/>
          <w:right w:val="none" w:sz="0" w:space="0" w:color="auto"/>
        </w:pBdr>
        <w:shd w:val="clear" w:color="auto" w:fill="FFFFFF"/>
        <w:ind w:firstLine="0"/>
        <w:jc w:val="center"/>
        <w:outlineLvl w:val="1"/>
        <w:rPr>
          <w:rStyle w:val="20"/>
          <w:rFonts w:ascii="方正黑体_GBK" w:eastAsia="方正黑体_GBK" w:cs="Times New Roman" w:hint="eastAsia"/>
          <w:b/>
          <w:i w:val="0"/>
          <w:iCs w:val="0"/>
          <w:caps w:val="0"/>
          <w:smallCaps w:val="0"/>
          <w:vanish w:val="0"/>
          <w:color w:val="303133"/>
          <w:spacing w:val="0"/>
          <w:sz w:val="48"/>
          <w:szCs w:val="48"/>
        </w:rPr>
      </w:pPr>
      <w:r>
        <w:rPr>
          <w:rStyle w:val="20"/>
          <w:rFonts w:ascii="方正黑体_GBK" w:eastAsia="方正黑体_GBK" w:cs="Times New Roman" w:hint="eastAsia"/>
          <w:b/>
          <w:i w:val="0"/>
          <w:iCs w:val="0"/>
          <w:caps w:val="0"/>
          <w:smallCaps w:val="0"/>
          <w:vanish w:val="0"/>
          <w:color w:val="303133"/>
          <w:spacing w:val="0"/>
          <w:sz w:val="48"/>
          <w:szCs w:val="48"/>
        </w:rPr>
        <w:t>第三部分 部门决算情况说明</w:t>
      </w: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2"/>
        <w:pBdr>
          <w:top w:val="none" w:sz="0" w:space="0" w:color="auto"/>
          <w:left w:val="none" w:sz="0" w:space="0" w:color="auto"/>
          <w:bottom w:val="none" w:sz="0" w:space="0" w:color="auto"/>
          <w:right w:val="none" w:sz="0" w:space="0" w:color="auto"/>
        </w:pBdr>
        <w:shd w:val="clear" w:color="auto" w:fill="FFFFFF"/>
        <w:ind w:firstLine="0"/>
        <w:outlineLvl w:val="1"/>
        <w:rPr>
          <w:rStyle w:val="20"/>
          <w:rFonts w:ascii="Times New Roman" w:cs="Times New Roman" w:hAnsi="Times New Roman"/>
          <w:b/>
          <w:i w:val="0"/>
          <w:iCs w:val="0"/>
          <w:caps w:val="0"/>
          <w:smallCaps w:val="0"/>
          <w:vanish w:val="0"/>
          <w:color w:val="303133"/>
          <w:spacing w:val="0"/>
          <w:sz w:val="36"/>
        </w:rPr>
      </w:pPr>
    </w:p>
    <w:p>
      <w:pPr>
        <w:pStyle w:val="3"/>
        <w:pBdr>
          <w:top w:val="none" w:sz="0" w:space="0" w:color="auto"/>
          <w:left w:val="none" w:sz="0" w:space="0" w:color="auto"/>
          <w:bottom w:val="none" w:sz="0" w:space="0" w:color="auto"/>
          <w:right w:val="none" w:sz="0" w:space="0" w:color="auto"/>
        </w:pBdr>
        <w:shd w:val="clear" w:color="auto" w:fill="FFFFFF"/>
        <w:ind w:firstLine="0"/>
        <w:outlineLvl w:val="2"/>
        <w:rPr>
          <w:rFonts w:ascii="Times New Roman" w:eastAsia="方正黑体_GBK" w:cs="Times New Roman" w:hAnsi="Times New Roman"/>
          <w:b w:val="0"/>
          <w:i w:val="0"/>
          <w:iCs w:val="0"/>
          <w:caps w:val="0"/>
          <w:smallCaps w:val="0"/>
          <w:vanish w:val="0"/>
          <w:color w:val="303133"/>
          <w:spacing w:val="0"/>
          <w:sz w:val="32"/>
          <w:szCs w:val="32"/>
        </w:rPr>
      </w:pPr>
      <w:r>
        <w:rPr>
          <w:rFonts w:ascii="Times New Roman" w:eastAsia="方正黑体_GBK" w:cs="Times New Roman" w:hAnsi="Times New Roman"/>
          <w:b w:val="0"/>
          <w:i w:val="0"/>
          <w:iCs w:val="0"/>
          <w:caps w:val="0"/>
          <w:smallCaps w:val="0"/>
          <w:vanish w:val="0"/>
          <w:color w:val="303133"/>
          <w:spacing w:val="0"/>
          <w:sz w:val="32"/>
          <w:szCs w:val="32"/>
        </w:rPr>
        <w:t>（一）收支情况总体说明</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bCs/>
          <w:i w:val="0"/>
          <w:iCs w:val="0"/>
          <w:caps w:val="0"/>
          <w:smallCaps w:val="0"/>
          <w:vanish w:val="0"/>
          <w:color w:val="303133"/>
          <w:spacing w:val="0"/>
          <w:sz w:val="32"/>
          <w:szCs w:val="32"/>
        </w:rPr>
      </w:pPr>
      <w:r>
        <w:rPr>
          <w:rStyle w:val="20"/>
          <w:rFonts w:ascii="Times New Roman" w:eastAsia="方正仿宋_GBK" w:cs="Times New Roman" w:hAnsi="Times New Roman"/>
          <w:bCs/>
          <w:i w:val="0"/>
          <w:iCs w:val="0"/>
          <w:caps w:val="0"/>
          <w:smallCaps w:val="0"/>
          <w:vanish w:val="0"/>
          <w:color w:val="303133"/>
          <w:spacing w:val="0"/>
          <w:sz w:val="32"/>
          <w:szCs w:val="32"/>
        </w:rPr>
        <w:t>1、收入总计 38668.24 万元。</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中华人民共和国拉萨海关 2023年度总收入 38668.24  万元，其中：本年收入合计 27135.97 万元。具体情况如下：</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480"/>
      </w:pPr>
      <w: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width:383.24417pt;height:227.99652pt;" o:ole="">
            <v:stroke color="#000000"/>
            <v:imagedata r:id="rId2" o:title="727589901734493291020"/>
            <o:lock aspectratio="t"/>
          </v:shape>
          <o:OLEObject Type="Embed" ProgID="Package" ShapeID="_x0000_i1" DrawAspect="Icon" ObjectID="_1393063351" r:id="rId3"/>
        </w:objec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（1）一般公共预算财政拨款收入 25222.02 万元。</w:t>
      </w:r>
      <w:r>
        <w:rPr>
          <w:rFonts w:ascii="Times New Roman" w:eastAsia="方正仿宋_GBK" w:cs="Times New Roman" w:hAnsi="Times New Roman"/>
          <w:b w:val="0"/>
          <w:bCs w:val="0"/>
          <w:i w:val="0"/>
          <w:iCs w:val="0"/>
          <w:caps w:val="0"/>
          <w:smallCaps w:val="0"/>
          <w:vanish w:val="0"/>
          <w:color w:val="303133"/>
          <w:spacing w:val="0"/>
          <w:sz w:val="32"/>
          <w:szCs w:val="32"/>
        </w:rPr>
        <w:t>系中华人民共和国拉萨海关所属行政单位、事业单位当年从中央财政取得一般公共预算资金。比2022年度决算数减少4208.27万元，降低16.69%，主要原因是基本支出和项目支出减少。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（2）政府性基金预算财政拨款收入 0.00 万元。</w:t>
      </w:r>
      <w:r>
        <w:rPr>
          <w:rFonts w:ascii="Times New Roman" w:eastAsia="方正仿宋_GBK" w:cs="Times New Roman" w:hAnsi="Times New Roman"/>
          <w:b w:val="0"/>
          <w:bCs w:val="0"/>
          <w:i w:val="0"/>
          <w:iCs w:val="0"/>
          <w:caps w:val="0"/>
          <w:smallCaps w:val="0"/>
          <w:vanish w:val="0"/>
          <w:color w:val="303133"/>
          <w:spacing w:val="0"/>
          <w:sz w:val="32"/>
          <w:szCs w:val="32"/>
        </w:rPr>
        <w:t>系中华人民共和国拉萨海关所属预算单位当年从中央财政取得政府性基金预算资金。比2022年度决算数持平。</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（3）国有资本经营预算财政拨款收入 0.00 万元</w:t>
      </w:r>
      <w:r>
        <w:rPr>
          <w:rFonts w:ascii="Times New Roman" w:eastAsia="方正仿宋_GBK" w:cs="Times New Roman" w:hAnsi="Times New Roman"/>
          <w:b w:val="0"/>
          <w:bCs w:val="0"/>
          <w:i w:val="0"/>
          <w:iCs w:val="0"/>
          <w:caps w:val="0"/>
          <w:smallCaps w:val="0"/>
          <w:vanish w:val="0"/>
          <w:color w:val="303133"/>
          <w:spacing w:val="0"/>
          <w:sz w:val="32"/>
          <w:szCs w:val="32"/>
        </w:rPr>
        <w:t>。比2022年度决算数持平。</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（4）上级补助收入 0.00 万元。</w:t>
      </w:r>
      <w:r>
        <w:rPr>
          <w:rFonts w:ascii="Times New Roman" w:eastAsia="方正仿宋_GBK" w:cs="Times New Roman" w:hAnsi="Times New Roman"/>
          <w:b w:val="0"/>
          <w:bCs w:val="0"/>
          <w:i w:val="0"/>
          <w:iCs w:val="0"/>
          <w:caps w:val="0"/>
          <w:smallCaps w:val="0"/>
          <w:vanish w:val="0"/>
          <w:color w:val="303133"/>
          <w:spacing w:val="0"/>
          <w:sz w:val="32"/>
          <w:szCs w:val="32"/>
        </w:rPr>
        <w:t>比2022年度决算数持平。</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（5）事业收入 1228.48 万元。</w:t>
      </w:r>
      <w:r>
        <w:rPr>
          <w:rFonts w:ascii="Times New Roman" w:eastAsia="方正仿宋_GBK" w:cs="Times New Roman" w:hAnsi="Times New Roman"/>
          <w:b w:val="0"/>
          <w:bCs w:val="0"/>
          <w:i w:val="0"/>
          <w:iCs w:val="0"/>
          <w:caps w:val="0"/>
          <w:smallCaps w:val="0"/>
          <w:vanish w:val="0"/>
          <w:color w:val="303133"/>
          <w:spacing w:val="0"/>
          <w:sz w:val="32"/>
          <w:szCs w:val="32"/>
        </w:rPr>
        <w:t>系中华人民共和国拉萨海关所属事业单位当年营业收入所得。比2022年度决算数增加167.57万元，提高15.79%。主要原因是2023年营业收入增加。</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（6）经营收入 0.00 万元。</w:t>
      </w:r>
      <w:r>
        <w:rPr>
          <w:rFonts w:ascii="Times New Roman" w:eastAsia="方正仿宋_GBK" w:cs="Times New Roman" w:hAnsi="Times New Roman"/>
          <w:b w:val="0"/>
          <w:bCs w:val="0"/>
          <w:i w:val="0"/>
          <w:iCs w:val="0"/>
          <w:caps w:val="0"/>
          <w:smallCaps w:val="0"/>
          <w:vanish w:val="0"/>
          <w:color w:val="303133"/>
          <w:spacing w:val="0"/>
          <w:sz w:val="32"/>
          <w:szCs w:val="32"/>
        </w:rPr>
        <w:t>比2022年度决算数持平。</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（7）其他收入 685.47 万元。</w:t>
      </w:r>
      <w:r>
        <w:rPr>
          <w:rFonts w:ascii="Times New Roman" w:eastAsia="方正仿宋_GBK" w:cs="Times New Roman" w:hAnsi="Times New Roman"/>
          <w:b w:val="0"/>
          <w:bCs w:val="0"/>
          <w:i w:val="0"/>
          <w:iCs w:val="0"/>
          <w:caps w:val="0"/>
          <w:smallCaps w:val="0"/>
          <w:vanish w:val="0"/>
          <w:color w:val="303133"/>
          <w:spacing w:val="0"/>
          <w:sz w:val="32"/>
          <w:szCs w:val="32"/>
        </w:rPr>
        <w:t>系中华人民共和国拉萨海关所属行政单位、事业单位当年从西藏自治区和地方政府取得。比2022年度决算数减少254.78万元，降低27.1%，主要原因是2022年地方拨入疫情防控资金421万元，2023年无该收入。</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（8）使用非财政拨款结余（含专用结余） 200.36 万元。</w:t>
      </w:r>
      <w:r>
        <w:rPr>
          <w:rFonts w:ascii="Times New Roman" w:eastAsia="方正仿宋_GBK" w:cs="Times New Roman" w:hAnsi="Times New Roman"/>
          <w:b w:val="0"/>
          <w:bCs w:val="0"/>
          <w:i w:val="0"/>
          <w:iCs w:val="0"/>
          <w:caps w:val="0"/>
          <w:smallCaps w:val="0"/>
          <w:vanish w:val="0"/>
          <w:color w:val="303133"/>
          <w:spacing w:val="0"/>
          <w:sz w:val="32"/>
          <w:szCs w:val="32"/>
        </w:rPr>
        <w:t>系中华人民共和国拉萨海关所属事业单位当年从以前年度结余资金中所得。比2022年度决算数增加163.68万元，提高446.24%，主要原因是......。</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（9）年初结转和结余 11331.90 万元。</w:t>
      </w:r>
      <w:r>
        <w:rPr>
          <w:rFonts w:ascii="Times New Roman" w:eastAsia="方正仿宋_GBK" w:cs="Times New Roman" w:hAnsi="Times New Roman"/>
          <w:b w:val="0"/>
          <w:bCs w:val="0"/>
          <w:i w:val="0"/>
          <w:iCs w:val="0"/>
          <w:caps w:val="0"/>
          <w:smallCaps w:val="0"/>
          <w:vanish w:val="0"/>
          <w:color w:val="303133"/>
          <w:spacing w:val="0"/>
          <w:sz w:val="32"/>
          <w:szCs w:val="32"/>
        </w:rPr>
        <w:t>系中华人民共和国拉萨海关所属行政单位、事业单位当年从......。比2022年度决算数减少107.07万元，减少0.94%，主要原因是收入减少，结余减少。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bCs/>
          <w:i w:val="0"/>
          <w:iCs w:val="0"/>
          <w:caps w:val="0"/>
          <w:smallCaps w:val="0"/>
          <w:vanish w:val="0"/>
          <w:color w:val="303133"/>
          <w:spacing w:val="0"/>
          <w:sz w:val="32"/>
          <w:szCs w:val="32"/>
        </w:rPr>
      </w:pPr>
      <w:r>
        <w:rPr>
          <w:rStyle w:val="20"/>
          <w:rFonts w:ascii="Times New Roman" w:eastAsia="方正仿宋_GBK" w:cs="Times New Roman" w:hAnsi="Times New Roman"/>
          <w:bCs/>
          <w:i w:val="0"/>
          <w:iCs w:val="0"/>
          <w:caps w:val="0"/>
          <w:smallCaps w:val="0"/>
          <w:vanish w:val="0"/>
          <w:color w:val="303133"/>
          <w:spacing w:val="0"/>
          <w:sz w:val="32"/>
          <w:szCs w:val="32"/>
        </w:rPr>
        <w:t>2、支出总计 38668.24 万元。</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中华人民共和国拉萨海关 2023年度总支出 38668.24 万元。其中，本年支出 27410.57  万元。具体情况如下：</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480"/>
      </w:pPr>
      <w:r>
        <w:object>
          <v:shape id="_x0000_i2" type="#_x0000_t75" filled="f" stroked="f" style="width:382.49417pt;height:227.99652pt;" o:ole="">
            <v:stroke color="#000000"/>
            <v:imagedata r:id="rId4" o:title="723728761734493291031"/>
            <o:lock aspectratio="t"/>
          </v:shape>
          <o:OLEObject Type="Embed" ProgID="Package" ShapeID="_x0000_i2" DrawAspect="Icon" ObjectID="_1393063352" r:id="rId5"/>
        </w:objec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（1）一般公共服务支出（类）20366.13 万元。</w:t>
      </w:r>
      <w:r>
        <w:rPr>
          <w:rFonts w:ascii="Times New Roman" w:eastAsia="方正仿宋_GBK" w:cs="Times New Roman" w:hAnsi="Times New Roman"/>
          <w:b w:val="0"/>
          <w:bCs w:val="0"/>
          <w:i w:val="0"/>
          <w:iCs w:val="0"/>
          <w:caps w:val="0"/>
          <w:smallCaps w:val="0"/>
          <w:vanish w:val="0"/>
          <w:color w:val="303133"/>
          <w:spacing w:val="0"/>
          <w:sz w:val="32"/>
          <w:szCs w:val="32"/>
        </w:rPr>
        <w:t>主要用于保障行政机构和事业机构运转的正常支出和基本建设项目支出等。比2022年度决算数减少4243.52万元，降低17.24%，主要原因是收入减少，支出减少。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（2）公共安全支出（类）1777.46 万元。</w:t>
      </w:r>
      <w:r>
        <w:rPr>
          <w:rFonts w:ascii="Times New Roman" w:eastAsia="方正仿宋_GBK" w:cs="Times New Roman" w:hAnsi="Times New Roman"/>
          <w:b w:val="0"/>
          <w:bCs w:val="0"/>
          <w:i w:val="0"/>
          <w:iCs w:val="0"/>
          <w:caps w:val="0"/>
          <w:smallCaps w:val="0"/>
          <w:vanish w:val="0"/>
          <w:color w:val="303133"/>
          <w:spacing w:val="0"/>
          <w:sz w:val="32"/>
          <w:szCs w:val="32"/>
        </w:rPr>
        <w:t>主要用于保障缉私部门日常工作运转、打击走私等支出。比2022年度决算数减少58.32万元，降低3.18%，主要原因是主要原因是收入减少，支出减少。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（3）社会保障和就业支出（类）2285.21 万元。</w:t>
      </w:r>
      <w:r>
        <w:rPr>
          <w:rFonts w:ascii="Times New Roman" w:eastAsia="方正仿宋_GBK" w:cs="Times New Roman" w:hAnsi="Times New Roman"/>
          <w:b w:val="0"/>
          <w:bCs w:val="0"/>
          <w:i w:val="0"/>
          <w:iCs w:val="0"/>
          <w:caps w:val="0"/>
          <w:smallCaps w:val="0"/>
          <w:vanish w:val="0"/>
          <w:color w:val="303133"/>
          <w:spacing w:val="0"/>
          <w:sz w:val="32"/>
          <w:szCs w:val="32"/>
        </w:rPr>
        <w:t>主要用于关区机关事业单位基本养老保险缴费支出和机关事业单位职业年金缴费支出等。比2022年度决算数增加497.33万元，提高27.65%，主要原因是......。</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（4）卫生健康支出（类）863.79 万元。</w:t>
      </w:r>
      <w:r>
        <w:rPr>
          <w:rFonts w:ascii="Times New Roman" w:eastAsia="方正仿宋_GBK" w:cs="Times New Roman" w:hAnsi="Times New Roman"/>
          <w:b w:val="0"/>
          <w:bCs w:val="0"/>
          <w:i w:val="0"/>
          <w:iCs w:val="0"/>
          <w:caps w:val="0"/>
          <w:smallCaps w:val="0"/>
          <w:vanish w:val="0"/>
          <w:color w:val="303133"/>
          <w:spacing w:val="0"/>
          <w:sz w:val="32"/>
          <w:szCs w:val="32"/>
        </w:rPr>
        <w:t>主要用于关区行政单位医疗等。比2022年度决算数增加123万元，提高16.6%，主要原因是......。</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（5）住房保障支出（类）2117.98 万元。</w:t>
      </w:r>
      <w:r>
        <w:rPr>
          <w:rFonts w:ascii="Times New Roman" w:eastAsia="方正仿宋_GBK" w:cs="Times New Roman" w:hAnsi="Times New Roman"/>
          <w:b w:val="0"/>
          <w:bCs w:val="0"/>
          <w:i w:val="0"/>
          <w:iCs w:val="0"/>
          <w:caps w:val="0"/>
          <w:smallCaps w:val="0"/>
          <w:vanish w:val="0"/>
          <w:color w:val="303133"/>
          <w:spacing w:val="0"/>
          <w:sz w:val="32"/>
          <w:szCs w:val="32"/>
        </w:rPr>
        <w:t>主要用于关区行政单位住房公积金和住房补贴支出。比2022年度决算数增加123万元，提高16.6%，主要原因是......。</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（6）结余分配（类）359.08 万元。</w:t>
      </w:r>
      <w:r>
        <w:rPr>
          <w:rFonts w:ascii="Times New Roman" w:eastAsia="方正仿宋_GBK" w:cs="Times New Roman" w:hAnsi="Times New Roman"/>
          <w:b w:val="0"/>
          <w:bCs w:val="0"/>
          <w:i w:val="0"/>
          <w:iCs w:val="0"/>
          <w:caps w:val="0"/>
          <w:smallCaps w:val="0"/>
          <w:vanish w:val="0"/>
          <w:color w:val="303133"/>
          <w:spacing w:val="0"/>
          <w:sz w:val="32"/>
          <w:szCs w:val="32"/>
        </w:rPr>
        <w:t>主要用于事业单位按政府会计准则制度规定在 2023 年度非财政拨款收支结余中缴纳企业所得税、提取专用结余和转入非财政拨款结余等的资金。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Style w:val="20"/>
          <w:rFonts w:ascii="Times New Roman" w:eastAsia="方正仿宋_GBK" w:cs="Times New Roman" w:hAnsi="Times New Roman"/>
          <w:b w:val="0"/>
          <w:bCs w:val="0"/>
          <w:i w:val="0"/>
          <w:iCs w:val="0"/>
          <w:caps w:val="0"/>
          <w:smallCaps w:val="0"/>
          <w:vanish w:val="0"/>
          <w:color w:val="303133"/>
          <w:spacing w:val="0"/>
          <w:sz w:val="32"/>
          <w:szCs w:val="32"/>
        </w:rPr>
        <w:t>（7）年末结转和结余（类）10898.59 万元。</w:t>
      </w:r>
      <w:r>
        <w:rPr>
          <w:rFonts w:ascii="Times New Roman" w:eastAsia="方正仿宋_GBK" w:cs="Times New Roman" w:hAnsi="Times New Roman"/>
          <w:b w:val="0"/>
          <w:bCs w:val="0"/>
          <w:i w:val="0"/>
          <w:iCs w:val="0"/>
          <w:caps w:val="0"/>
          <w:smallCaps w:val="0"/>
          <w:vanish w:val="0"/>
          <w:color w:val="303133"/>
          <w:spacing w:val="0"/>
          <w:sz w:val="32"/>
          <w:szCs w:val="32"/>
        </w:rPr>
        <w:t>主要用于行政事业单位跨年度施工的建设项目等，按有关规定结转到下年继续使用的资金和按财政部规定需要上缴的结余资金。</w:t>
      </w: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Fonts w:ascii="方正黑体_GBK" w:eastAsia="方正黑体_GBK" w:cs="Times New Roman" w:hint="eastAsia"/>
          <w:b w:val="0"/>
          <w:i w:val="0"/>
          <w:iCs w:val="0"/>
          <w:caps w:val="0"/>
          <w:smallCaps w:val="0"/>
          <w:vanish w:val="0"/>
          <w:color w:val="303133"/>
          <w:spacing w:val="0"/>
          <w:sz w:val="32"/>
          <w:szCs w:val="32"/>
        </w:rPr>
      </w:pPr>
      <w:r>
        <w:rPr>
          <w:rFonts w:ascii="方正黑体_GBK" w:eastAsia="方正黑体_GBK" w:cs="Times New Roman" w:hint="eastAsia"/>
          <w:b w:val="0"/>
          <w:i w:val="0"/>
          <w:iCs w:val="0"/>
          <w:caps w:val="0"/>
          <w:smallCaps w:val="0"/>
          <w:vanish w:val="0"/>
          <w:color w:val="303133"/>
          <w:spacing w:val="0"/>
          <w:sz w:val="32"/>
          <w:szCs w:val="32"/>
        </w:rPr>
        <w:t>（二）一般公共预算财政拨款支出情况说明</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中华人民共和国拉萨海关 2023年度一般公共预算财政拨款支出24956.74 万元，具体情况如下：</w:t>
      </w:r>
    </w:p>
    <w:p>
      <w:pPr>
        <w:pStyle w:val="53"/>
        <w:tabs>
          <w:tab w:val="clear" w:pos="720"/>
        </w:tabs>
        <w:spacing w:line="576" w:lineRule="exact"/>
        <w:ind w:leftChars="1" w:left="3" w:firstLineChars="200" w:firstLine="640"/>
        <w:rPr>
          <w:rFonts w:eastAsia="方正仿宋_GBK"/>
          <w:b/>
          <w:sz w:val="32"/>
          <w:szCs w:val="32"/>
        </w:rPr>
      </w:pPr>
      <w:r>
        <w:rPr>
          <w:rFonts w:eastAsia="方正仿宋_GBK"/>
          <w:b/>
          <w:sz w:val="32"/>
          <w:szCs w:val="32"/>
        </w:rPr>
        <w:t>1.一般公共服务支出（类）海关事务（款）行政运行（项）。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支出决算为13292.37万元，主要用于</w:t>
      </w:r>
      <w:r>
        <w:rPr>
          <w:rFonts w:ascii="Times New Roman" w:eastAsia="方正仿宋_GBK" w:cs="Times New Roman" w:hAnsi="Times New Roman"/>
          <w:b w:val="0"/>
          <w:bCs w:val="0"/>
          <w:i w:val="0"/>
          <w:iCs w:val="0"/>
          <w:caps w:val="0"/>
          <w:smallCaps w:val="0"/>
          <w:vanish w:val="0"/>
          <w:color w:val="303133"/>
          <w:spacing w:val="0"/>
          <w:sz w:val="32"/>
          <w:szCs w:val="32"/>
        </w:rPr>
        <w:t>保障行政机构和事业机构运转的正常支出和基本建设项目支出等，</w:t>
      </w:r>
      <w:r>
        <w:rPr>
          <w:rFonts w:eastAsia="方正仿宋_GBK"/>
          <w:sz w:val="32"/>
          <w:szCs w:val="32"/>
        </w:rPr>
        <w:t>完成年初预算的</w:t>
      </w:r>
      <w:r>
        <w:rPr>
          <w:rFonts w:eastAsia="方正仿宋_GBK"/>
          <w:color w:val="000000"/>
          <w:sz w:val="32"/>
          <w:szCs w:val="32"/>
        </w:rPr>
        <w:t>92.92%。</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2.一般公共服务支出（类）海关事务（款）机关服务（项）。</w:t>
      </w:r>
    </w:p>
    <w:p>
      <w:pPr>
        <w:pStyle w:val="54"/>
        <w:tabs>
          <w:tab w:val="left" w:pos="4157"/>
        </w:tabs>
        <w:spacing w:line="576" w:lineRule="exact"/>
        <w:ind w:firstLineChars="200" w:firstLine="640"/>
        <w:rPr>
          <w:rFonts w:ascii="Times New Roman" w:eastAsia="方正仿宋_GBK" w:hAnsi="Times New Roman"/>
          <w:kern w:val="0"/>
          <w:szCs w:val="32"/>
        </w:rPr>
      </w:pPr>
      <w:r>
        <w:rPr>
          <w:rFonts w:ascii="Times New Roman" w:eastAsia="方正仿宋_GBK" w:hAnsi="Times New Roman"/>
          <w:szCs w:val="32"/>
        </w:rPr>
        <w:t>支出决算为255.32万元，</w:t>
      </w:r>
      <w:r>
        <w:rPr>
          <w:rFonts w:eastAsia="方正仿宋_GBK"/>
          <w:sz w:val="32"/>
          <w:szCs w:val="32"/>
        </w:rPr>
        <w:t>主要用于</w:t>
      </w:r>
      <w:r>
        <w:rPr>
          <w:rFonts w:ascii="Times New Roman" w:eastAsia="方正仿宋_GBK" w:cs="Times New Roman" w:hAnsi="Times New Roman"/>
          <w:b w:val="0"/>
          <w:bCs w:val="0"/>
          <w:i w:val="0"/>
          <w:iCs w:val="0"/>
          <w:caps w:val="0"/>
          <w:smallCaps w:val="0"/>
          <w:vanish w:val="0"/>
          <w:color w:val="303133"/>
          <w:spacing w:val="0"/>
          <w:sz w:val="32"/>
          <w:szCs w:val="32"/>
        </w:rPr>
        <w:t>保障事业单位人员经费各公用经费支出，</w:t>
      </w:r>
      <w:r>
        <w:rPr>
          <w:rFonts w:ascii="Times New Roman" w:eastAsia="方正仿宋_GBK" w:hAnsi="Times New Roman"/>
          <w:szCs w:val="32"/>
        </w:rPr>
        <w:t>完成年初预算的34.94%。</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3.一般公共服务支出（类）海关事务（款）缉私办案（项）。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支出决算为306.89万元，主要用于打击走私、涉案财物管理和稽查业务改革等支出，完成年初预算的99.62%。</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4.一般公共服务支出（类）海关事务（款）口岸管理（项）。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支出决算为85.4万元，主要用于电子口岸建设等，完成年初预算的100%。</w:t>
      </w:r>
    </w:p>
    <w:p>
      <w:pPr>
        <w:pStyle w:val="53"/>
        <w:tabs>
          <w:tab w:val="clear" w:pos="720"/>
        </w:tabs>
        <w:spacing w:line="576" w:lineRule="exact"/>
        <w:ind w:left="0" w:firstLineChars="200" w:firstLine="640"/>
        <w:rPr>
          <w:rFonts w:eastAsia="方正仿宋_GBK"/>
          <w:sz w:val="32"/>
          <w:szCs w:val="32"/>
        </w:rPr>
      </w:pPr>
      <w:r>
        <w:rPr>
          <w:rFonts w:eastAsia="方正仿宋_GBK"/>
          <w:b/>
          <w:sz w:val="32"/>
          <w:szCs w:val="32"/>
        </w:rPr>
        <w:t>5.一般公共服务支出（类）海关事务（款）信息化建设（项）。</w:t>
      </w:r>
      <w:r>
        <w:rPr>
          <w:rFonts w:eastAsia="方正仿宋_GBK"/>
          <w:sz w:val="32"/>
          <w:szCs w:val="32"/>
        </w:rPr>
        <w:t>年初预算为</w:t>
      </w:r>
      <w:r>
        <w:rPr>
          <w:rFonts w:eastAsia="方正仿宋_GBK" w:hint="eastAsia"/>
          <w:sz w:val="32"/>
          <w:szCs w:val="32"/>
        </w:rPr>
        <w:t>285</w:t>
      </w:r>
      <w:r>
        <w:rPr>
          <w:rFonts w:eastAsia="方正仿宋_GBK"/>
          <w:sz w:val="32"/>
          <w:szCs w:val="32"/>
        </w:rPr>
        <w:t>.00万元，支出决算为</w:t>
      </w:r>
      <w:r>
        <w:rPr>
          <w:rFonts w:eastAsia="方正仿宋_GBK" w:hint="eastAsia"/>
          <w:sz w:val="32"/>
          <w:szCs w:val="32"/>
        </w:rPr>
        <w:t>285</w:t>
      </w:r>
      <w:r>
        <w:rPr>
          <w:rFonts w:eastAsia="方正仿宋_GBK"/>
          <w:sz w:val="32"/>
          <w:szCs w:val="32"/>
        </w:rPr>
        <w:t>.00万元，完成年初预算的100%。</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6.一般公共服务支出（类）海关事务（款）海关关务（项）。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支出决算为346.99万元，主要用于信息化运维、计算机国产化建设等，完成年初预算的100%。</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7.一般公共服务支出（类）海关事务（款）关税征管（项）。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支出决算为5万元，主要用于税收征管、培训等，完成年初预算的100%。</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8.一般公共服务支出（类）海关事务（款）海关监管（项）。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支出决算为83.87万元，主要用于监管设备构建、企业稽查等，完成年初预算的</w:t>
      </w:r>
      <w:r>
        <w:rPr>
          <w:rFonts w:eastAsia="方正仿宋_GBK" w:hint="eastAsia"/>
          <w:sz w:val="32"/>
          <w:szCs w:val="32"/>
        </w:rPr>
        <w:t>100</w:t>
      </w:r>
      <w:r>
        <w:rPr>
          <w:rFonts w:eastAsia="方正仿宋_GBK"/>
          <w:sz w:val="32"/>
          <w:szCs w:val="32"/>
        </w:rPr>
        <w:t>%。</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9.一般公共服务支出（类）海关事务（款）检验检疫（项）。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支出决算为642.39万元，主要用于国门生物安全检测、进出口商品质量监管、食品和化妆品监控及法检支出，完成年初预算的99.44%。</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10.一般公共服务支出（类）海关事务（款） 事业运行（项）。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支出决算为424.23万元，主要用于事业单位人员经费和项目支出，完成年初预算的58.02%。</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11.公共安全支出（类）缉私警察（款）行政运行（项）。</w:t>
      </w:r>
    </w:p>
    <w:p>
      <w:pPr>
        <w:pStyle w:val="53"/>
        <w:tabs>
          <w:tab w:val="clear" w:pos="720"/>
          <w:tab w:val="left" w:pos="720"/>
        </w:tabs>
        <w:spacing w:line="576" w:lineRule="exact"/>
        <w:ind w:left="0" w:firstLineChars="200" w:firstLine="640"/>
        <w:rPr>
          <w:rFonts w:eastAsia="方正仿宋_GBK"/>
          <w:sz w:val="32"/>
          <w:szCs w:val="32"/>
        </w:rPr>
      </w:pPr>
      <w:r>
        <w:rPr>
          <w:rFonts w:eastAsia="方正仿宋_GBK"/>
          <w:sz w:val="32"/>
          <w:szCs w:val="32"/>
        </w:rPr>
        <w:t>支出决算为1440.98万元，主要用于完成年初预算的</w:t>
      </w:r>
      <w:r>
        <w:rPr>
          <w:rFonts w:eastAsia="方正仿宋_GBK" w:hint="eastAsia"/>
          <w:sz w:val="32"/>
          <w:szCs w:val="32"/>
        </w:rPr>
        <w:t>98</w:t>
      </w:r>
      <w:r>
        <w:rPr>
          <w:rFonts w:eastAsia="方正仿宋_GBK"/>
          <w:sz w:val="32"/>
          <w:szCs w:val="32"/>
        </w:rPr>
        <w:t>.</w:t>
      </w:r>
      <w:r>
        <w:rPr>
          <w:rFonts w:eastAsia="方正仿宋_GBK" w:hint="eastAsia"/>
          <w:sz w:val="32"/>
          <w:szCs w:val="32"/>
        </w:rPr>
        <w:t>40</w:t>
      </w:r>
      <w:r>
        <w:rPr>
          <w:rFonts w:eastAsia="方正仿宋_GBK"/>
          <w:sz w:val="32"/>
          <w:szCs w:val="32"/>
        </w:rPr>
        <w:t>%。</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12.公共安全支出（类）缉私警察（款）信息化建设（项）。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w:t>
      </w:r>
      <w:r>
        <w:rPr>
          <w:rFonts w:eastAsia="方正仿宋_GBK" w:hint="eastAsia"/>
          <w:sz w:val="32"/>
          <w:szCs w:val="32"/>
        </w:rPr>
        <w:t>102.40</w:t>
      </w:r>
      <w:r>
        <w:rPr>
          <w:rFonts w:eastAsia="方正仿宋_GBK"/>
          <w:sz w:val="32"/>
          <w:szCs w:val="32"/>
        </w:rPr>
        <w:t>万元，主要用于支出缉私警察信息化方面支出，完成年初预算的93.94%。</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13.公共安全支出（类）缉私警察（款）缉私业务（项）。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支出决算为227.57万元，主要用于缉私警察和打击走私、案件办理等支出，完成年初预算的100%。</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14.社会保障和就业支出（类）行政事业单位养老支出（款）行政单位离退休（项）。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支出决算为16万元，主要用于支出关区退休干部支出，完成年初预算的100%。</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1</w:t>
      </w:r>
      <w:r>
        <w:rPr>
          <w:rFonts w:eastAsia="方正仿宋_GBK" w:hint="eastAsia"/>
          <w:b/>
          <w:sz w:val="32"/>
          <w:szCs w:val="32"/>
        </w:rPr>
        <w:t>5</w:t>
      </w:r>
      <w:r>
        <w:rPr>
          <w:rFonts w:eastAsia="方正仿宋_GBK"/>
          <w:b/>
          <w:sz w:val="32"/>
          <w:szCs w:val="32"/>
        </w:rPr>
        <w:t>.社会保障和就业支出（类）行政事业单位养老支出（款）机关事业单位基本养老保险缴费支出（项）。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支出决算为1515.5万元，主要用于支出关区干部职工养老保险，完成年初预算的69.89%。</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1</w:t>
      </w:r>
      <w:r>
        <w:rPr>
          <w:rFonts w:eastAsia="方正仿宋_GBK" w:hint="eastAsia"/>
          <w:b/>
          <w:sz w:val="32"/>
          <w:szCs w:val="32"/>
        </w:rPr>
        <w:t>6</w:t>
      </w:r>
      <w:r>
        <w:rPr>
          <w:rFonts w:eastAsia="方正仿宋_GBK"/>
          <w:b/>
          <w:sz w:val="32"/>
          <w:szCs w:val="32"/>
        </w:rPr>
        <w:t>.社会保障和就业支出（类）行政事业单位养老支出（款）机关事业单位职业年金缴费支出（项）。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支出决算为752.99万元，主要用于关区干部职工职业年金支出，完成年初预算的68.77%。</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1</w:t>
      </w:r>
      <w:r>
        <w:rPr>
          <w:rFonts w:eastAsia="方正仿宋_GBK" w:hint="eastAsia"/>
          <w:b/>
          <w:sz w:val="32"/>
          <w:szCs w:val="32"/>
        </w:rPr>
        <w:t>7</w:t>
      </w:r>
      <w:r>
        <w:rPr>
          <w:rFonts w:eastAsia="方正仿宋_GBK"/>
          <w:b/>
          <w:sz w:val="32"/>
          <w:szCs w:val="32"/>
        </w:rPr>
        <w:t>.卫生健康支出（类）行政事业单位医疗（款）行政单位医疗（项）。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支出决算为676.87万元，主要用于关区干部职工基本医疗，支出完成年初预算的98.88%。</w:t>
      </w:r>
    </w:p>
    <w:p>
      <w:pPr>
        <w:pStyle w:val="60"/>
        <w:tabs>
          <w:tab w:val="clear" w:pos="720"/>
        </w:tabs>
        <w:spacing w:line="576" w:lineRule="exact"/>
        <w:ind w:left="0" w:firstLineChars="200" w:firstLine="640"/>
        <w:rPr>
          <w:rFonts w:eastAsia="方正仿宋_GBK"/>
          <w:b/>
          <w:sz w:val="32"/>
          <w:szCs w:val="32"/>
        </w:rPr>
      </w:pPr>
      <w:r>
        <w:rPr>
          <w:rFonts w:eastAsia="方正仿宋_GBK"/>
          <w:b/>
          <w:sz w:val="32"/>
          <w:szCs w:val="32"/>
        </w:rPr>
        <w:t>18.卫生健康支出（类）行政事业单位医疗（款）公务员医疗补助（项）。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支出决算为139万元，主要用于关区干部职工医疗补助，完成年初预算的98.88%。</w:t>
      </w:r>
    </w:p>
    <w:p>
      <w:pPr>
        <w:pStyle w:val="61"/>
        <w:tabs>
          <w:tab w:val="clear" w:pos="720"/>
        </w:tabs>
        <w:spacing w:line="576" w:lineRule="exact"/>
        <w:ind w:left="0" w:firstLineChars="200" w:firstLine="640"/>
        <w:rPr>
          <w:rFonts w:eastAsia="方正仿宋_GBK"/>
          <w:b/>
          <w:sz w:val="32"/>
          <w:szCs w:val="32"/>
        </w:rPr>
      </w:pPr>
      <w:r>
        <w:rPr>
          <w:rFonts w:eastAsia="方正仿宋_GBK"/>
          <w:b/>
          <w:sz w:val="32"/>
          <w:szCs w:val="32"/>
        </w:rPr>
        <w:t>19.卫生健康支出（类）行政事业单位医疗（款） 其他行政事业单位医疗支出（项）。</w:t>
      </w:r>
    </w:p>
    <w:p>
      <w:pPr>
        <w:pStyle w:val="62"/>
        <w:tabs>
          <w:tab w:val="clear" w:pos="720"/>
          <w:tab w:val="left" w:pos="720"/>
        </w:tabs>
        <w:spacing w:line="576" w:lineRule="exact"/>
        <w:ind w:left="0" w:firstLineChars="200" w:firstLine="640"/>
        <w:rPr>
          <w:rFonts w:eastAsia="方正仿宋_GBK"/>
          <w:sz w:val="32"/>
          <w:szCs w:val="32"/>
        </w:rPr>
      </w:pPr>
      <w:r>
        <w:rPr>
          <w:rFonts w:eastAsia="方正仿宋_GBK"/>
          <w:sz w:val="32"/>
          <w:szCs w:val="32"/>
        </w:rPr>
        <w:t>支出决算为47.92万元，主要用于其他行政事业单位医疗支出，完成年初预算的100%。</w:t>
      </w:r>
    </w:p>
    <w:p>
      <w:pPr>
        <w:pStyle w:val="53"/>
        <w:tabs>
          <w:tab w:val="clear" w:pos="720"/>
        </w:tabs>
        <w:spacing w:line="576" w:lineRule="exact"/>
        <w:ind w:left="0" w:firstLineChars="200" w:firstLine="640"/>
        <w:rPr>
          <w:rFonts w:eastAsia="方正仿宋_GBK"/>
          <w:b/>
          <w:sz w:val="32"/>
          <w:szCs w:val="32"/>
        </w:rPr>
      </w:pPr>
      <w:r>
        <w:rPr>
          <w:rFonts w:eastAsia="方正仿宋_GBK"/>
          <w:b/>
          <w:sz w:val="32"/>
          <w:szCs w:val="32"/>
        </w:rPr>
        <w:t>20.住房保障支出（类） 住房改革支出（款） 住房公积金（项）。</w:t>
      </w:r>
    </w:p>
    <w:p>
      <w:pPr>
        <w:pStyle w:val="53"/>
        <w:tabs>
          <w:tab w:val="clear" w:pos="720"/>
        </w:tabs>
        <w:spacing w:line="576" w:lineRule="exact"/>
        <w:ind w:left="0" w:firstLineChars="200" w:firstLine="640"/>
        <w:rPr>
          <w:rFonts w:eastAsia="方正仿宋_GBK"/>
          <w:sz w:val="32"/>
          <w:szCs w:val="32"/>
        </w:rPr>
      </w:pPr>
      <w:r>
        <w:rPr>
          <w:rFonts w:eastAsia="方正仿宋_GBK"/>
          <w:sz w:val="32"/>
          <w:szCs w:val="32"/>
        </w:rPr>
        <w:t>支出决算为1584.53万元，主要用于关区干部职工住房公积金支出，完成年初预算的95.73%。</w:t>
      </w:r>
    </w:p>
    <w:p>
      <w:pPr>
        <w:pStyle w:val="55"/>
        <w:tabs>
          <w:tab w:val="clear" w:pos="720"/>
        </w:tabs>
        <w:spacing w:line="576" w:lineRule="exact"/>
        <w:ind w:left="0" w:firstLineChars="200" w:firstLine="640"/>
        <w:rPr>
          <w:rFonts w:eastAsia="方正仿宋_GBK"/>
          <w:b/>
          <w:sz w:val="32"/>
          <w:szCs w:val="32"/>
        </w:rPr>
      </w:pPr>
      <w:r>
        <w:rPr>
          <w:rFonts w:eastAsia="方正仿宋_GBK"/>
          <w:b/>
          <w:sz w:val="32"/>
          <w:szCs w:val="32"/>
        </w:rPr>
        <w:t>21.住房保障支出（类） 住房改革支出（款） 购房补助</w:t>
      </w:r>
      <w:r>
        <w:rPr>
          <w:rFonts w:eastAsia="方正仿宋_GBK" w:hint="eastAsia"/>
          <w:b/>
          <w:sz w:val="32"/>
          <w:szCs w:val="32"/>
        </w:rPr>
        <w:t>（项）</w:t>
      </w:r>
      <w:r>
        <w:rPr>
          <w:rFonts w:eastAsia="方正仿宋_GBK"/>
          <w:b/>
          <w:sz w:val="32"/>
          <w:szCs w:val="32"/>
        </w:rPr>
        <w:t>。</w:t>
      </w:r>
    </w:p>
    <w:p>
      <w:pPr>
        <w:pStyle w:val="56"/>
        <w:tabs>
          <w:tab w:val="left" w:pos="4157"/>
        </w:tabs>
        <w:autoSpaceDN w:val="0"/>
        <w:spacing w:line="560" w:lineRule="exact"/>
        <w:ind w:firstLineChars="200" w:firstLine="640"/>
        <w:rPr>
          <w:rFonts w:eastAsia="方正仿宋_GBK"/>
          <w:sz w:val="32"/>
          <w:szCs w:val="32"/>
        </w:rPr>
      </w:pPr>
      <w:r>
        <w:rPr>
          <w:rFonts w:eastAsia="方正仿宋_GBK"/>
          <w:sz w:val="32"/>
          <w:szCs w:val="32"/>
        </w:rPr>
        <w:t>支出决算为533.44万元，主要用于关区干部职工住房补助支出支出，完成年初预算的96.39%。</w:t>
      </w:r>
    </w:p>
    <w:p>
      <w:pPr>
        <w:pStyle w:val="56"/>
        <w:tabs>
          <w:tab w:val="left" w:pos="4157"/>
        </w:tabs>
        <w:autoSpaceDN w:val="0"/>
        <w:spacing w:line="560" w:lineRule="exact"/>
        <w:ind w:firstLineChars="200" w:firstLine="640"/>
        <w:rPr>
          <w:rFonts w:eastAsia="方正仿宋_GBK"/>
          <w:b/>
          <w:sz w:val="32"/>
          <w:szCs w:val="32"/>
        </w:rPr>
      </w:pPr>
      <w:r>
        <w:rPr>
          <w:rFonts w:eastAsia="方正仿宋_GBK"/>
          <w:b/>
          <w:sz w:val="32"/>
          <w:szCs w:val="32"/>
        </w:rPr>
        <w:t>22.</w:t>
      </w:r>
      <w:r>
        <w:rPr>
          <w:rFonts w:eastAsia="方正仿宋_GBK" w:hint="eastAsia"/>
          <w:b/>
          <w:sz w:val="32"/>
          <w:szCs w:val="32"/>
        </w:rPr>
        <w:t>一般公共服务支出（类）海关事务（款）一般行政管理事务（项）</w:t>
      </w:r>
    </w:p>
    <w:p>
      <w:pPr>
        <w:pStyle w:val="53"/>
        <w:tabs>
          <w:tab w:val="clear" w:pos="720"/>
          <w:tab w:val="left" w:pos="720"/>
        </w:tabs>
        <w:spacing w:line="576" w:lineRule="exact"/>
        <w:ind w:left="0" w:firstLineChars="200" w:firstLine="640"/>
        <w:rPr>
          <w:rFonts w:eastAsia="方正仿宋_GBK"/>
          <w:sz w:val="32"/>
          <w:szCs w:val="32"/>
        </w:rPr>
      </w:pPr>
      <w:r>
        <w:rPr>
          <w:rFonts w:eastAsia="方正仿宋_GBK"/>
          <w:sz w:val="32"/>
          <w:szCs w:val="32"/>
        </w:rPr>
        <w:t>支出决算为391.59万元，主要用于基本建设、新闻宣传等支出，完成年初预算的86.32%。</w:t>
      </w: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Fonts w:ascii="Times New Roman" w:eastAsia="方正仿宋_GBK" w:cs="Times New Roman" w:hAnsi="Times New Roman"/>
          <w:b/>
          <w:i w:val="0"/>
          <w:iCs w:val="0"/>
          <w:caps w:val="0"/>
          <w:smallCaps w:val="0"/>
          <w:vanish w:val="0"/>
          <w:color w:val="303133"/>
          <w:spacing w:val="0"/>
          <w:sz w:val="32"/>
          <w:szCs w:val="32"/>
        </w:rPr>
      </w:pPr>
      <w:r>
        <w:rPr>
          <w:rFonts w:ascii="Times New Roman" w:eastAsia="方正仿宋_GBK" w:cs="Times New Roman" w:hAnsi="Times New Roman"/>
          <w:b/>
          <w:i w:val="0"/>
          <w:iCs w:val="0"/>
          <w:caps w:val="0"/>
          <w:smallCaps w:val="0"/>
          <w:vanish w:val="0"/>
          <w:color w:val="303133"/>
          <w:spacing w:val="0"/>
          <w:sz w:val="32"/>
          <w:szCs w:val="32"/>
        </w:rPr>
        <w:t>（三）一般公共预算财政拨款基本支出情况说明</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中华人民共和国拉萨海关 2023年度一般公共预算财政拨款基本支出20679.16 万元。其中，人员经费决算公开表-一般公共预算财政拨款基本支出决算表-决算数-16117.88万元，主要包括：基本工资、津贴补贴、奖金、机关事业单位基本养老保险缴费、职业年金缴费、职工基本医疗保险缴费、公务员医疗补助缴费、其他社会保障缴费、住房公积金；公用经费 决算公开表-一般公共预算财政拨款基本支出决算表-决算数4561.28 万元，主要包括：办公费、印刷费、咨询费、手续费、水费、电费、邮电费、取暖费、物业管理费、差旅费、维修（护）费、租赁费、培训费、公务接待费</w:t>
        <w:tab/>
        <w:t>、专用材料费、 被装购置费、劳务费、</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委托业务费、工会经费、福利费、公务用车运行维护费、其他交通费用、其他商品和服务支出、办公设备购置、专用设备购置、其他资本性支出。</w:t>
      </w: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Fonts w:ascii="Times New Roman" w:eastAsia="方正仿宋_GBK" w:cs="Times New Roman" w:hAnsi="Times New Roman"/>
          <w:b/>
          <w:i w:val="0"/>
          <w:iCs w:val="0"/>
          <w:caps w:val="0"/>
          <w:smallCaps w:val="0"/>
          <w:vanish w:val="0"/>
          <w:color w:val="303133"/>
          <w:spacing w:val="0"/>
          <w:sz w:val="32"/>
          <w:szCs w:val="32"/>
        </w:rPr>
      </w:pPr>
      <w:r>
        <w:rPr>
          <w:rFonts w:ascii="Times New Roman" w:eastAsia="方正仿宋_GBK" w:cs="Times New Roman" w:hAnsi="Times New Roman"/>
          <w:b/>
          <w:i w:val="0"/>
          <w:iCs w:val="0"/>
          <w:caps w:val="0"/>
          <w:smallCaps w:val="0"/>
          <w:vanish w:val="0"/>
          <w:color w:val="303133"/>
          <w:spacing w:val="0"/>
          <w:sz w:val="32"/>
          <w:szCs w:val="32"/>
        </w:rPr>
        <w:t>（四）政府性基金预算财政拨款收支情况说明</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中华人民共和国拉萨海关 2023年度政府性基金预算本年收入 0.00 万元。</w:t>
      </w: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Fonts w:ascii="Times New Roman" w:eastAsia="方正仿宋_GBK" w:cs="Times New Roman" w:hAnsi="Times New Roman"/>
          <w:b/>
          <w:i w:val="0"/>
          <w:iCs w:val="0"/>
          <w:caps w:val="0"/>
          <w:smallCaps w:val="0"/>
          <w:vanish w:val="0"/>
          <w:color w:val="303133"/>
          <w:spacing w:val="0"/>
          <w:sz w:val="32"/>
          <w:szCs w:val="32"/>
        </w:rPr>
      </w:pPr>
      <w:r>
        <w:rPr>
          <w:rFonts w:ascii="Times New Roman" w:eastAsia="方正仿宋_GBK" w:cs="Times New Roman" w:hAnsi="Times New Roman"/>
          <w:b/>
          <w:i w:val="0"/>
          <w:iCs w:val="0"/>
          <w:caps w:val="0"/>
          <w:smallCaps w:val="0"/>
          <w:vanish w:val="0"/>
          <w:color w:val="303133"/>
          <w:spacing w:val="0"/>
          <w:sz w:val="32"/>
          <w:szCs w:val="32"/>
        </w:rPr>
        <w:t>（五）国有资本经营预算财政拨款收支情况说明</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中华人民共和国拉萨海关 2023年度国有资本经营预算本年收入0.00 万元。</w:t>
      </w: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2"/>
        <w:rPr>
          <w:rFonts w:ascii="Times New Roman" w:eastAsia="方正仿宋_GBK" w:cs="Times New Roman" w:hAnsi="Times New Roman"/>
          <w:b/>
          <w:i w:val="0"/>
          <w:iCs w:val="0"/>
          <w:caps w:val="0"/>
          <w:smallCaps w:val="0"/>
          <w:vanish w:val="0"/>
          <w:color w:val="303133"/>
          <w:spacing w:val="0"/>
          <w:sz w:val="32"/>
          <w:szCs w:val="32"/>
        </w:rPr>
      </w:pPr>
      <w:r>
        <w:rPr>
          <w:rFonts w:ascii="Times New Roman" w:eastAsia="方正仿宋_GBK" w:cs="Times New Roman" w:hAnsi="Times New Roman"/>
          <w:b/>
          <w:i w:val="0"/>
          <w:iCs w:val="0"/>
          <w:caps w:val="0"/>
          <w:smallCaps w:val="0"/>
          <w:vanish w:val="0"/>
          <w:color w:val="303133"/>
          <w:spacing w:val="0"/>
          <w:sz w:val="32"/>
          <w:szCs w:val="32"/>
        </w:rPr>
        <w:t>（六）关于预算绩效情况的说明</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1、绩效管理评价工作开展情况。</w:t>
      </w:r>
    </w:p>
    <w:p>
      <w:pPr>
        <w:pStyle w:val="66"/>
        <w:tabs>
          <w:tab w:val="clear" w:pos="720"/>
          <w:tab w:val="left" w:pos="720"/>
        </w:tabs>
        <w:spacing w:line="576" w:lineRule="exact"/>
        <w:ind w:left="0" w:firstLineChars="200" w:firstLine="640"/>
        <w:rPr>
          <w:rFonts w:eastAsia="方正仿宋_GBK"/>
          <w:sz w:val="32"/>
          <w:szCs w:val="32"/>
        </w:rPr>
      </w:pPr>
      <w:r>
        <w:rPr>
          <w:rFonts w:eastAsia="方正仿宋_GBK"/>
          <w:sz w:val="32"/>
          <w:szCs w:val="32"/>
        </w:rPr>
        <w:t>根据预算绩效管理要求，我关组织对2023年度一般公共预算67个项目支出全面开展绩效自评，共涉及资金10712.87万元，占一般公共预算项目支出总额的 100。</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2、部门决算中项目绩效自评结果。</w:t>
      </w:r>
    </w:p>
    <w:tbl>
      <w:tblPr>
        <w:jc w:val="left"/>
        <w:tblInd w:w="-307" w:type="dxa"/>
        <w:tblW w:w="9444"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633"/>
        <w:gridCol w:w="827"/>
        <w:gridCol w:w="1052"/>
        <w:gridCol w:w="602"/>
        <w:gridCol w:w="826"/>
        <w:gridCol w:w="828"/>
        <w:gridCol w:w="827"/>
        <w:gridCol w:w="662"/>
        <w:gridCol w:w="163"/>
        <w:gridCol w:w="645"/>
        <w:gridCol w:w="786"/>
        <w:gridCol w:w="512"/>
        <w:gridCol w:w="1084"/>
      </w:tblGrid>
      <w:tr>
        <w:tc>
          <w:tcPr>
            <w:tcW w:w="9444" w:type="dxa"/>
            <w:gridSpan w:val="13"/>
            <w:tcBorders>
              <w:top w:val="nil"/>
              <w:left w:val="nil"/>
              <w:bottom w:val="nil"/>
              <w:right w:val="nil"/>
              <w:tl2br w:val="nil"/>
              <w:tr2bl w:val="nil"/>
            </w:tcBorders>
            <w:noWrap/>
            <w:vAlign w:val="center"/>
          </w:tcPr>
          <w:p>
            <w:pPr>
              <w:jc w:val="center"/>
              <w:rPr>
                <w:rFonts w:ascii="方正小标宋_GBK" w:hAnsi="方正小标宋_GBK"/>
                <w:b/>
                <w:i w:val="0"/>
                <w:strike w:val="0"/>
                <w:dstrike w:val="0"/>
                <w:color w:val="000000"/>
                <w:sz w:val="32"/>
              </w:rPr>
            </w:pPr>
            <w:r>
              <w:rPr>
                <w:rFonts w:ascii="方正小标宋_GBK" w:hAnsi="方正小标宋_GBK"/>
                <w:b/>
                <w:i w:val="0"/>
                <w:strike w:val="0"/>
                <w:dstrike w:val="0"/>
                <w:color w:val="000000"/>
                <w:sz w:val="32"/>
              </w:rPr>
              <w:t>项目支出绩效自评表</w:t>
            </w:r>
          </w:p>
        </w:tc>
      </w:tr>
      <w:tr>
        <w:tc>
          <w:tcPr>
            <w:tcW w:w="9444" w:type="dxa"/>
            <w:gridSpan w:val="13"/>
            <w:tcBorders>
              <w:top w:val="nil"/>
              <w:left w:val="nil"/>
              <w:bottom w:val="nil"/>
              <w:right w:val="nil"/>
              <w:tl2br w:val="nil"/>
              <w:tr2bl w:val="nil"/>
            </w:tcBorders>
            <w:noWrap/>
            <w:vAlign w:val="center"/>
          </w:tcPr>
          <w:p>
            <w:pPr>
              <w:jc w:val="center"/>
              <w:rPr>
                <w:rFonts w:ascii="方正楷体_GBK" w:eastAsia="方正楷体_GBK"/>
                <w:b/>
                <w:i w:val="0"/>
                <w:sz w:val="24"/>
              </w:rPr>
            </w:pPr>
            <w:r>
              <w:rPr>
                <w:rFonts w:ascii="方正楷体_GBK" w:eastAsia="方正楷体_GBK"/>
                <w:b/>
                <w:i w:val="0"/>
                <w:sz w:val="24"/>
              </w:rPr>
              <w:t>（2023年度）</w:t>
            </w:r>
          </w:p>
        </w:tc>
      </w:tr>
      <w:tr>
        <w:tc>
          <w:tcPr>
            <w:tcW w:w="14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项目名称</w:t>
              <w:br/>
            </w:r>
          </w:p>
        </w:tc>
        <w:tc>
          <w:tcPr>
            <w:tcW w:w="7985" w:type="dxa"/>
            <w:gridSpan w:val="11"/>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口岸检疫查验能力提升项目</w:t>
            </w:r>
          </w:p>
        </w:tc>
      </w:tr>
      <w:tr>
        <w:trPr>
          <w:trHeight w:val="398"/>
        </w:trPr>
        <w:tc>
          <w:tcPr>
            <w:tcW w:w="146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主管部门</w:t>
              <w:br/>
            </w:r>
          </w:p>
        </w:tc>
        <w:tc>
          <w:tcPr>
            <w:tcW w:w="4134"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[167]海关总署</w:t>
            </w:r>
          </w:p>
        </w:tc>
        <w:tc>
          <w:tcPr>
            <w:tcW w:w="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实施单位</w:t>
              <w:br/>
            </w:r>
          </w:p>
        </w:tc>
        <w:tc>
          <w:tcPr>
            <w:tcW w:w="3026"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中华人民共和国拉萨海关本级</w:t>
            </w:r>
          </w:p>
        </w:tc>
      </w:tr>
      <w:tr>
        <w:trPr>
          <w:trHeight w:val="745"/>
        </w:trPr>
        <w:tc>
          <w:tcPr>
            <w:tcW w:w="1460" w:type="dxa"/>
            <w:gridSpan w:val="2"/>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auto"/>
                <w:sz w:val="18"/>
              </w:rPr>
            </w:pPr>
            <w:r>
              <w:rPr>
                <w:b w:val="0"/>
                <w:i w:val="0"/>
                <w:strike w:val="0"/>
                <w:dstrike w:val="0"/>
                <w:color w:val="auto"/>
                <w:sz w:val="18"/>
              </w:rPr>
              <w:t>项目资金</w:t>
              <w:br/>
              <w:t>（万元）</w:t>
            </w:r>
          </w:p>
        </w:tc>
        <w:tc>
          <w:tcPr>
            <w:tcW w:w="1052"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z w:val="18"/>
              </w:rPr>
            </w:pPr>
          </w:p>
        </w:tc>
        <w:tc>
          <w:tcPr>
            <w:tcW w:w="142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年初预算数</w:t>
            </w: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全年预算数</w:t>
            </w:r>
          </w:p>
        </w:tc>
        <w:tc>
          <w:tcPr>
            <w:tcW w:w="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全年执行数</w:t>
            </w:r>
          </w:p>
        </w:tc>
        <w:tc>
          <w:tcPr>
            <w:tcW w:w="6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分值</w:t>
            </w:r>
          </w:p>
        </w:tc>
        <w:tc>
          <w:tcPr>
            <w:tcW w:w="129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执行率</w:t>
            </w:r>
          </w:p>
        </w:tc>
        <w:tc>
          <w:tcPr>
            <w:tcW w:w="10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得分</w:t>
            </w:r>
          </w:p>
        </w:tc>
      </w:tr>
      <w:tr>
        <w:tc>
          <w:tcPr>
            <w:tcW w:w="1460"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年度资金总额</w:t>
              <w:br/>
            </w:r>
          </w:p>
        </w:tc>
        <w:tc>
          <w:tcPr>
            <w:tcW w:w="1428" w:type="dxa"/>
            <w:gridSpan w:val="2"/>
            <w:tcBorders>
              <w:top w:val="single" w:sz="6" w:space="0" w:color="auto"/>
              <w:left w:val="single" w:sz="6" w:space="0" w:color="auto"/>
              <w:bottom w:val="single" w:sz="6" w:space="0" w:color="000000"/>
              <w:right w:val="single" w:sz="6" w:space="0" w:color="000000"/>
              <w:tl2br w:val="nil"/>
              <w:tr2bl w:val="nil"/>
            </w:tcBorders>
            <w:shd w:val="clear" w:color="auto" w:fill="FFFFFF"/>
            <w:noWrap/>
            <w:vAlign w:val="center"/>
          </w:tcPr>
          <w:p>
            <w:pPr>
              <w:jc w:val="center"/>
              <w:rPr>
                <w:b w:val="0"/>
                <w:i w:val="0"/>
                <w:sz w:val="24"/>
              </w:rPr>
            </w:pPr>
            <w:r>
              <w:rPr>
                <w:b w:val="0"/>
                <w:i w:val="0"/>
                <w:sz w:val="24"/>
              </w:rPr>
              <w:t xml:space="preserve">150.00 </w:t>
            </w: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150</w:t>
            </w:r>
          </w:p>
        </w:tc>
        <w:tc>
          <w:tcPr>
            <w:tcW w:w="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87.92</w:t>
            </w:r>
          </w:p>
        </w:tc>
        <w:tc>
          <w:tcPr>
            <w:tcW w:w="6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10</w:t>
            </w:r>
          </w:p>
        </w:tc>
        <w:tc>
          <w:tcPr>
            <w:tcW w:w="129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58.61%</w:t>
            </w:r>
          </w:p>
        </w:tc>
        <w:tc>
          <w:tcPr>
            <w:tcW w:w="10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5.86</w:t>
            </w:r>
          </w:p>
        </w:tc>
      </w:tr>
      <w:tr>
        <w:trPr>
          <w:trHeight w:val="793"/>
        </w:trPr>
        <w:tc>
          <w:tcPr>
            <w:tcW w:w="1460"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其中：当年财政拨款</w:t>
              <w:br/>
            </w:r>
          </w:p>
        </w:tc>
        <w:tc>
          <w:tcPr>
            <w:tcW w:w="1428" w:type="dxa"/>
            <w:gridSpan w:val="2"/>
            <w:tcBorders>
              <w:top w:val="single" w:sz="6" w:space="0" w:color="000000"/>
              <w:left w:val="single" w:sz="6" w:space="0" w:color="auto"/>
              <w:bottom w:val="single" w:sz="6" w:space="0" w:color="000000"/>
              <w:right w:val="single" w:sz="6" w:space="0" w:color="000000"/>
              <w:tl2br w:val="nil"/>
              <w:tr2bl w:val="nil"/>
            </w:tcBorders>
            <w:shd w:val="clear" w:color="auto" w:fill="FFFFFF"/>
            <w:noWrap/>
            <w:vAlign w:val="center"/>
          </w:tcPr>
          <w:p>
            <w:pPr>
              <w:jc w:val="center"/>
              <w:rPr>
                <w:b w:val="0"/>
                <w:i w:val="0"/>
                <w:sz w:val="24"/>
              </w:rPr>
            </w:pPr>
            <w:r>
              <w:rPr>
                <w:b w:val="0"/>
                <w:i w:val="0"/>
                <w:sz w:val="24"/>
              </w:rPr>
              <w:t xml:space="preserve">150.00 </w:t>
            </w: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150</w:t>
            </w:r>
          </w:p>
        </w:tc>
        <w:tc>
          <w:tcPr>
            <w:tcW w:w="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87.92</w:t>
            </w:r>
          </w:p>
        </w:tc>
        <w:tc>
          <w:tcPr>
            <w:tcW w:w="6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w:t>
            </w:r>
          </w:p>
        </w:tc>
        <w:tc>
          <w:tcPr>
            <w:tcW w:w="129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58.61%</w:t>
            </w:r>
          </w:p>
        </w:tc>
        <w:tc>
          <w:tcPr>
            <w:tcW w:w="10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w:t>
            </w:r>
          </w:p>
        </w:tc>
      </w:tr>
      <w:tr>
        <w:trPr>
          <w:trHeight w:val="76"/>
        </w:trPr>
        <w:tc>
          <w:tcPr>
            <w:tcW w:w="1460"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52"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000000"/>
                <w:sz w:val="18"/>
              </w:rPr>
            </w:pPr>
            <w:r>
              <w:rPr>
                <w:b w:val="0"/>
                <w:i w:val="0"/>
                <w:strike w:val="0"/>
                <w:dstrike w:val="0"/>
                <w:color w:val="000000"/>
                <w:sz w:val="18"/>
              </w:rPr>
              <w:t>上年结转资金</w:t>
            </w:r>
          </w:p>
        </w:tc>
        <w:tc>
          <w:tcPr>
            <w:tcW w:w="1428" w:type="dxa"/>
            <w:gridSpan w:val="2"/>
            <w:tcBorders>
              <w:top w:val="single" w:sz="6" w:space="0" w:color="000000"/>
              <w:left w:val="single" w:sz="6" w:space="0" w:color="auto"/>
              <w:bottom w:val="single" w:sz="6" w:space="0" w:color="000000"/>
              <w:right w:val="single" w:sz="6" w:space="0" w:color="000000"/>
              <w:tl2br w:val="nil"/>
              <w:tr2bl w:val="nil"/>
            </w:tcBorders>
            <w:shd w:val="clear" w:color="auto" w:fill="FFFFFF"/>
            <w:noWrap/>
            <w:vAlign w:val="center"/>
          </w:tcPr>
          <w:p>
            <w:pPr>
              <w:rPr>
                <w:b w:val="0"/>
                <w:i w:val="0"/>
                <w:sz w:val="24"/>
              </w:rPr>
            </w:pP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6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w:t>
            </w:r>
          </w:p>
        </w:tc>
        <w:tc>
          <w:tcPr>
            <w:tcW w:w="129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10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w:t>
            </w:r>
          </w:p>
        </w:tc>
      </w:tr>
      <w:tr>
        <w:tc>
          <w:tcPr>
            <w:tcW w:w="1460"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05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 xml:space="preserve"> 其他资金</w:t>
            </w:r>
          </w:p>
        </w:tc>
        <w:tc>
          <w:tcPr>
            <w:tcW w:w="1428" w:type="dxa"/>
            <w:gridSpan w:val="2"/>
            <w:tcBorders>
              <w:top w:val="single" w:sz="6" w:space="0" w:color="000000"/>
              <w:left w:val="single" w:sz="6" w:space="0" w:color="auto"/>
              <w:bottom w:val="single" w:sz="6" w:space="0" w:color="auto"/>
              <w:right w:val="single" w:sz="6" w:space="0" w:color="000000"/>
              <w:tl2br w:val="nil"/>
              <w:tr2bl w:val="nil"/>
            </w:tcBorders>
            <w:shd w:val="clear" w:color="auto" w:fill="FFFFFF"/>
            <w:noWrap/>
            <w:vAlign w:val="center"/>
          </w:tcPr>
          <w:p>
            <w:pPr>
              <w:jc w:val="center"/>
              <w:rPr>
                <w:b w:val="0"/>
                <w:i w:val="0"/>
                <w:sz w:val="24"/>
              </w:rPr>
            </w:pP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8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64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w:t>
            </w:r>
          </w:p>
        </w:tc>
        <w:tc>
          <w:tcPr>
            <w:tcW w:w="129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10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w:t>
            </w:r>
          </w:p>
        </w:tc>
      </w:tr>
      <w:tr>
        <w:tc>
          <w:tcPr>
            <w:tcW w:w="63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年度总体目标</w:t>
              <w:br/>
            </w:r>
          </w:p>
        </w:tc>
        <w:tc>
          <w:tcPr>
            <w:tcW w:w="4961"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预期目标</w:t>
              <w:br/>
            </w:r>
          </w:p>
        </w:tc>
        <w:tc>
          <w:tcPr>
            <w:tcW w:w="3851"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实际完成情况</w:t>
              <w:br/>
            </w:r>
          </w:p>
        </w:tc>
      </w:tr>
      <w:tr>
        <w:tc>
          <w:tcPr>
            <w:tcW w:w="63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4961"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18"/>
              </w:rPr>
            </w:pPr>
            <w:r>
              <w:rPr>
                <w:b w:val="0"/>
                <w:i w:val="0"/>
                <w:strike w:val="0"/>
                <w:dstrike w:val="0"/>
                <w:color w:val="auto"/>
                <w:sz w:val="18"/>
              </w:rPr>
              <w:t>通过加强口岸初筛鉴定、查验执法、监测监控、隔离检疫和检疫无害化处理等设施建设，进一步“筑牢口岸检疫防线”，提升进出境动植物疫情疫病及外来入侵生物的监测、检测、预警、处置能力，保障国门生物安全。</w:t>
              <w:br/>
            </w:r>
          </w:p>
        </w:tc>
        <w:tc>
          <w:tcPr>
            <w:tcW w:w="3851"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已完成11台（套）设备采购，因年底国库系统关闭及额度不足等原因，导致设备采购预算执行率低。</w:t>
            </w:r>
          </w:p>
        </w:tc>
      </w:tr>
      <w:tr>
        <w:tc>
          <w:tcPr>
            <w:tcW w:w="633" w:type="dxa"/>
            <w:vMerge w:val="restart"/>
            <w:tcBorders>
              <w:top w:val="single" w:sz="6" w:space="0" w:color="auto"/>
              <w:left w:val="single" w:sz="6" w:space="0" w:color="auto"/>
              <w:bottom w:val="single" w:sz="6" w:space="0" w:color="000000"/>
              <w:right w:val="single" w:sz="6" w:space="0" w:color="auto"/>
              <w:tl2br w:val="nil"/>
              <w:tr2bl w:val="nil"/>
            </w:tcBorders>
            <w:noWrap/>
            <w:vAlign w:val="center"/>
          </w:tcPr>
          <w:p>
            <w:pPr>
              <w:jc w:val="center"/>
              <w:rPr>
                <w:b w:val="0"/>
                <w:i w:val="0"/>
                <w:color w:val="000000"/>
                <w:sz w:val="18"/>
              </w:rPr>
            </w:pPr>
            <w:r>
              <w:rPr>
                <w:b w:val="0"/>
                <w:i w:val="0"/>
                <w:color w:val="000000"/>
                <w:sz w:val="18"/>
              </w:rPr>
              <w:t>绩效指标</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一级指标</w:t>
              <w:br/>
            </w: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二级指标</w:t>
            </w: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三级指标</w:t>
              <w:br/>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年度指标值</w:t>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实际完成值</w:t>
            </w:r>
          </w:p>
        </w:tc>
        <w:tc>
          <w:tcPr>
            <w:tcW w:w="80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分值</w:t>
              <w:br/>
            </w:r>
          </w:p>
        </w:tc>
        <w:tc>
          <w:tcPr>
            <w:tcW w:w="78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得分</w:t>
              <w:br/>
            </w:r>
          </w:p>
        </w:tc>
        <w:tc>
          <w:tcPr>
            <w:tcW w:w="15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偏差原因分析及改进措施</w:t>
              <w:br/>
            </w: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tcBorders>
              <w:top w:val="single" w:sz="6" w:space="0" w:color="auto"/>
              <w:left w:val="single" w:sz="6" w:space="0" w:color="auto"/>
              <w:bottom w:val="nil"/>
              <w:right w:val="single" w:sz="6" w:space="0" w:color="auto"/>
              <w:tl2br w:val="nil"/>
              <w:tr2bl w:val="nil"/>
            </w:tcBorders>
            <w:noWrap/>
            <w:vAlign w:val="center"/>
          </w:tcPr>
          <w:p>
            <w:pPr>
              <w:jc w:val="center"/>
              <w:rPr>
                <w:b w:val="0"/>
                <w:i w:val="0"/>
                <w:sz w:val="18"/>
              </w:rPr>
            </w:pPr>
            <w:r>
              <w:rPr>
                <w:b w:val="0"/>
                <w:i w:val="0"/>
                <w:sz w:val="18"/>
              </w:rPr>
              <w:t>成本指标</w:t>
            </w:r>
          </w:p>
        </w:tc>
        <w:tc>
          <w:tcPr>
            <w:tcW w:w="1654"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经济成本指标</w:t>
            </w: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z w:val="18"/>
              </w:rPr>
            </w:pPr>
            <w:r>
              <w:rPr>
                <w:b w:val="0"/>
                <w:i w:val="0"/>
                <w:sz w:val="18"/>
              </w:rPr>
              <w:t>仪器设备政府采购率</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≥70%</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70%</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color w:val="000000"/>
                <w:sz w:val="24"/>
              </w:rPr>
            </w:pPr>
            <w:r>
              <w:rPr>
                <w:b w:val="0"/>
                <w:i w:val="0"/>
                <w:color w:val="000000"/>
                <w:sz w:val="24"/>
              </w:rPr>
              <w:t>10</w:t>
            </w:r>
          </w:p>
        </w:tc>
        <w:tc>
          <w:tcPr>
            <w:tcW w:w="78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10</w:t>
            </w:r>
          </w:p>
        </w:tc>
        <w:tc>
          <w:tcPr>
            <w:tcW w:w="15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产出指标</w:t>
              <w:br/>
            </w: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数量指标</w:t>
              <w:br/>
            </w:r>
          </w:p>
        </w:tc>
        <w:tc>
          <w:tcPr>
            <w:tcW w:w="1654"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18"/>
              </w:rPr>
            </w:pPr>
            <w:r>
              <w:rPr>
                <w:b w:val="0"/>
                <w:i w:val="0"/>
                <w:sz w:val="18"/>
              </w:rPr>
              <w:t>基础设施和技术装备配置率</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≥95%</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93%</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color w:val="000000"/>
                <w:sz w:val="24"/>
              </w:rPr>
            </w:pPr>
            <w:r>
              <w:rPr>
                <w:b w:val="0"/>
                <w:i w:val="0"/>
                <w:color w:val="000000"/>
                <w:sz w:val="24"/>
              </w:rPr>
              <w:t>10</w:t>
            </w:r>
          </w:p>
        </w:tc>
        <w:tc>
          <w:tcPr>
            <w:tcW w:w="78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9.3</w:t>
            </w:r>
          </w:p>
        </w:tc>
        <w:tc>
          <w:tcPr>
            <w:tcW w:w="15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部分设备未到货，及时督促中标企业发货并开展使用培训。</w:t>
            </w: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数量指标</w:t>
              <w:br/>
            </w:r>
          </w:p>
        </w:tc>
        <w:tc>
          <w:tcPr>
            <w:tcW w:w="1654"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18"/>
              </w:rPr>
            </w:pPr>
            <w:r>
              <w:rPr>
                <w:b w:val="0"/>
                <w:i w:val="0"/>
                <w:sz w:val="18"/>
              </w:rPr>
              <w:t>仪器设备采购计划完成率</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≥90%</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90%</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color w:val="000000"/>
                <w:sz w:val="24"/>
              </w:rPr>
            </w:pPr>
            <w:r>
              <w:rPr>
                <w:b w:val="0"/>
                <w:i w:val="0"/>
                <w:color w:val="000000"/>
                <w:sz w:val="24"/>
              </w:rPr>
              <w:t>5</w:t>
            </w:r>
          </w:p>
        </w:tc>
        <w:tc>
          <w:tcPr>
            <w:tcW w:w="786" w:type="dxa"/>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color w:val="000000"/>
                <w:sz w:val="18"/>
              </w:rPr>
            </w:pPr>
            <w:r>
              <w:rPr>
                <w:b w:val="0"/>
                <w:i w:val="0"/>
                <w:color w:val="000000"/>
                <w:sz w:val="18"/>
              </w:rPr>
              <w:t>5</w:t>
            </w:r>
          </w:p>
        </w:tc>
        <w:tc>
          <w:tcPr>
            <w:tcW w:w="1596"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color w:val="000000"/>
                <w:sz w:val="18"/>
              </w:rPr>
            </w:pP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数量指标</w:t>
              <w:br/>
            </w:r>
          </w:p>
        </w:tc>
        <w:tc>
          <w:tcPr>
            <w:tcW w:w="1654"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18"/>
              </w:rPr>
            </w:pPr>
            <w:r>
              <w:rPr>
                <w:b w:val="0"/>
                <w:i w:val="0"/>
                <w:sz w:val="18"/>
              </w:rPr>
              <w:t>年度计划投资完成率</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≥80%</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79%</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color w:val="000000"/>
                <w:sz w:val="24"/>
              </w:rPr>
            </w:pPr>
            <w:r>
              <w:rPr>
                <w:b w:val="0"/>
                <w:i w:val="0"/>
                <w:color w:val="000000"/>
                <w:sz w:val="24"/>
              </w:rPr>
              <w:t>5</w:t>
            </w:r>
          </w:p>
        </w:tc>
        <w:tc>
          <w:tcPr>
            <w:tcW w:w="786" w:type="dxa"/>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color w:val="000000"/>
                <w:sz w:val="18"/>
              </w:rPr>
            </w:pPr>
            <w:r>
              <w:rPr>
                <w:b w:val="0"/>
                <w:i w:val="0"/>
                <w:color w:val="000000"/>
                <w:sz w:val="18"/>
              </w:rPr>
              <w:t>3.95</w:t>
            </w:r>
          </w:p>
        </w:tc>
        <w:tc>
          <w:tcPr>
            <w:tcW w:w="1596"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color w:val="000000"/>
                <w:sz w:val="18"/>
              </w:rPr>
            </w:pPr>
            <w:r>
              <w:rPr>
                <w:b w:val="0"/>
                <w:i w:val="0"/>
                <w:color w:val="000000"/>
                <w:sz w:val="18"/>
              </w:rPr>
              <w:t>已完成设备采购并签订采购合同，但因额度不足及国库系统关闭等原因未完成采购预算执行。</w:t>
            </w: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数量指标</w:t>
              <w:br/>
            </w:r>
          </w:p>
        </w:tc>
        <w:tc>
          <w:tcPr>
            <w:tcW w:w="1654"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18"/>
              </w:rPr>
            </w:pPr>
            <w:r>
              <w:rPr>
                <w:b w:val="0"/>
                <w:i w:val="0"/>
                <w:sz w:val="18"/>
              </w:rPr>
              <w:t>新建口岸初筛鉴定室</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≥1个</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1个</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color w:val="000000"/>
                <w:sz w:val="24"/>
              </w:rPr>
            </w:pPr>
            <w:r>
              <w:rPr>
                <w:b w:val="0"/>
                <w:i w:val="0"/>
                <w:color w:val="000000"/>
                <w:sz w:val="24"/>
              </w:rPr>
              <w:t>5</w:t>
            </w:r>
          </w:p>
        </w:tc>
        <w:tc>
          <w:tcPr>
            <w:tcW w:w="786" w:type="dxa"/>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color w:val="000000"/>
                <w:sz w:val="18"/>
              </w:rPr>
            </w:pPr>
            <w:r>
              <w:rPr>
                <w:b w:val="0"/>
                <w:i w:val="0"/>
                <w:color w:val="000000"/>
                <w:sz w:val="18"/>
              </w:rPr>
              <w:t>5</w:t>
            </w:r>
          </w:p>
        </w:tc>
        <w:tc>
          <w:tcPr>
            <w:tcW w:w="1596"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color w:val="000000"/>
                <w:sz w:val="18"/>
              </w:rPr>
            </w:pP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质量指标</w:t>
            </w:r>
          </w:p>
        </w:tc>
        <w:tc>
          <w:tcPr>
            <w:tcW w:w="1654"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18"/>
              </w:rPr>
            </w:pPr>
            <w:r>
              <w:rPr>
                <w:b w:val="0"/>
                <w:i w:val="0"/>
                <w:sz w:val="18"/>
              </w:rPr>
              <w:t>有效开箱率</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≥95%</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93%</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color w:val="000000"/>
                <w:sz w:val="24"/>
              </w:rPr>
            </w:pPr>
            <w:r>
              <w:rPr>
                <w:b w:val="0"/>
                <w:i w:val="0"/>
                <w:color w:val="000000"/>
                <w:sz w:val="24"/>
              </w:rPr>
              <w:t>5</w:t>
            </w:r>
          </w:p>
        </w:tc>
        <w:tc>
          <w:tcPr>
            <w:tcW w:w="78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4.65</w:t>
            </w:r>
          </w:p>
        </w:tc>
        <w:tc>
          <w:tcPr>
            <w:tcW w:w="15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部分设备未到货，及时督促中标企业发货并开展使用培训。</w:t>
            </w: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质量指标</w:t>
            </w:r>
          </w:p>
        </w:tc>
        <w:tc>
          <w:tcPr>
            <w:tcW w:w="1654"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18"/>
              </w:rPr>
            </w:pPr>
            <w:r>
              <w:rPr>
                <w:b w:val="0"/>
                <w:i w:val="0"/>
                <w:sz w:val="18"/>
              </w:rPr>
              <w:t>正常使用率</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≥95%</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95%</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5</w:t>
            </w:r>
          </w:p>
        </w:tc>
        <w:tc>
          <w:tcPr>
            <w:tcW w:w="786" w:type="dxa"/>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5</w:t>
            </w:r>
          </w:p>
        </w:tc>
        <w:tc>
          <w:tcPr>
            <w:tcW w:w="15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654" w:type="dxa"/>
            <w:gridSpan w:val="2"/>
            <w:tcBorders>
              <w:top w:val="single" w:sz="6" w:space="0" w:color="auto"/>
              <w:left w:val="single" w:sz="6" w:space="0" w:color="auto"/>
              <w:bottom w:val="nil"/>
              <w:right w:val="single" w:sz="6" w:space="0" w:color="000000"/>
              <w:tl2br w:val="nil"/>
              <w:tr2bl w:val="nil"/>
            </w:tcBorders>
            <w:noWrap/>
            <w:vAlign w:val="center"/>
          </w:tcPr>
          <w:p>
            <w:pPr>
              <w:jc w:val="center"/>
              <w:rPr>
                <w:b w:val="0"/>
                <w:i w:val="0"/>
                <w:sz w:val="18"/>
              </w:rPr>
            </w:pPr>
            <w:r>
              <w:rPr>
                <w:b w:val="0"/>
                <w:i w:val="0"/>
                <w:sz w:val="18"/>
              </w:rPr>
              <w:t>质量指标</w:t>
            </w:r>
          </w:p>
        </w:tc>
        <w:tc>
          <w:tcPr>
            <w:tcW w:w="1654"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18"/>
              </w:rPr>
            </w:pPr>
            <w:r>
              <w:rPr>
                <w:b w:val="0"/>
                <w:i w:val="0"/>
                <w:sz w:val="18"/>
              </w:rPr>
              <w:t>仪器设备验收完成率</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≥70%</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68%</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5</w:t>
            </w:r>
          </w:p>
        </w:tc>
        <w:tc>
          <w:tcPr>
            <w:tcW w:w="786" w:type="dxa"/>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3.4</w:t>
            </w:r>
          </w:p>
        </w:tc>
        <w:tc>
          <w:tcPr>
            <w:tcW w:w="15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部分设备未到货，及时督促中标企业发货并开展使用培训。</w:t>
            </w: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效益指标</w:t>
            </w: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社会效益指标</w:t>
            </w:r>
          </w:p>
        </w:tc>
        <w:tc>
          <w:tcPr>
            <w:tcW w:w="1654" w:type="dxa"/>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b w:val="0"/>
                <w:i w:val="0"/>
                <w:sz w:val="18"/>
              </w:rPr>
            </w:pPr>
            <w:r>
              <w:rPr>
                <w:b w:val="0"/>
                <w:i w:val="0"/>
                <w:sz w:val="18"/>
              </w:rPr>
              <w:t>重大突发检验检疫问题处理案件处理率</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≥90%</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90%</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30</w:t>
            </w:r>
          </w:p>
        </w:tc>
        <w:tc>
          <w:tcPr>
            <w:tcW w:w="786" w:type="dxa"/>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30</w:t>
            </w:r>
          </w:p>
        </w:tc>
        <w:tc>
          <w:tcPr>
            <w:tcW w:w="1596"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p>
        </w:tc>
      </w:tr>
      <w:tr>
        <w:tc>
          <w:tcPr>
            <w:tcW w:w="633"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827" w:type="dxa"/>
            <w:tcBorders>
              <w:top w:val="nil"/>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满意度指标</w:t>
            </w:r>
          </w:p>
        </w:tc>
        <w:tc>
          <w:tcPr>
            <w:tcW w:w="1654"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color w:val="000000"/>
                <w:sz w:val="18"/>
              </w:rPr>
            </w:pPr>
            <w:r>
              <w:rPr>
                <w:b w:val="0"/>
                <w:i w:val="0"/>
                <w:color w:val="000000"/>
                <w:sz w:val="18"/>
              </w:rPr>
              <w:t>服务对象满意度指标</w:t>
            </w:r>
          </w:p>
        </w:tc>
        <w:tc>
          <w:tcPr>
            <w:tcW w:w="16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z w:val="18"/>
              </w:rPr>
            </w:pPr>
            <w:r>
              <w:rPr>
                <w:b w:val="0"/>
                <w:i w:val="0"/>
                <w:sz w:val="18"/>
              </w:rPr>
              <w:t>使用人员满意度</w:t>
            </w:r>
          </w:p>
        </w:tc>
        <w:tc>
          <w:tcPr>
            <w:tcW w:w="827"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≥95%</w:t>
              <w:br/>
            </w:r>
          </w:p>
        </w:tc>
        <w:tc>
          <w:tcPr>
            <w:tcW w:w="6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95%</w:t>
            </w:r>
          </w:p>
        </w:tc>
        <w:tc>
          <w:tcPr>
            <w:tcW w:w="807"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10</w:t>
            </w:r>
          </w:p>
        </w:tc>
        <w:tc>
          <w:tcPr>
            <w:tcW w:w="78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10</w:t>
            </w:r>
          </w:p>
        </w:tc>
        <w:tc>
          <w:tcPr>
            <w:tcW w:w="15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r>
      <w:tr>
        <w:tc>
          <w:tcPr>
            <w:tcW w:w="6256" w:type="dxa"/>
            <w:gridSpan w:val="8"/>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总分</w:t>
              <w:br/>
            </w:r>
          </w:p>
        </w:tc>
        <w:tc>
          <w:tcPr>
            <w:tcW w:w="80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100</w:t>
            </w:r>
          </w:p>
        </w:tc>
        <w:tc>
          <w:tcPr>
            <w:tcW w:w="78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92.16</w:t>
            </w:r>
          </w:p>
        </w:tc>
        <w:tc>
          <w:tcPr>
            <w:tcW w:w="15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z w:val="24"/>
              </w:rPr>
            </w:pPr>
          </w:p>
        </w:tc>
      </w:tr>
    </w:tbl>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tbl>
      <w:tblPr>
        <w:jc w:val="lef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77"/>
        <w:gridCol w:w="571"/>
        <w:gridCol w:w="999"/>
        <w:gridCol w:w="554"/>
        <w:gridCol w:w="776"/>
        <w:gridCol w:w="777"/>
        <w:gridCol w:w="1190"/>
        <w:gridCol w:w="766"/>
        <w:gridCol w:w="175"/>
        <w:gridCol w:w="779"/>
        <w:gridCol w:w="225"/>
        <w:gridCol w:w="584"/>
        <w:gridCol w:w="595"/>
        <w:gridCol w:w="591"/>
      </w:tblGrid>
      <w:tr>
        <w:tc>
          <w:tcPr>
            <w:tcW w:w="9058" w:type="dxa"/>
            <w:gridSpan w:val="14"/>
            <w:tcBorders>
              <w:top w:val="nil"/>
              <w:left w:val="nil"/>
              <w:bottom w:val="nil"/>
              <w:right w:val="nil"/>
              <w:tl2br w:val="nil"/>
              <w:tr2bl w:val="nil"/>
            </w:tcBorders>
            <w:noWrap/>
            <w:vAlign w:val="center"/>
          </w:tcPr>
          <w:p>
            <w:pPr>
              <w:jc w:val="center"/>
              <w:rPr>
                <w:rFonts w:ascii="方正小标宋_GBK" w:hAnsi="方正小标宋_GBK"/>
                <w:b/>
                <w:i w:val="0"/>
                <w:strike w:val="0"/>
                <w:dstrike w:val="0"/>
                <w:color w:val="000000"/>
                <w:sz w:val="32"/>
              </w:rPr>
            </w:pPr>
          </w:p>
          <w:p>
            <w:pPr>
              <w:jc w:val="center"/>
              <w:rPr>
                <w:rFonts w:ascii="方正小标宋_GBK" w:hAnsi="方正小标宋_GBK"/>
                <w:b/>
                <w:i w:val="0"/>
                <w:strike w:val="0"/>
                <w:dstrike w:val="0"/>
                <w:color w:val="000000"/>
                <w:sz w:val="32"/>
              </w:rPr>
            </w:pPr>
          </w:p>
          <w:p>
            <w:pPr>
              <w:rPr>
                <w:rFonts w:ascii="方正小标宋_GBK" w:hAnsi="方正小标宋_GBK"/>
                <w:b/>
                <w:i w:val="0"/>
                <w:strike w:val="0"/>
                <w:dstrike w:val="0"/>
                <w:color w:val="000000"/>
                <w:sz w:val="32"/>
              </w:rPr>
            </w:pPr>
          </w:p>
          <w:p>
            <w:pPr>
              <w:jc w:val="center"/>
              <w:rPr>
                <w:rFonts w:ascii="方正小标宋_GBK" w:hAnsi="方正小标宋_GBK"/>
                <w:b/>
                <w:i w:val="0"/>
                <w:strike w:val="0"/>
                <w:dstrike w:val="0"/>
                <w:color w:val="000000"/>
                <w:sz w:val="32"/>
              </w:rPr>
            </w:pPr>
            <w:r>
              <w:rPr>
                <w:rFonts w:ascii="方正小标宋_GBK" w:hAnsi="方正小标宋_GBK"/>
                <w:b/>
                <w:i w:val="0"/>
                <w:strike w:val="0"/>
                <w:dstrike w:val="0"/>
                <w:color w:val="000000"/>
                <w:sz w:val="32"/>
              </w:rPr>
              <w:t>项目支出绩效自评表</w:t>
            </w:r>
          </w:p>
        </w:tc>
      </w:tr>
      <w:tr>
        <w:tc>
          <w:tcPr>
            <w:tcW w:w="9058" w:type="dxa"/>
            <w:gridSpan w:val="14"/>
            <w:tcBorders>
              <w:top w:val="nil"/>
              <w:left w:val="nil"/>
              <w:bottom w:val="nil"/>
              <w:right w:val="nil"/>
              <w:tl2br w:val="nil"/>
              <w:tr2bl w:val="nil"/>
            </w:tcBorders>
            <w:noWrap/>
            <w:vAlign w:val="center"/>
          </w:tcPr>
          <w:p>
            <w:pPr>
              <w:jc w:val="center"/>
              <w:rPr>
                <w:b/>
                <w:i w:val="0"/>
                <w:sz w:val="24"/>
              </w:rPr>
            </w:pPr>
            <w:r>
              <w:rPr>
                <w:b/>
                <w:i w:val="0"/>
                <w:sz w:val="24"/>
              </w:rPr>
              <w:t>（2023年度）</w:t>
            </w:r>
          </w:p>
        </w:tc>
      </w:tr>
      <w:tr>
        <w:tc>
          <w:tcPr>
            <w:tcW w:w="104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项目名称</w:t>
              <w:br/>
            </w:r>
          </w:p>
        </w:tc>
        <w:tc>
          <w:tcPr>
            <w:tcW w:w="8010" w:type="dxa"/>
            <w:gridSpan w:val="1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国门生物安全专项</w:t>
            </w:r>
          </w:p>
        </w:tc>
      </w:tr>
      <w:tr>
        <w:tc>
          <w:tcPr>
            <w:tcW w:w="104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主管部门</w:t>
              <w:br/>
            </w:r>
          </w:p>
        </w:tc>
        <w:tc>
          <w:tcPr>
            <w:tcW w:w="429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[167]海关总署</w:t>
            </w:r>
          </w:p>
        </w:tc>
        <w:tc>
          <w:tcPr>
            <w:tcW w:w="7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实施单位</w:t>
              <w:br/>
            </w:r>
          </w:p>
        </w:tc>
        <w:tc>
          <w:tcPr>
            <w:tcW w:w="2949"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中华人民共和国拉萨海关本级</w:t>
            </w:r>
          </w:p>
        </w:tc>
      </w:tr>
      <w:tr>
        <w:tc>
          <w:tcPr>
            <w:tcW w:w="1048" w:type="dxa"/>
            <w:gridSpan w:val="2"/>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auto"/>
                <w:sz w:val="18"/>
              </w:rPr>
            </w:pPr>
            <w:r>
              <w:rPr>
                <w:b w:val="0"/>
                <w:i w:val="0"/>
                <w:strike w:val="0"/>
                <w:dstrike w:val="0"/>
                <w:color w:val="auto"/>
                <w:sz w:val="18"/>
              </w:rPr>
              <w:t>项目资金</w:t>
              <w:br/>
              <w:t>（万元）</w:t>
            </w: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13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000000"/>
                <w:sz w:val="18"/>
              </w:rPr>
            </w:pPr>
            <w:r>
              <w:rPr>
                <w:b w:val="0"/>
                <w:i w:val="0"/>
                <w:strike w:val="0"/>
                <w:dstrike w:val="0"/>
                <w:color w:val="000000"/>
                <w:sz w:val="18"/>
              </w:rPr>
              <w:t>年初预算数</w:t>
            </w:r>
          </w:p>
        </w:tc>
        <w:tc>
          <w:tcPr>
            <w:tcW w:w="19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全年预算数</w:t>
            </w:r>
          </w:p>
        </w:tc>
        <w:tc>
          <w:tcPr>
            <w:tcW w:w="7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全年执行数</w:t>
            </w:r>
          </w:p>
        </w:tc>
        <w:tc>
          <w:tcPr>
            <w:tcW w:w="1179"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分值</w:t>
              <w:br/>
            </w:r>
          </w:p>
        </w:tc>
        <w:tc>
          <w:tcPr>
            <w:tcW w:w="117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执行率</w:t>
              <w:br/>
            </w:r>
          </w:p>
        </w:tc>
        <w:tc>
          <w:tcPr>
            <w:tcW w:w="5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得分</w:t>
              <w:br/>
            </w:r>
          </w:p>
        </w:tc>
      </w:tr>
      <w:tr>
        <w:trPr>
          <w:trHeight w:val="685"/>
        </w:trPr>
        <w:tc>
          <w:tcPr>
            <w:tcW w:w="1048"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年度资金总额</w:t>
              <w:br/>
            </w:r>
          </w:p>
        </w:tc>
        <w:tc>
          <w:tcPr>
            <w:tcW w:w="1330" w:type="dxa"/>
            <w:gridSpan w:val="2"/>
            <w:tcBorders>
              <w:top w:val="single" w:sz="6" w:space="0" w:color="auto"/>
              <w:left w:val="single" w:sz="6" w:space="0" w:color="auto"/>
              <w:bottom w:val="single" w:sz="6" w:space="0" w:color="000000"/>
              <w:right w:val="single" w:sz="6" w:space="0" w:color="000000"/>
              <w:tl2br w:val="nil"/>
              <w:tr2bl w:val="nil"/>
            </w:tcBorders>
            <w:shd w:val="clear" w:color="auto" w:fill="FFFFFF"/>
            <w:noWrap/>
            <w:vAlign w:val="center"/>
          </w:tcPr>
          <w:p>
            <w:pPr>
              <w:jc w:val="center"/>
              <w:rPr>
                <w:b w:val="0"/>
                <w:i w:val="0"/>
                <w:sz w:val="24"/>
              </w:rPr>
            </w:pPr>
            <w:r>
              <w:rPr>
                <w:b w:val="0"/>
                <w:i w:val="0"/>
                <w:sz w:val="24"/>
              </w:rPr>
              <w:t xml:space="preserve">39.20 </w:t>
            </w:r>
          </w:p>
        </w:tc>
        <w:tc>
          <w:tcPr>
            <w:tcW w:w="19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39.2</w:t>
            </w:r>
          </w:p>
        </w:tc>
        <w:tc>
          <w:tcPr>
            <w:tcW w:w="7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35.56</w:t>
            </w:r>
          </w:p>
        </w:tc>
        <w:tc>
          <w:tcPr>
            <w:tcW w:w="1179"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10</w:t>
            </w:r>
          </w:p>
        </w:tc>
        <w:tc>
          <w:tcPr>
            <w:tcW w:w="117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91%</w:t>
            </w:r>
          </w:p>
        </w:tc>
        <w:tc>
          <w:tcPr>
            <w:tcW w:w="5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9.1</w:t>
            </w:r>
          </w:p>
        </w:tc>
      </w:tr>
      <w:tr>
        <w:tc>
          <w:tcPr>
            <w:tcW w:w="1048"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其中：当年财政拨款</w:t>
            </w:r>
          </w:p>
        </w:tc>
        <w:tc>
          <w:tcPr>
            <w:tcW w:w="1330" w:type="dxa"/>
            <w:gridSpan w:val="2"/>
            <w:tcBorders>
              <w:top w:val="single" w:sz="6" w:space="0" w:color="000000"/>
              <w:left w:val="single" w:sz="6" w:space="0" w:color="auto"/>
              <w:bottom w:val="single" w:sz="6" w:space="0" w:color="000000"/>
              <w:right w:val="single" w:sz="6" w:space="0" w:color="000000"/>
              <w:tl2br w:val="nil"/>
              <w:tr2bl w:val="nil"/>
            </w:tcBorders>
            <w:shd w:val="clear" w:color="auto" w:fill="FFFFFF"/>
            <w:noWrap/>
            <w:vAlign w:val="center"/>
          </w:tcPr>
          <w:p>
            <w:pPr>
              <w:jc w:val="center"/>
              <w:rPr>
                <w:b w:val="0"/>
                <w:i w:val="0"/>
                <w:sz w:val="24"/>
              </w:rPr>
            </w:pPr>
            <w:r>
              <w:rPr>
                <w:b w:val="0"/>
                <w:i w:val="0"/>
                <w:sz w:val="24"/>
              </w:rPr>
              <w:t xml:space="preserve">39.20 </w:t>
            </w:r>
          </w:p>
        </w:tc>
        <w:tc>
          <w:tcPr>
            <w:tcW w:w="19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39.2</w:t>
            </w:r>
          </w:p>
        </w:tc>
        <w:tc>
          <w:tcPr>
            <w:tcW w:w="7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35.56</w:t>
            </w:r>
          </w:p>
        </w:tc>
        <w:tc>
          <w:tcPr>
            <w:tcW w:w="1179"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w:t>
            </w:r>
          </w:p>
        </w:tc>
        <w:tc>
          <w:tcPr>
            <w:tcW w:w="117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91%</w:t>
            </w:r>
          </w:p>
        </w:tc>
        <w:tc>
          <w:tcPr>
            <w:tcW w:w="5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w:t>
            </w:r>
          </w:p>
        </w:tc>
      </w:tr>
      <w:tr>
        <w:tc>
          <w:tcPr>
            <w:tcW w:w="1048"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上年结转资金</w:t>
            </w:r>
          </w:p>
        </w:tc>
        <w:tc>
          <w:tcPr>
            <w:tcW w:w="1330" w:type="dxa"/>
            <w:gridSpan w:val="2"/>
            <w:tcBorders>
              <w:top w:val="single" w:sz="6" w:space="0" w:color="000000"/>
              <w:left w:val="single" w:sz="6" w:space="0" w:color="auto"/>
              <w:bottom w:val="single" w:sz="6" w:space="0" w:color="000000"/>
              <w:right w:val="single" w:sz="6" w:space="0" w:color="000000"/>
              <w:tl2br w:val="nil"/>
              <w:tr2bl w:val="nil"/>
            </w:tcBorders>
            <w:shd w:val="clear" w:color="auto" w:fill="FFFFFF"/>
            <w:noWrap/>
            <w:vAlign w:val="center"/>
          </w:tcPr>
          <w:p>
            <w:pPr>
              <w:jc w:val="center"/>
              <w:rPr>
                <w:b w:val="0"/>
                <w:i w:val="0"/>
                <w:sz w:val="24"/>
              </w:rPr>
            </w:pPr>
          </w:p>
        </w:tc>
        <w:tc>
          <w:tcPr>
            <w:tcW w:w="19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7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1179"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pStyle w:val="72"/>
              <w:jc w:val="center"/>
              <w:rPr>
                <w:b w:val="0"/>
                <w:i w:val="0"/>
                <w:color w:val="000000"/>
                <w:sz w:val="18"/>
              </w:rPr>
            </w:pPr>
            <w:r>
              <w:rPr>
                <w:b w:val="0"/>
                <w:i w:val="0"/>
                <w:color w:val="000000"/>
                <w:sz w:val="18"/>
              </w:rPr>
              <w:t>—</w:t>
            </w:r>
          </w:p>
        </w:tc>
        <w:tc>
          <w:tcPr>
            <w:tcW w:w="117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73"/>
              <w:jc w:val="center"/>
              <w:rPr>
                <w:b w:val="0"/>
                <w:i w:val="0"/>
                <w:sz w:val="18"/>
              </w:rPr>
            </w:pPr>
          </w:p>
        </w:tc>
        <w:tc>
          <w:tcPr>
            <w:tcW w:w="59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4"/>
              <w:jc w:val="center"/>
              <w:rPr>
                <w:b w:val="0"/>
                <w:i w:val="0"/>
                <w:color w:val="000000"/>
                <w:sz w:val="18"/>
              </w:rPr>
            </w:pPr>
            <w:r>
              <w:rPr>
                <w:b w:val="0"/>
                <w:i w:val="0"/>
                <w:color w:val="000000"/>
                <w:sz w:val="18"/>
              </w:rPr>
              <w:t>—</w:t>
            </w:r>
          </w:p>
        </w:tc>
      </w:tr>
      <w:tr>
        <w:trPr>
          <w:trHeight w:val="281"/>
        </w:trPr>
        <w:tc>
          <w:tcPr>
            <w:tcW w:w="1048"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99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其他资金</w:t>
            </w:r>
          </w:p>
        </w:tc>
        <w:tc>
          <w:tcPr>
            <w:tcW w:w="1330" w:type="dxa"/>
            <w:gridSpan w:val="2"/>
            <w:tcBorders>
              <w:top w:val="single" w:sz="6" w:space="0" w:color="000000"/>
              <w:left w:val="single" w:sz="6" w:space="0" w:color="auto"/>
              <w:bottom w:val="single" w:sz="6" w:space="0" w:color="000000"/>
              <w:right w:val="single" w:sz="6" w:space="0" w:color="000000"/>
              <w:tl2br w:val="nil"/>
              <w:tr2bl w:val="nil"/>
            </w:tcBorders>
            <w:shd w:val="clear" w:color="auto" w:fill="FFFFFF"/>
            <w:noWrap/>
            <w:vAlign w:val="center"/>
          </w:tcPr>
          <w:p>
            <w:pPr>
              <w:jc w:val="center"/>
              <w:rPr>
                <w:b w:val="0"/>
                <w:i w:val="0"/>
                <w:sz w:val="24"/>
              </w:rPr>
            </w:pPr>
          </w:p>
        </w:tc>
        <w:tc>
          <w:tcPr>
            <w:tcW w:w="19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7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c>
          <w:tcPr>
            <w:tcW w:w="1179"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pStyle w:val="75"/>
              <w:jc w:val="center"/>
              <w:rPr>
                <w:b w:val="0"/>
                <w:i w:val="0"/>
                <w:color w:val="000000"/>
                <w:sz w:val="18"/>
              </w:rPr>
            </w:pPr>
            <w:r>
              <w:rPr>
                <w:b w:val="0"/>
                <w:i w:val="0"/>
                <w:color w:val="000000"/>
                <w:sz w:val="18"/>
              </w:rPr>
              <w:t>—</w:t>
            </w:r>
          </w:p>
        </w:tc>
        <w:tc>
          <w:tcPr>
            <w:tcW w:w="117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76"/>
              <w:jc w:val="center"/>
              <w:rPr>
                <w:b w:val="0"/>
                <w:i w:val="0"/>
                <w:sz w:val="18"/>
              </w:rPr>
            </w:pPr>
          </w:p>
        </w:tc>
        <w:tc>
          <w:tcPr>
            <w:tcW w:w="590"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77"/>
              <w:jc w:val="center"/>
              <w:rPr>
                <w:b w:val="0"/>
                <w:i w:val="0"/>
                <w:color w:val="000000"/>
                <w:sz w:val="18"/>
              </w:rPr>
            </w:pPr>
            <w:r>
              <w:rPr>
                <w:b w:val="0"/>
                <w:i w:val="0"/>
                <w:color w:val="000000"/>
                <w:sz w:val="18"/>
              </w:rPr>
              <w:t>—</w:t>
            </w:r>
          </w:p>
        </w:tc>
      </w:tr>
      <w:tr>
        <w:tc>
          <w:tcPr>
            <w:tcW w:w="477"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年度总体目标</w:t>
              <w:br/>
            </w:r>
          </w:p>
        </w:tc>
        <w:tc>
          <w:tcPr>
            <w:tcW w:w="4867"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预期目标</w:t>
              <w:br/>
            </w:r>
          </w:p>
        </w:tc>
        <w:tc>
          <w:tcPr>
            <w:tcW w:w="3715" w:type="dxa"/>
            <w:gridSpan w:val="7"/>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实际完成情况</w:t>
              <w:br/>
            </w:r>
          </w:p>
        </w:tc>
      </w:tr>
      <w:tr>
        <w:tc>
          <w:tcPr>
            <w:tcW w:w="47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4867"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z w:val="18"/>
              </w:rPr>
            </w:pPr>
            <w:r>
              <w:rPr>
                <w:b w:val="0"/>
                <w:i w:val="0"/>
                <w:sz w:val="18"/>
              </w:rPr>
              <w:t>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w:t>
            </w:r>
          </w:p>
        </w:tc>
        <w:tc>
          <w:tcPr>
            <w:tcW w:w="3715" w:type="dxa"/>
            <w:gridSpan w:val="7"/>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完成年度国门生物安全监测、外来有害生物监测普查，开展严防外来物种入侵三年专项行动及相关宣传、培训等工作。进一步夯实国门生物安全保障能力基础，促进国门生物安全保障能力持续提升。完成年度进出境动植物检验检疫各项工作任务。</w:t>
            </w:r>
          </w:p>
        </w:tc>
      </w:tr>
      <w:tr>
        <w:tc>
          <w:tcPr>
            <w:tcW w:w="477" w:type="dxa"/>
            <w:vMerge w:val="restart"/>
            <w:tcBorders>
              <w:top w:val="single" w:sz="6" w:space="0" w:color="auto"/>
              <w:left w:val="single" w:sz="6" w:space="0" w:color="auto"/>
              <w:bottom w:val="single" w:sz="6" w:space="0" w:color="000000"/>
              <w:right w:val="single" w:sz="6" w:space="0" w:color="auto"/>
              <w:tl2br w:val="nil"/>
              <w:tr2bl w:val="nil"/>
            </w:tcBorders>
            <w:noWrap/>
            <w:vAlign w:val="center"/>
          </w:tcPr>
          <w:p>
            <w:pPr>
              <w:jc w:val="center"/>
              <w:rPr>
                <w:b w:val="0"/>
                <w:i w:val="0"/>
                <w:color w:val="000000"/>
                <w:sz w:val="18"/>
              </w:rPr>
            </w:pPr>
            <w:r>
              <w:rPr>
                <w:b w:val="0"/>
                <w:i w:val="0"/>
                <w:color w:val="000000"/>
                <w:sz w:val="18"/>
              </w:rPr>
              <w:t>绩效指标</w:t>
            </w:r>
          </w:p>
        </w:tc>
        <w:tc>
          <w:tcPr>
            <w:tcW w:w="5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一级指标</w:t>
              <w:br/>
            </w:r>
          </w:p>
        </w:tc>
        <w:tc>
          <w:tcPr>
            <w:tcW w:w="15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二级指标</w:t>
            </w:r>
          </w:p>
        </w:tc>
        <w:tc>
          <w:tcPr>
            <w:tcW w:w="15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三级指标</w:t>
              <w:br/>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年度指标值</w:t>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实际完成值</w:t>
            </w:r>
          </w:p>
        </w:tc>
        <w:tc>
          <w:tcPr>
            <w:tcW w:w="77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分值</w:t>
              <w:br/>
            </w:r>
          </w:p>
        </w:tc>
        <w:tc>
          <w:tcPr>
            <w:tcW w:w="80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得分</w:t>
              <w:br/>
            </w:r>
          </w:p>
        </w:tc>
        <w:tc>
          <w:tcPr>
            <w:tcW w:w="11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偏差原因分析及改进措施</w:t>
              <w:br/>
            </w:r>
          </w:p>
        </w:tc>
      </w:tr>
      <w:tr>
        <w:tc>
          <w:tcPr>
            <w:tcW w:w="47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571" w:type="dxa"/>
            <w:tcBorders>
              <w:top w:val="single" w:sz="6" w:space="0" w:color="auto"/>
              <w:left w:val="single" w:sz="6" w:space="0" w:color="auto"/>
              <w:bottom w:val="nil"/>
              <w:right w:val="single" w:sz="6" w:space="0" w:color="auto"/>
              <w:tl2br w:val="nil"/>
              <w:tr2bl w:val="nil"/>
            </w:tcBorders>
            <w:noWrap/>
            <w:vAlign w:val="center"/>
          </w:tcPr>
          <w:p>
            <w:pPr>
              <w:jc w:val="center"/>
              <w:rPr>
                <w:b w:val="0"/>
                <w:i w:val="0"/>
                <w:sz w:val="18"/>
              </w:rPr>
            </w:pPr>
            <w:r>
              <w:rPr>
                <w:b w:val="0"/>
                <w:i w:val="0"/>
                <w:sz w:val="18"/>
              </w:rPr>
              <w:t>成本指标</w:t>
            </w:r>
          </w:p>
        </w:tc>
        <w:tc>
          <w:tcPr>
            <w:tcW w:w="1553"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经济成本指标</w:t>
            </w:r>
          </w:p>
        </w:tc>
        <w:tc>
          <w:tcPr>
            <w:tcW w:w="15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z w:val="18"/>
              </w:rPr>
            </w:pPr>
            <w:r>
              <w:rPr>
                <w:b w:val="0"/>
                <w:i w:val="0"/>
                <w:sz w:val="18"/>
              </w:rPr>
              <w:t>劳务成本</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≤10万元</w:t>
              <w:br/>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8万元</w:t>
            </w:r>
          </w:p>
        </w:tc>
        <w:tc>
          <w:tcPr>
            <w:tcW w:w="779" w:type="dxa"/>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10</w:t>
            </w:r>
          </w:p>
        </w:tc>
        <w:tc>
          <w:tcPr>
            <w:tcW w:w="80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10</w:t>
            </w:r>
          </w:p>
        </w:tc>
        <w:tc>
          <w:tcPr>
            <w:tcW w:w="11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FF0000"/>
                <w:sz w:val="18"/>
              </w:rPr>
            </w:pPr>
          </w:p>
        </w:tc>
      </w:tr>
      <w:tr>
        <w:tc>
          <w:tcPr>
            <w:tcW w:w="47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571"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产出指标</w:t>
              <w:br/>
            </w:r>
          </w:p>
        </w:tc>
        <w:tc>
          <w:tcPr>
            <w:tcW w:w="15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数量指标</w:t>
              <w:br/>
            </w:r>
          </w:p>
        </w:tc>
        <w:tc>
          <w:tcPr>
            <w:tcW w:w="15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z w:val="18"/>
              </w:rPr>
            </w:pPr>
            <w:r>
              <w:rPr>
                <w:b w:val="0"/>
                <w:i w:val="0"/>
                <w:sz w:val="18"/>
              </w:rPr>
              <w:t>开展调研（检查、检测等）数量</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≥3次</w:t>
              <w:br/>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3次</w:t>
            </w:r>
          </w:p>
        </w:tc>
        <w:tc>
          <w:tcPr>
            <w:tcW w:w="779" w:type="dxa"/>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10</w:t>
            </w:r>
          </w:p>
        </w:tc>
        <w:tc>
          <w:tcPr>
            <w:tcW w:w="80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10</w:t>
            </w:r>
          </w:p>
        </w:tc>
        <w:tc>
          <w:tcPr>
            <w:tcW w:w="11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FF0000"/>
                <w:sz w:val="18"/>
              </w:rPr>
            </w:pPr>
          </w:p>
        </w:tc>
      </w:tr>
      <w:tr>
        <w:tc>
          <w:tcPr>
            <w:tcW w:w="47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57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数量指标</w:t>
            </w:r>
          </w:p>
        </w:tc>
        <w:tc>
          <w:tcPr>
            <w:tcW w:w="15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color w:val="000000"/>
                <w:sz w:val="18"/>
              </w:rPr>
            </w:pPr>
            <w:r>
              <w:rPr>
                <w:b w:val="0"/>
                <w:i w:val="0"/>
                <w:color w:val="000000"/>
                <w:sz w:val="18"/>
              </w:rPr>
              <w:t>国门生物安全宣传（次）</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≥1次</w:t>
              <w:br/>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3次</w:t>
            </w:r>
          </w:p>
        </w:tc>
        <w:tc>
          <w:tcPr>
            <w:tcW w:w="779" w:type="dxa"/>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10</w:t>
            </w:r>
          </w:p>
        </w:tc>
        <w:tc>
          <w:tcPr>
            <w:tcW w:w="80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10</w:t>
            </w:r>
          </w:p>
        </w:tc>
        <w:tc>
          <w:tcPr>
            <w:tcW w:w="11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r>
      <w:tr>
        <w:tc>
          <w:tcPr>
            <w:tcW w:w="47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57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质量指标</w:t>
            </w:r>
          </w:p>
        </w:tc>
        <w:tc>
          <w:tcPr>
            <w:tcW w:w="1553"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color w:val="000000"/>
                <w:sz w:val="18"/>
              </w:rPr>
            </w:pPr>
            <w:r>
              <w:rPr>
                <w:b w:val="0"/>
                <w:i w:val="0"/>
                <w:color w:val="000000"/>
                <w:sz w:val="18"/>
              </w:rPr>
              <w:t>外来有害生物监测计划完成率（%）</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≥95%</w:t>
              <w:br/>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95%</w:t>
            </w:r>
          </w:p>
        </w:tc>
        <w:tc>
          <w:tcPr>
            <w:tcW w:w="779" w:type="dxa"/>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5</w:t>
            </w:r>
          </w:p>
        </w:tc>
        <w:tc>
          <w:tcPr>
            <w:tcW w:w="809"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5</w:t>
            </w:r>
          </w:p>
        </w:tc>
        <w:tc>
          <w:tcPr>
            <w:tcW w:w="1180"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p>
        </w:tc>
      </w:tr>
      <w:tr>
        <w:tc>
          <w:tcPr>
            <w:tcW w:w="47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57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53"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质量指标</w:t>
            </w:r>
          </w:p>
        </w:tc>
        <w:tc>
          <w:tcPr>
            <w:tcW w:w="1553"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color w:val="000000"/>
                <w:sz w:val="18"/>
              </w:rPr>
            </w:pPr>
            <w:r>
              <w:rPr>
                <w:b w:val="0"/>
                <w:i w:val="0"/>
                <w:color w:val="000000"/>
                <w:sz w:val="18"/>
              </w:rPr>
              <w:t>进出境动物疫病监测计划完成率（%）</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≥95%</w:t>
              <w:br/>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93%</w:t>
            </w:r>
          </w:p>
        </w:tc>
        <w:tc>
          <w:tcPr>
            <w:tcW w:w="779" w:type="dxa"/>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5</w:t>
            </w:r>
          </w:p>
        </w:tc>
        <w:tc>
          <w:tcPr>
            <w:tcW w:w="809"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4.7</w:t>
            </w:r>
          </w:p>
        </w:tc>
        <w:tc>
          <w:tcPr>
            <w:tcW w:w="1180"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无进境动物情况，加强对出境动物疫病的监测。</w:t>
            </w:r>
          </w:p>
        </w:tc>
      </w:tr>
      <w:tr>
        <w:tc>
          <w:tcPr>
            <w:tcW w:w="47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57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53"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质量指标</w:t>
            </w:r>
          </w:p>
        </w:tc>
        <w:tc>
          <w:tcPr>
            <w:tcW w:w="1553"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color w:val="000000"/>
                <w:sz w:val="18"/>
              </w:rPr>
            </w:pPr>
            <w:r>
              <w:rPr>
                <w:b w:val="0"/>
                <w:i w:val="0"/>
                <w:color w:val="000000"/>
                <w:sz w:val="18"/>
              </w:rPr>
              <w:t>进出口食用农产品和饲料安全风险监控计划完成率（%）</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≥95%</w:t>
              <w:br/>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95%</w:t>
            </w:r>
          </w:p>
        </w:tc>
        <w:tc>
          <w:tcPr>
            <w:tcW w:w="779" w:type="dxa"/>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5</w:t>
            </w:r>
          </w:p>
        </w:tc>
        <w:tc>
          <w:tcPr>
            <w:tcW w:w="809"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5</w:t>
            </w:r>
          </w:p>
        </w:tc>
        <w:tc>
          <w:tcPr>
            <w:tcW w:w="1180"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p>
        </w:tc>
      </w:tr>
      <w:tr>
        <w:tc>
          <w:tcPr>
            <w:tcW w:w="47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57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53" w:type="dxa"/>
            <w:gridSpan w:val="2"/>
            <w:tcBorders>
              <w:top w:val="single" w:sz="6" w:space="0" w:color="auto"/>
              <w:left w:val="single" w:sz="6" w:space="0" w:color="auto"/>
              <w:bottom w:val="nil"/>
              <w:right w:val="single" w:sz="6" w:space="0" w:color="000000"/>
              <w:tl2br w:val="nil"/>
              <w:tr2bl w:val="nil"/>
            </w:tcBorders>
            <w:noWrap/>
            <w:vAlign w:val="center"/>
          </w:tcPr>
          <w:p>
            <w:pPr>
              <w:jc w:val="center"/>
              <w:rPr>
                <w:b w:val="0"/>
                <w:i w:val="0"/>
                <w:sz w:val="18"/>
              </w:rPr>
            </w:pPr>
            <w:r>
              <w:rPr>
                <w:b w:val="0"/>
                <w:i w:val="0"/>
                <w:sz w:val="18"/>
              </w:rPr>
              <w:t>时效指标</w:t>
            </w:r>
          </w:p>
        </w:tc>
        <w:tc>
          <w:tcPr>
            <w:tcW w:w="1553" w:type="dxa"/>
            <w:gridSpan w:val="2"/>
            <w:tcBorders>
              <w:top w:val="single" w:sz="6" w:space="0" w:color="auto"/>
              <w:left w:val="single" w:sz="6" w:space="0" w:color="auto"/>
              <w:bottom w:val="single" w:sz="6" w:space="0" w:color="auto"/>
              <w:right w:val="single" w:sz="6" w:space="0" w:color="000000"/>
              <w:tl2br w:val="nil"/>
              <w:tr2bl w:val="nil"/>
            </w:tcBorders>
            <w:shd w:val="clear" w:color="auto" w:fill="FFFFFF"/>
            <w:noWrap/>
            <w:vAlign w:val="center"/>
          </w:tcPr>
          <w:p>
            <w:pPr>
              <w:rPr>
                <w:b w:val="0"/>
                <w:i w:val="0"/>
                <w:sz w:val="18"/>
              </w:rPr>
            </w:pPr>
            <w:r>
              <w:rPr>
                <w:b w:val="0"/>
                <w:i w:val="0"/>
                <w:sz w:val="18"/>
              </w:rPr>
              <w:t>按照年度计划开展进出口食用农产品和饲料安全风险完成期限</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≤12月</w:t>
              <w:br/>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10月</w:t>
            </w:r>
          </w:p>
        </w:tc>
        <w:tc>
          <w:tcPr>
            <w:tcW w:w="779" w:type="dxa"/>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5</w:t>
            </w:r>
          </w:p>
        </w:tc>
        <w:tc>
          <w:tcPr>
            <w:tcW w:w="809"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5</w:t>
            </w:r>
          </w:p>
        </w:tc>
        <w:tc>
          <w:tcPr>
            <w:tcW w:w="1180"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p>
        </w:tc>
      </w:tr>
      <w:tr>
        <w:tc>
          <w:tcPr>
            <w:tcW w:w="47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57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效益指标</w:t>
            </w:r>
          </w:p>
        </w:tc>
        <w:tc>
          <w:tcPr>
            <w:tcW w:w="1553" w:type="dxa"/>
            <w:gridSpan w:val="2"/>
            <w:tcBorders>
              <w:top w:val="single" w:sz="6" w:space="0" w:color="auto"/>
              <w:left w:val="single" w:sz="6" w:space="0" w:color="auto"/>
              <w:bottom w:val="nil"/>
              <w:right w:val="single" w:sz="6" w:space="0" w:color="000000"/>
              <w:tl2br w:val="nil"/>
              <w:tr2bl w:val="nil"/>
            </w:tcBorders>
            <w:noWrap/>
            <w:vAlign w:val="center"/>
          </w:tcPr>
          <w:p>
            <w:pPr>
              <w:jc w:val="center"/>
              <w:rPr>
                <w:b w:val="0"/>
                <w:i w:val="0"/>
                <w:color w:val="000000"/>
                <w:sz w:val="18"/>
              </w:rPr>
            </w:pPr>
            <w:r>
              <w:rPr>
                <w:b w:val="0"/>
                <w:i w:val="0"/>
                <w:color w:val="000000"/>
                <w:sz w:val="18"/>
              </w:rPr>
              <w:t>社会效益指标</w:t>
            </w:r>
          </w:p>
        </w:tc>
        <w:tc>
          <w:tcPr>
            <w:tcW w:w="1553" w:type="dxa"/>
            <w:gridSpan w:val="2"/>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rPr>
                <w:b w:val="0"/>
                <w:i w:val="0"/>
                <w:sz w:val="18"/>
              </w:rPr>
            </w:pPr>
            <w:r>
              <w:rPr>
                <w:b w:val="0"/>
                <w:i w:val="0"/>
                <w:sz w:val="18"/>
              </w:rPr>
              <w:t>重大突发检验检疫问题处理案件处理率</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≥98%</w:t>
              <w:br/>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98%</w:t>
            </w:r>
          </w:p>
        </w:tc>
        <w:tc>
          <w:tcPr>
            <w:tcW w:w="779" w:type="dxa"/>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30</w:t>
            </w:r>
          </w:p>
        </w:tc>
        <w:tc>
          <w:tcPr>
            <w:tcW w:w="809"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r>
              <w:rPr>
                <w:b w:val="0"/>
                <w:i w:val="0"/>
                <w:sz w:val="18"/>
              </w:rPr>
              <w:t>30</w:t>
            </w:r>
          </w:p>
        </w:tc>
        <w:tc>
          <w:tcPr>
            <w:tcW w:w="1180"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sz w:val="18"/>
              </w:rPr>
            </w:pPr>
          </w:p>
        </w:tc>
      </w:tr>
      <w:tr>
        <w:tc>
          <w:tcPr>
            <w:tcW w:w="47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571" w:type="dxa"/>
            <w:tcBorders>
              <w:top w:val="nil"/>
              <w:left w:val="single" w:sz="6" w:space="0" w:color="auto"/>
              <w:bottom w:val="single" w:sz="6" w:space="0" w:color="auto"/>
              <w:right w:val="single" w:sz="6" w:space="0" w:color="auto"/>
              <w:tl2br w:val="nil"/>
              <w:tr2bl w:val="nil"/>
            </w:tcBorders>
            <w:noWrap/>
            <w:vAlign w:val="center"/>
          </w:tcPr>
          <w:p>
            <w:pPr>
              <w:jc w:val="center"/>
              <w:rPr>
                <w:b w:val="0"/>
                <w:i w:val="0"/>
                <w:color w:val="000000"/>
                <w:sz w:val="18"/>
              </w:rPr>
            </w:pPr>
            <w:r>
              <w:rPr>
                <w:b w:val="0"/>
                <w:i w:val="0"/>
                <w:color w:val="000000"/>
                <w:sz w:val="18"/>
              </w:rPr>
              <w:t>满意度指标</w:t>
            </w:r>
          </w:p>
        </w:tc>
        <w:tc>
          <w:tcPr>
            <w:tcW w:w="1553"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b w:val="0"/>
                <w:i w:val="0"/>
                <w:color w:val="000000"/>
                <w:sz w:val="18"/>
              </w:rPr>
            </w:pPr>
            <w:r>
              <w:rPr>
                <w:b w:val="0"/>
                <w:i w:val="0"/>
                <w:color w:val="000000"/>
                <w:sz w:val="18"/>
              </w:rPr>
              <w:t>服务对象满意度指标</w:t>
            </w:r>
          </w:p>
        </w:tc>
        <w:tc>
          <w:tcPr>
            <w:tcW w:w="155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z w:val="18"/>
              </w:rPr>
            </w:pPr>
            <w:r>
              <w:rPr>
                <w:b w:val="0"/>
                <w:i w:val="0"/>
                <w:sz w:val="18"/>
              </w:rPr>
              <w:t>进出口企业对动植物检验检疫工作投诉反馈率</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trike w:val="0"/>
                <w:dstrike w:val="0"/>
                <w:color w:val="auto"/>
                <w:sz w:val="24"/>
              </w:rPr>
            </w:pPr>
            <w:r>
              <w:rPr>
                <w:b w:val="0"/>
                <w:i w:val="0"/>
                <w:strike w:val="0"/>
                <w:dstrike w:val="0"/>
                <w:color w:val="auto"/>
                <w:sz w:val="24"/>
              </w:rPr>
              <w:t>≥90%</w:t>
              <w:br/>
            </w:r>
          </w:p>
        </w:tc>
        <w:tc>
          <w:tcPr>
            <w:tcW w:w="9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90%</w:t>
            </w:r>
          </w:p>
        </w:tc>
        <w:tc>
          <w:tcPr>
            <w:tcW w:w="779" w:type="dxa"/>
            <w:tcBorders>
              <w:top w:val="single" w:sz="6" w:space="0" w:color="auto"/>
              <w:left w:val="single" w:sz="6" w:space="0" w:color="auto"/>
              <w:bottom w:val="single" w:sz="6" w:space="0" w:color="auto"/>
              <w:right w:val="single" w:sz="6" w:space="0" w:color="000000"/>
              <w:tl2br w:val="nil"/>
              <w:tr2bl w:val="nil"/>
            </w:tcBorders>
            <w:noWrap/>
            <w:vAlign w:val="center"/>
          </w:tcPr>
          <w:p>
            <w:pPr>
              <w:rPr>
                <w:b w:val="0"/>
                <w:i w:val="0"/>
                <w:sz w:val="24"/>
              </w:rPr>
            </w:pPr>
            <w:r>
              <w:rPr>
                <w:b w:val="0"/>
                <w:i w:val="0"/>
                <w:sz w:val="24"/>
              </w:rPr>
              <w:t>10</w:t>
            </w:r>
          </w:p>
        </w:tc>
        <w:tc>
          <w:tcPr>
            <w:tcW w:w="80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10</w:t>
            </w:r>
          </w:p>
        </w:tc>
        <w:tc>
          <w:tcPr>
            <w:tcW w:w="11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p>
        </w:tc>
      </w:tr>
      <w:tr>
        <w:tc>
          <w:tcPr>
            <w:tcW w:w="6285" w:type="dxa"/>
            <w:gridSpan w:val="9"/>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trike w:val="0"/>
                <w:dstrike w:val="0"/>
                <w:color w:val="000000"/>
                <w:sz w:val="18"/>
              </w:rPr>
            </w:pPr>
            <w:r>
              <w:rPr>
                <w:b w:val="0"/>
                <w:i w:val="0"/>
                <w:strike w:val="0"/>
                <w:dstrike w:val="0"/>
                <w:color w:val="000000"/>
                <w:sz w:val="18"/>
              </w:rPr>
              <w:t>总分</w:t>
              <w:br/>
            </w:r>
          </w:p>
        </w:tc>
        <w:tc>
          <w:tcPr>
            <w:tcW w:w="77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100</w:t>
            </w:r>
          </w:p>
        </w:tc>
        <w:tc>
          <w:tcPr>
            <w:tcW w:w="80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b w:val="0"/>
                <w:i w:val="0"/>
                <w:sz w:val="18"/>
              </w:rPr>
            </w:pPr>
            <w:r>
              <w:rPr>
                <w:b w:val="0"/>
                <w:i w:val="0"/>
                <w:sz w:val="18"/>
              </w:rPr>
              <w:t>98.8</w:t>
            </w:r>
          </w:p>
        </w:tc>
        <w:tc>
          <w:tcPr>
            <w:tcW w:w="11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b w:val="0"/>
                <w:i w:val="0"/>
                <w:sz w:val="24"/>
              </w:rPr>
            </w:pPr>
          </w:p>
        </w:tc>
      </w:tr>
    </w:tbl>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rPr>
          <w:rFonts w:ascii="Times New Roman" w:eastAsia="方正仿宋_GBK" w:cs="Times New Roman" w:hAnsi="Times New Roman"/>
          <w:b w:val="0"/>
          <w:bCs w:val="0"/>
          <w:i w:val="0"/>
          <w:iCs w:val="0"/>
          <w:caps w:val="0"/>
          <w:smallCaps w:val="0"/>
          <w:vanish w:val="0"/>
          <w:color w:val="303133"/>
          <w:spacing w:val="0"/>
          <w:sz w:val="32"/>
          <w:szCs w:val="32"/>
        </w:rPr>
      </w:pPr>
    </w:p>
    <w:tbl>
      <w:tblPr>
        <w:jc w:val="lef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07"/>
        <w:gridCol w:w="736"/>
        <w:gridCol w:w="1374"/>
        <w:gridCol w:w="94"/>
        <w:gridCol w:w="705"/>
        <w:gridCol w:w="736"/>
        <w:gridCol w:w="1449"/>
        <w:gridCol w:w="577"/>
        <w:gridCol w:w="679"/>
        <w:gridCol w:w="513"/>
        <w:gridCol w:w="115"/>
        <w:gridCol w:w="780"/>
        <w:gridCol w:w="297"/>
        <w:gridCol w:w="597"/>
      </w:tblGrid>
      <w:tr>
        <w:tc>
          <w:tcPr>
            <w:tcW w:w="9058" w:type="dxa"/>
            <w:gridSpan w:val="14"/>
            <w:tcBorders>
              <w:top w:val="nil"/>
              <w:left w:val="nil"/>
              <w:bottom w:val="nil"/>
              <w:right w:val="nil"/>
              <w:tl2br w:val="nil"/>
              <w:tr2bl w:val="nil"/>
            </w:tcBorders>
            <w:noWrap/>
            <w:vAlign w:val="center"/>
          </w:tcPr>
          <w:p>
            <w:pPr>
              <w:rPr>
                <w:rFonts w:ascii="方正小标宋_GBK" w:hAnsi="方正小标宋_GBK"/>
                <w:b/>
                <w:i w:val="0"/>
                <w:strike w:val="0"/>
                <w:dstrike w:val="0"/>
                <w:color w:val="000000"/>
                <w:sz w:val="32"/>
              </w:rPr>
            </w:pPr>
          </w:p>
          <w:p>
            <w:pPr>
              <w:jc w:val="center"/>
              <w:rPr>
                <w:rFonts w:ascii="方正小标宋_GBK" w:hAnsi="方正小标宋_GBK"/>
                <w:b/>
                <w:i w:val="0"/>
                <w:strike w:val="0"/>
                <w:dstrike w:val="0"/>
                <w:color w:val="000000"/>
                <w:sz w:val="32"/>
              </w:rPr>
            </w:pPr>
            <w:r>
              <w:rPr>
                <w:rFonts w:ascii="方正小标宋_GBK" w:hAnsi="方正小标宋_GBK"/>
                <w:b/>
                <w:i w:val="0"/>
                <w:strike w:val="0"/>
                <w:dstrike w:val="0"/>
                <w:color w:val="000000"/>
                <w:sz w:val="32"/>
              </w:rPr>
              <w:t>项目支出绩效自评表</w:t>
            </w:r>
          </w:p>
        </w:tc>
      </w:tr>
      <w:tr>
        <w:tc>
          <w:tcPr>
            <w:tcW w:w="9058" w:type="dxa"/>
            <w:gridSpan w:val="14"/>
            <w:tcBorders>
              <w:top w:val="nil"/>
              <w:left w:val="nil"/>
              <w:bottom w:val="nil"/>
              <w:right w:val="nil"/>
              <w:tl2br w:val="nil"/>
              <w:tr2bl w:val="nil"/>
            </w:tcBorders>
            <w:noWrap/>
            <w:vAlign w:val="center"/>
          </w:tcPr>
          <w:p>
            <w:pPr>
              <w:jc w:val="center"/>
              <w:rPr>
                <w:rFonts w:ascii="方正楷体_GBK" w:eastAsia="方正楷体_GBK"/>
                <w:b/>
                <w:i w:val="0"/>
                <w:sz w:val="24"/>
              </w:rPr>
            </w:pPr>
            <w:r>
              <w:rPr>
                <w:rFonts w:ascii="方正楷体_GBK" w:eastAsia="方正楷体_GBK"/>
                <w:b/>
                <w:i w:val="0"/>
                <w:sz w:val="24"/>
              </w:rPr>
              <w:t>（2023年度）</w:t>
            </w:r>
          </w:p>
        </w:tc>
      </w:tr>
      <w:tr>
        <w:tc>
          <w:tcPr>
            <w:tcW w:w="11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项目名称</w:t>
              <w:br/>
            </w:r>
          </w:p>
        </w:tc>
        <w:tc>
          <w:tcPr>
            <w:tcW w:w="7915" w:type="dxa"/>
            <w:gridSpan w:val="1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4"/>
              </w:rPr>
            </w:pPr>
            <w:r>
              <w:rPr>
                <w:rFonts w:ascii="宋体" w:eastAsia="宋体"/>
                <w:b w:val="0"/>
                <w:i w:val="0"/>
                <w:sz w:val="24"/>
              </w:rPr>
              <w:t>警务装备建设</w:t>
            </w:r>
          </w:p>
        </w:tc>
      </w:tr>
      <w:tr>
        <w:tc>
          <w:tcPr>
            <w:tcW w:w="11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主管部门</w:t>
              <w:br/>
            </w:r>
          </w:p>
        </w:tc>
        <w:tc>
          <w:tcPr>
            <w:tcW w:w="4357"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[167]海关总署</w:t>
            </w:r>
          </w:p>
        </w:tc>
        <w:tc>
          <w:tcPr>
            <w:tcW w:w="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实施单位</w:t>
              <w:br/>
            </w:r>
          </w:p>
        </w:tc>
        <w:tc>
          <w:tcPr>
            <w:tcW w:w="2981"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24"/>
              </w:rPr>
            </w:pPr>
            <w:r>
              <w:rPr>
                <w:rFonts w:ascii="宋体" w:eastAsia="宋体"/>
                <w:b w:val="0"/>
                <w:i w:val="0"/>
                <w:sz w:val="24"/>
              </w:rPr>
              <w:t>中华人民共和国拉萨海关</w:t>
            </w:r>
          </w:p>
        </w:tc>
      </w:tr>
      <w:tr>
        <w:tc>
          <w:tcPr>
            <w:tcW w:w="1143" w:type="dxa"/>
            <w:gridSpan w:val="2"/>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auto"/>
                <w:sz w:val="18"/>
              </w:rPr>
            </w:pPr>
            <w:r>
              <w:rPr>
                <w:rFonts w:ascii="宋体" w:hAnsi="宋体"/>
                <w:b w:val="0"/>
                <w:i w:val="0"/>
                <w:strike w:val="0"/>
                <w:dstrike w:val="0"/>
                <w:color w:val="auto"/>
                <w:sz w:val="18"/>
              </w:rPr>
              <w:t>项目资金</w:t>
              <w:br/>
              <w:t>（万元）</w:t>
            </w:r>
          </w:p>
        </w:tc>
        <w:tc>
          <w:tcPr>
            <w:tcW w:w="1374"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b w:val="0"/>
                <w:i w:val="0"/>
                <w:sz w:val="18"/>
              </w:rPr>
            </w:pPr>
          </w:p>
        </w:tc>
        <w:tc>
          <w:tcPr>
            <w:tcW w:w="79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年初预算数</w:t>
            </w:r>
          </w:p>
        </w:tc>
        <w:tc>
          <w:tcPr>
            <w:tcW w:w="21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全年预算数</w:t>
            </w:r>
          </w:p>
        </w:tc>
        <w:tc>
          <w:tcPr>
            <w:tcW w:w="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全年执行数</w:t>
              <w:br/>
            </w:r>
          </w:p>
        </w:tc>
        <w:tc>
          <w:tcPr>
            <w:tcW w:w="119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分值</w:t>
              <w:br/>
            </w:r>
          </w:p>
        </w:tc>
        <w:tc>
          <w:tcPr>
            <w:tcW w:w="119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执行率</w:t>
              <w:br/>
            </w:r>
          </w:p>
        </w:tc>
        <w:tc>
          <w:tcPr>
            <w:tcW w:w="59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得分</w:t>
              <w:br/>
            </w:r>
          </w:p>
        </w:tc>
      </w:tr>
      <w:tr>
        <w:tc>
          <w:tcPr>
            <w:tcW w:w="1143"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年度资金总额</w:t>
            </w:r>
          </w:p>
        </w:tc>
        <w:tc>
          <w:tcPr>
            <w:tcW w:w="799" w:type="dxa"/>
            <w:gridSpan w:val="2"/>
            <w:tcBorders>
              <w:top w:val="single" w:sz="6" w:space="0" w:color="auto"/>
              <w:left w:val="single" w:sz="6" w:space="0" w:color="auto"/>
              <w:bottom w:val="single" w:sz="6" w:space="0" w:color="000000"/>
              <w:right w:val="single" w:sz="6" w:space="0" w:color="000000"/>
              <w:tl2br w:val="nil"/>
              <w:tr2bl w:val="nil"/>
            </w:tcBorders>
            <w:shd w:val="clear" w:color="auto" w:fill="FFFFFF"/>
            <w:noWrap/>
            <w:vAlign w:val="center"/>
          </w:tcPr>
          <w:p>
            <w:pPr>
              <w:jc w:val="center"/>
              <w:rPr>
                <w:rFonts w:ascii="宋体" w:eastAsia="宋体"/>
                <w:b w:val="0"/>
                <w:i w:val="0"/>
                <w:sz w:val="24"/>
              </w:rPr>
            </w:pPr>
            <w:r>
              <w:rPr>
                <w:rFonts w:ascii="宋体" w:eastAsia="宋体"/>
                <w:b w:val="0"/>
                <w:i w:val="0"/>
                <w:sz w:val="24"/>
              </w:rPr>
              <w:t xml:space="preserve">7.22 </w:t>
            </w:r>
          </w:p>
        </w:tc>
        <w:tc>
          <w:tcPr>
            <w:tcW w:w="21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7.22</w:t>
            </w:r>
          </w:p>
        </w:tc>
        <w:tc>
          <w:tcPr>
            <w:tcW w:w="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7.22</w:t>
            </w:r>
          </w:p>
        </w:tc>
        <w:tc>
          <w:tcPr>
            <w:tcW w:w="119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10</w:t>
            </w:r>
          </w:p>
        </w:tc>
        <w:tc>
          <w:tcPr>
            <w:tcW w:w="119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100%</w:t>
            </w:r>
          </w:p>
        </w:tc>
        <w:tc>
          <w:tcPr>
            <w:tcW w:w="59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10</w:t>
            </w:r>
          </w:p>
        </w:tc>
      </w:tr>
      <w:tr>
        <w:tc>
          <w:tcPr>
            <w:tcW w:w="1143"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其中：当年财政拨款</w:t>
            </w:r>
          </w:p>
        </w:tc>
        <w:tc>
          <w:tcPr>
            <w:tcW w:w="799" w:type="dxa"/>
            <w:gridSpan w:val="2"/>
            <w:tcBorders>
              <w:top w:val="single" w:sz="6" w:space="0" w:color="000000"/>
              <w:left w:val="single" w:sz="6" w:space="0" w:color="auto"/>
              <w:bottom w:val="single" w:sz="6" w:space="0" w:color="000000"/>
              <w:right w:val="single" w:sz="6" w:space="0" w:color="000000"/>
              <w:tl2br w:val="nil"/>
              <w:tr2bl w:val="nil"/>
            </w:tcBorders>
            <w:shd w:val="clear" w:color="auto" w:fill="FFFFFF"/>
            <w:noWrap/>
            <w:vAlign w:val="center"/>
          </w:tcPr>
          <w:p>
            <w:pPr>
              <w:jc w:val="center"/>
              <w:rPr>
                <w:rFonts w:ascii="宋体" w:eastAsia="宋体"/>
                <w:b w:val="0"/>
                <w:i w:val="0"/>
                <w:sz w:val="24"/>
              </w:rPr>
            </w:pPr>
            <w:r>
              <w:rPr>
                <w:rFonts w:ascii="宋体" w:eastAsia="宋体"/>
                <w:b w:val="0"/>
                <w:i w:val="0"/>
                <w:sz w:val="24"/>
              </w:rPr>
              <w:t xml:space="preserve">7.22 </w:t>
            </w:r>
          </w:p>
        </w:tc>
        <w:tc>
          <w:tcPr>
            <w:tcW w:w="21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7.22</w:t>
            </w:r>
          </w:p>
        </w:tc>
        <w:tc>
          <w:tcPr>
            <w:tcW w:w="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7.22</w:t>
            </w:r>
          </w:p>
        </w:tc>
        <w:tc>
          <w:tcPr>
            <w:tcW w:w="119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w:t>
            </w:r>
          </w:p>
        </w:tc>
        <w:tc>
          <w:tcPr>
            <w:tcW w:w="119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100%</w:t>
            </w:r>
          </w:p>
        </w:tc>
        <w:tc>
          <w:tcPr>
            <w:tcW w:w="59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w:t>
            </w:r>
          </w:p>
        </w:tc>
      </w:tr>
      <w:tr>
        <w:tc>
          <w:tcPr>
            <w:tcW w:w="1143"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74"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hAnsi="宋体"/>
                <w:b w:val="0"/>
                <w:i w:val="0"/>
                <w:strike w:val="0"/>
                <w:dstrike w:val="0"/>
                <w:color w:val="000000"/>
                <w:sz w:val="18"/>
              </w:rPr>
            </w:pPr>
            <w:r>
              <w:rPr>
                <w:rFonts w:ascii="宋体" w:hAnsi="宋体"/>
                <w:b w:val="0"/>
                <w:i w:val="0"/>
                <w:strike w:val="0"/>
                <w:dstrike w:val="0"/>
                <w:color w:val="000000"/>
                <w:sz w:val="18"/>
              </w:rPr>
              <w:t xml:space="preserve"> 上年结转资金</w:t>
            </w:r>
          </w:p>
        </w:tc>
        <w:tc>
          <w:tcPr>
            <w:tcW w:w="799" w:type="dxa"/>
            <w:gridSpan w:val="2"/>
            <w:tcBorders>
              <w:top w:val="single" w:sz="6" w:space="0" w:color="000000"/>
              <w:left w:val="single" w:sz="6" w:space="0" w:color="auto"/>
              <w:bottom w:val="single" w:sz="6" w:space="0" w:color="000000"/>
              <w:right w:val="single" w:sz="6" w:space="0" w:color="000000"/>
              <w:tl2br w:val="nil"/>
              <w:tr2bl w:val="nil"/>
            </w:tcBorders>
            <w:shd w:val="clear" w:color="auto" w:fill="FFFFFF"/>
            <w:noWrap/>
            <w:vAlign w:val="center"/>
          </w:tcPr>
          <w:p>
            <w:pPr>
              <w:jc w:val="center"/>
              <w:rPr>
                <w:rFonts w:ascii="宋体" w:eastAsia="宋体"/>
                <w:b w:val="0"/>
                <w:i w:val="0"/>
                <w:sz w:val="24"/>
              </w:rPr>
            </w:pPr>
            <w:r>
              <w:rPr>
                <w:rFonts w:ascii="宋体" w:eastAsia="宋体"/>
                <w:b w:val="0"/>
                <w:i w:val="0"/>
                <w:sz w:val="24"/>
              </w:rPr>
              <w:t xml:space="preserve">0.00 </w:t>
            </w:r>
          </w:p>
        </w:tc>
        <w:tc>
          <w:tcPr>
            <w:tcW w:w="21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0</w:t>
            </w:r>
          </w:p>
        </w:tc>
        <w:tc>
          <w:tcPr>
            <w:tcW w:w="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0</w:t>
            </w:r>
          </w:p>
        </w:tc>
        <w:tc>
          <w:tcPr>
            <w:tcW w:w="119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w:t>
            </w:r>
          </w:p>
        </w:tc>
        <w:tc>
          <w:tcPr>
            <w:tcW w:w="119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0</w:t>
            </w:r>
          </w:p>
        </w:tc>
        <w:tc>
          <w:tcPr>
            <w:tcW w:w="59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w:t>
            </w:r>
          </w:p>
        </w:tc>
      </w:tr>
      <w:tr>
        <w:tc>
          <w:tcPr>
            <w:tcW w:w="1143"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3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 xml:space="preserve">  其他资金</w:t>
            </w:r>
          </w:p>
        </w:tc>
        <w:tc>
          <w:tcPr>
            <w:tcW w:w="799" w:type="dxa"/>
            <w:gridSpan w:val="2"/>
            <w:tcBorders>
              <w:top w:val="single" w:sz="6" w:space="0" w:color="000000"/>
              <w:left w:val="single" w:sz="6" w:space="0" w:color="auto"/>
              <w:bottom w:val="single" w:sz="6" w:space="0" w:color="auto"/>
              <w:right w:val="single" w:sz="6" w:space="0" w:color="000000"/>
              <w:tl2br w:val="nil"/>
              <w:tr2bl w:val="nil"/>
            </w:tcBorders>
            <w:shd w:val="clear" w:color="auto" w:fill="FFFFFF"/>
            <w:noWrap/>
            <w:vAlign w:val="center"/>
          </w:tcPr>
          <w:p>
            <w:pPr>
              <w:jc w:val="center"/>
              <w:rPr>
                <w:rFonts w:ascii="宋体" w:eastAsia="宋体"/>
                <w:b w:val="0"/>
                <w:i w:val="0"/>
                <w:sz w:val="24"/>
              </w:rPr>
            </w:pPr>
            <w:r>
              <w:rPr>
                <w:rFonts w:ascii="宋体" w:eastAsia="宋体"/>
                <w:b w:val="0"/>
                <w:i w:val="0"/>
                <w:sz w:val="24"/>
              </w:rPr>
              <w:t xml:space="preserve">0.00 </w:t>
            </w:r>
          </w:p>
        </w:tc>
        <w:tc>
          <w:tcPr>
            <w:tcW w:w="21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0</w:t>
            </w:r>
          </w:p>
        </w:tc>
        <w:tc>
          <w:tcPr>
            <w:tcW w:w="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0</w:t>
            </w:r>
          </w:p>
        </w:tc>
        <w:tc>
          <w:tcPr>
            <w:tcW w:w="119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w:t>
            </w:r>
          </w:p>
        </w:tc>
        <w:tc>
          <w:tcPr>
            <w:tcW w:w="119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0</w:t>
            </w:r>
          </w:p>
        </w:tc>
        <w:tc>
          <w:tcPr>
            <w:tcW w:w="59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w:t>
            </w:r>
          </w:p>
        </w:tc>
      </w:tr>
      <w:tr>
        <w:tc>
          <w:tcPr>
            <w:tcW w:w="407"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年度总体目标</w:t>
              <w:br/>
            </w:r>
          </w:p>
        </w:tc>
        <w:tc>
          <w:tcPr>
            <w:tcW w:w="5094"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预期目标</w:t>
            </w:r>
          </w:p>
        </w:tc>
        <w:tc>
          <w:tcPr>
            <w:tcW w:w="3557" w:type="dxa"/>
            <w:gridSpan w:val="7"/>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实际完成情况</w:t>
            </w:r>
          </w:p>
        </w:tc>
      </w:tr>
      <w:tr>
        <w:tc>
          <w:tcPr>
            <w:tcW w:w="40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5094"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hAnsi="宋体"/>
                <w:b w:val="0"/>
                <w:i w:val="0"/>
                <w:strike w:val="0"/>
                <w:dstrike w:val="0"/>
                <w:color w:val="auto"/>
                <w:sz w:val="18"/>
              </w:rPr>
            </w:pPr>
            <w:r>
              <w:rPr>
                <w:rFonts w:ascii="宋体" w:hAnsi="宋体"/>
                <w:b w:val="0"/>
                <w:i w:val="0"/>
                <w:strike w:val="0"/>
                <w:dstrike w:val="0"/>
                <w:color w:val="auto"/>
                <w:sz w:val="18"/>
              </w:rPr>
              <w:t>目标1：加大海关缉私部门指挥调度装备、通信装备等十大类装备的建设，推动海关缉私部门管理体制调整明确的“执行公安机关有关标准”落地实施；</w:t>
              <w:br/>
              <w:t>目标2：不断提高装备支撑缉私业务能力，提高缉私警务装备适配性和科技含量；</w:t>
              <w:br/>
              <w:t>目标3：有效支撑缉私警察对突出走私犯罪活动始终保持严打高压态势，维护正常进出口秩序，捍卫“五位一体”发展总布局。</w:t>
              <w:br/>
            </w:r>
          </w:p>
        </w:tc>
        <w:tc>
          <w:tcPr>
            <w:tcW w:w="3557" w:type="dxa"/>
            <w:gridSpan w:val="7"/>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auto"/>
                <w:sz w:val="18"/>
              </w:rPr>
            </w:pPr>
            <w:r>
              <w:rPr>
                <w:rFonts w:ascii="宋体" w:hAnsi="宋体"/>
                <w:b w:val="0"/>
                <w:i w:val="0"/>
                <w:strike w:val="0"/>
                <w:dstrike w:val="0"/>
                <w:color w:val="auto"/>
                <w:sz w:val="18"/>
              </w:rPr>
              <w:t>加大海关缉私部门指挥调度装备、通信装备等十大类装备的建设，推动海关缉私部门管理体制调整明确的“执行公安机关有关标准”落地实施；</w:t>
              <w:br/>
              <w:t>不断提高装备支撑缉私业务能力，提高缉私警务装备适配性和科技含量；</w:t>
              <w:br/>
              <w:t>有效支撑缉私警察对突出走私犯罪活动始终保持严打高压态势，维护正常进出口秩序，捍卫“五位一体”发展总布局。</w:t>
            </w:r>
          </w:p>
        </w:tc>
      </w:tr>
      <w:tr>
        <w:tc>
          <w:tcPr>
            <w:tcW w:w="407" w:type="dxa"/>
            <w:vMerge w:val="restart"/>
            <w:tcBorders>
              <w:top w:val="single" w:sz="6" w:space="0" w:color="auto"/>
              <w:left w:val="single" w:sz="6" w:space="0" w:color="auto"/>
              <w:bottom w:val="single" w:sz="6" w:space="0" w:color="000000"/>
              <w:right w:val="single" w:sz="6" w:space="0" w:color="auto"/>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绩效指标</w:t>
            </w:r>
          </w:p>
        </w:tc>
        <w:tc>
          <w:tcPr>
            <w:tcW w:w="7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一级指标</w:t>
              <w:br/>
            </w:r>
          </w:p>
        </w:tc>
        <w:tc>
          <w:tcPr>
            <w:tcW w:w="146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二级指标</w:t>
            </w:r>
          </w:p>
        </w:tc>
        <w:tc>
          <w:tcPr>
            <w:tcW w:w="14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三级指标</w:t>
              <w:br/>
            </w:r>
          </w:p>
        </w:tc>
        <w:tc>
          <w:tcPr>
            <w:tcW w:w="14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年度指标值</w:t>
            </w:r>
          </w:p>
        </w:tc>
        <w:tc>
          <w:tcPr>
            <w:tcW w:w="125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实际完成值</w:t>
            </w:r>
          </w:p>
        </w:tc>
        <w:tc>
          <w:tcPr>
            <w:tcW w:w="62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分值</w:t>
              <w:br/>
            </w:r>
          </w:p>
        </w:tc>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得分</w:t>
              <w:br/>
            </w:r>
          </w:p>
        </w:tc>
        <w:tc>
          <w:tcPr>
            <w:tcW w:w="8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偏差原因分析及改进措施</w:t>
              <w:br/>
            </w:r>
          </w:p>
        </w:tc>
      </w:tr>
      <w:tr>
        <w:tc>
          <w:tcPr>
            <w:tcW w:w="40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736"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成本指标</w:t>
            </w:r>
          </w:p>
        </w:tc>
        <w:tc>
          <w:tcPr>
            <w:tcW w:w="1468"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rFonts w:ascii="宋体" w:eastAsia="宋体"/>
                <w:b w:val="0"/>
                <w:i w:val="0"/>
                <w:sz w:val="18"/>
              </w:rPr>
            </w:pPr>
            <w:r>
              <w:rPr>
                <w:rFonts w:ascii="宋体" w:eastAsia="宋体"/>
                <w:b w:val="0"/>
                <w:i w:val="0"/>
                <w:sz w:val="18"/>
              </w:rPr>
              <w:t>经济成本指标</w:t>
            </w:r>
          </w:p>
        </w:tc>
        <w:tc>
          <w:tcPr>
            <w:tcW w:w="14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项目支出成本</w:t>
            </w:r>
          </w:p>
        </w:tc>
        <w:tc>
          <w:tcPr>
            <w:tcW w:w="1448"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b w:val="0"/>
                <w:i w:val="0"/>
                <w:sz w:val="18"/>
              </w:rPr>
            </w:pPr>
            <w:r>
              <w:rPr>
                <w:rFonts w:ascii="宋体" w:eastAsia="宋体"/>
                <w:b w:val="0"/>
                <w:i w:val="0"/>
                <w:sz w:val="18"/>
              </w:rPr>
              <w:t>≤7.22万元</w:t>
            </w:r>
          </w:p>
        </w:tc>
        <w:tc>
          <w:tcPr>
            <w:tcW w:w="1256" w:type="dxa"/>
            <w:gridSpan w:val="2"/>
            <w:tcBorders>
              <w:top w:val="nil"/>
              <w:left w:val="nil"/>
              <w:bottom w:val="single" w:sz="6" w:space="0" w:color="auto"/>
              <w:right w:val="nil"/>
              <w:tl2br w:val="nil"/>
              <w:tr2bl w:val="nil"/>
            </w:tcBorders>
            <w:noWrap/>
            <w:vAlign w:val="center"/>
          </w:tcPr>
          <w:p>
            <w:pPr>
              <w:rPr>
                <w:rFonts w:ascii="宋体" w:hAnsi="宋体"/>
                <w:b w:val="0"/>
                <w:i w:val="0"/>
                <w:strike w:val="0"/>
                <w:dstrike w:val="0"/>
                <w:color w:val="auto"/>
                <w:sz w:val="24"/>
              </w:rPr>
            </w:pPr>
            <w:r>
              <w:rPr>
                <w:rFonts w:ascii="宋体" w:hAnsi="宋体"/>
                <w:b w:val="0"/>
                <w:i w:val="0"/>
                <w:strike w:val="0"/>
                <w:dstrike w:val="0"/>
                <w:color w:val="auto"/>
                <w:sz w:val="24"/>
              </w:rPr>
              <w:t>7.22万元</w:t>
            </w:r>
          </w:p>
        </w:tc>
        <w:tc>
          <w:tcPr>
            <w:tcW w:w="628" w:type="dxa"/>
            <w:gridSpan w:val="2"/>
            <w:tcBorders>
              <w:top w:val="nil"/>
              <w:left w:val="nil"/>
              <w:bottom w:val="single" w:sz="6" w:space="0" w:color="000000"/>
              <w:right w:val="single" w:sz="6" w:space="0" w:color="000000"/>
              <w:tl2br w:val="nil"/>
              <w:tr2bl w:val="nil"/>
            </w:tcBorders>
            <w:noWrap/>
            <w:vAlign w:val="center"/>
          </w:tcPr>
          <w:p>
            <w:pPr>
              <w:jc w:val="center"/>
              <w:rPr>
                <w:rFonts w:ascii="宋体" w:eastAsia="宋体"/>
                <w:b w:val="0"/>
                <w:i w:val="0"/>
                <w:sz w:val="24"/>
              </w:rPr>
            </w:pPr>
            <w:r>
              <w:rPr>
                <w:rFonts w:ascii="宋体" w:eastAsia="宋体"/>
                <w:b w:val="0"/>
                <w:i w:val="0"/>
                <w:sz w:val="24"/>
              </w:rPr>
              <w:t>10</w:t>
            </w:r>
          </w:p>
        </w:tc>
        <w:tc>
          <w:tcPr>
            <w:tcW w:w="780" w:type="dxa"/>
            <w:tcBorders>
              <w:top w:val="nil"/>
              <w:left w:val="nil"/>
              <w:bottom w:val="single" w:sz="6" w:space="0" w:color="000000"/>
              <w:right w:val="single" w:sz="6" w:space="0" w:color="000000"/>
              <w:tl2br w:val="nil"/>
              <w:tr2bl w:val="nil"/>
            </w:tcBorders>
            <w:noWrap/>
            <w:vAlign w:val="center"/>
          </w:tcPr>
          <w:p>
            <w:pPr>
              <w:jc w:val="center"/>
              <w:rPr>
                <w:rFonts w:ascii="宋体" w:eastAsia="宋体"/>
                <w:b w:val="0"/>
                <w:i w:val="0"/>
                <w:sz w:val="24"/>
              </w:rPr>
            </w:pPr>
            <w:r>
              <w:rPr>
                <w:rFonts w:ascii="宋体" w:eastAsia="宋体"/>
                <w:b w:val="0"/>
                <w:i w:val="0"/>
                <w:sz w:val="24"/>
              </w:rPr>
              <w:t>10</w:t>
            </w:r>
          </w:p>
        </w:tc>
        <w:tc>
          <w:tcPr>
            <w:tcW w:w="8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FF0000"/>
                <w:sz w:val="18"/>
              </w:rPr>
            </w:pPr>
          </w:p>
        </w:tc>
      </w:tr>
      <w:tr>
        <w:tc>
          <w:tcPr>
            <w:tcW w:w="40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73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产出指标</w:t>
              <w:br/>
            </w:r>
          </w:p>
        </w:tc>
        <w:tc>
          <w:tcPr>
            <w:tcW w:w="146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hAnsi="宋体"/>
                <w:b w:val="0"/>
                <w:i w:val="0"/>
                <w:strike w:val="0"/>
                <w:dstrike w:val="0"/>
                <w:color w:val="000000"/>
                <w:sz w:val="18"/>
              </w:rPr>
            </w:pPr>
            <w:r>
              <w:rPr>
                <w:rFonts w:ascii="宋体" w:hAnsi="宋体"/>
                <w:b w:val="0"/>
                <w:i w:val="0"/>
                <w:strike w:val="0"/>
                <w:dstrike w:val="0"/>
                <w:color w:val="000000"/>
                <w:sz w:val="18"/>
              </w:rPr>
              <w:t>数量指标</w:t>
              <w:br/>
            </w:r>
          </w:p>
        </w:tc>
        <w:tc>
          <w:tcPr>
            <w:tcW w:w="14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配备警务装备数量完成情况</w:t>
            </w:r>
          </w:p>
        </w:tc>
        <w:tc>
          <w:tcPr>
            <w:tcW w:w="1448"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hAnsi="宋体"/>
                <w:b w:val="0"/>
                <w:i w:val="0"/>
                <w:strike w:val="0"/>
                <w:dstrike w:val="0"/>
                <w:color w:val="auto"/>
                <w:sz w:val="18"/>
              </w:rPr>
            </w:pPr>
            <w:r>
              <w:rPr>
                <w:rFonts w:ascii="宋体" w:hAnsi="宋体"/>
                <w:b w:val="0"/>
                <w:i w:val="0"/>
                <w:strike w:val="0"/>
                <w:dstrike w:val="0"/>
                <w:color w:val="auto"/>
                <w:sz w:val="18"/>
              </w:rPr>
              <w:t>≥90</w:t>
              <w:br/>
              <w:t>%</w:t>
            </w:r>
          </w:p>
        </w:tc>
        <w:tc>
          <w:tcPr>
            <w:tcW w:w="1256" w:type="dxa"/>
            <w:gridSpan w:val="2"/>
            <w:tcBorders>
              <w:top w:val="nil"/>
              <w:left w:val="nil"/>
              <w:bottom w:val="single" w:sz="6" w:space="0" w:color="auto"/>
              <w:right w:val="nil"/>
              <w:tl2br w:val="nil"/>
              <w:tr2bl w:val="nil"/>
            </w:tcBorders>
            <w:noWrap/>
            <w:vAlign w:val="center"/>
          </w:tcPr>
          <w:p>
            <w:pPr>
              <w:rPr>
                <w:rFonts w:ascii="宋体" w:eastAsia="宋体"/>
                <w:b w:val="0"/>
                <w:i w:val="0"/>
                <w:sz w:val="24"/>
              </w:rPr>
            </w:pPr>
            <w:r>
              <w:rPr>
                <w:rFonts w:ascii="宋体" w:eastAsia="宋体"/>
                <w:b w:val="0"/>
                <w:i w:val="0"/>
                <w:sz w:val="24"/>
              </w:rPr>
              <w:t>1</w:t>
            </w:r>
          </w:p>
        </w:tc>
        <w:tc>
          <w:tcPr>
            <w:tcW w:w="62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20</w:t>
            </w:r>
          </w:p>
        </w:tc>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20</w:t>
            </w:r>
          </w:p>
        </w:tc>
        <w:tc>
          <w:tcPr>
            <w:tcW w:w="8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FF0000"/>
                <w:sz w:val="18"/>
              </w:rPr>
            </w:pPr>
          </w:p>
        </w:tc>
      </w:tr>
      <w:tr>
        <w:tc>
          <w:tcPr>
            <w:tcW w:w="40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7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46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质量指标</w:t>
            </w:r>
          </w:p>
        </w:tc>
        <w:tc>
          <w:tcPr>
            <w:tcW w:w="14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新购警务装备质量达标率（%）</w:t>
            </w:r>
          </w:p>
        </w:tc>
        <w:tc>
          <w:tcPr>
            <w:tcW w:w="1448"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hAnsi="宋体"/>
                <w:b w:val="0"/>
                <w:i w:val="0"/>
                <w:strike w:val="0"/>
                <w:dstrike w:val="0"/>
                <w:color w:val="auto"/>
                <w:sz w:val="18"/>
              </w:rPr>
            </w:pPr>
            <w:r>
              <w:rPr>
                <w:rFonts w:ascii="宋体" w:hAnsi="宋体"/>
                <w:b w:val="0"/>
                <w:i w:val="0"/>
                <w:strike w:val="0"/>
                <w:dstrike w:val="0"/>
                <w:color w:val="auto"/>
                <w:sz w:val="18"/>
              </w:rPr>
              <w:t>≥90</w:t>
              <w:br/>
              <w:t>%</w:t>
            </w:r>
          </w:p>
        </w:tc>
        <w:tc>
          <w:tcPr>
            <w:tcW w:w="1256" w:type="dxa"/>
            <w:gridSpan w:val="2"/>
            <w:tcBorders>
              <w:top w:val="nil"/>
              <w:left w:val="nil"/>
              <w:bottom w:val="single" w:sz="6" w:space="0" w:color="auto"/>
              <w:right w:val="nil"/>
              <w:tl2br w:val="nil"/>
              <w:tr2bl w:val="nil"/>
            </w:tcBorders>
            <w:noWrap/>
            <w:vAlign w:val="center"/>
          </w:tcPr>
          <w:p>
            <w:pPr>
              <w:rPr>
                <w:rFonts w:ascii="宋体" w:eastAsia="宋体"/>
                <w:b w:val="0"/>
                <w:i w:val="0"/>
                <w:sz w:val="24"/>
              </w:rPr>
            </w:pPr>
            <w:r>
              <w:rPr>
                <w:rFonts w:ascii="宋体" w:eastAsia="宋体"/>
                <w:b w:val="0"/>
                <w:i w:val="0"/>
                <w:sz w:val="24"/>
              </w:rPr>
              <w:t>1</w:t>
            </w:r>
          </w:p>
        </w:tc>
        <w:tc>
          <w:tcPr>
            <w:tcW w:w="62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10</w:t>
            </w:r>
          </w:p>
        </w:tc>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10</w:t>
            </w:r>
          </w:p>
        </w:tc>
        <w:tc>
          <w:tcPr>
            <w:tcW w:w="8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p>
        </w:tc>
      </w:tr>
      <w:tr>
        <w:tc>
          <w:tcPr>
            <w:tcW w:w="40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7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46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时效指标</w:t>
            </w:r>
          </w:p>
        </w:tc>
        <w:tc>
          <w:tcPr>
            <w:tcW w:w="14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新购警备装备按期到位率（%）</w:t>
            </w:r>
          </w:p>
        </w:tc>
        <w:tc>
          <w:tcPr>
            <w:tcW w:w="1448"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hAnsi="宋体"/>
                <w:b w:val="0"/>
                <w:i w:val="0"/>
                <w:strike w:val="0"/>
                <w:dstrike w:val="0"/>
                <w:color w:val="auto"/>
                <w:sz w:val="18"/>
              </w:rPr>
            </w:pPr>
            <w:r>
              <w:rPr>
                <w:rFonts w:ascii="宋体" w:hAnsi="宋体"/>
                <w:b w:val="0"/>
                <w:i w:val="0"/>
                <w:strike w:val="0"/>
                <w:dstrike w:val="0"/>
                <w:color w:val="auto"/>
                <w:sz w:val="18"/>
              </w:rPr>
              <w:t>≥80</w:t>
              <w:br/>
              <w:t>%</w:t>
            </w:r>
          </w:p>
        </w:tc>
        <w:tc>
          <w:tcPr>
            <w:tcW w:w="1256" w:type="dxa"/>
            <w:gridSpan w:val="2"/>
            <w:tcBorders>
              <w:top w:val="nil"/>
              <w:left w:val="nil"/>
              <w:bottom w:val="single" w:sz="6" w:space="0" w:color="auto"/>
              <w:right w:val="nil"/>
              <w:tl2br w:val="nil"/>
              <w:tr2bl w:val="nil"/>
            </w:tcBorders>
            <w:noWrap/>
            <w:vAlign w:val="center"/>
          </w:tcPr>
          <w:p>
            <w:pPr>
              <w:rPr>
                <w:rFonts w:ascii="宋体" w:eastAsia="宋体"/>
                <w:b w:val="0"/>
                <w:i w:val="0"/>
                <w:sz w:val="24"/>
              </w:rPr>
            </w:pPr>
            <w:r>
              <w:rPr>
                <w:rFonts w:ascii="宋体" w:eastAsia="宋体"/>
                <w:b w:val="0"/>
                <w:i w:val="0"/>
                <w:sz w:val="24"/>
              </w:rPr>
              <w:t>1</w:t>
            </w:r>
          </w:p>
        </w:tc>
        <w:tc>
          <w:tcPr>
            <w:tcW w:w="62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10</w:t>
            </w:r>
          </w:p>
        </w:tc>
        <w:tc>
          <w:tcPr>
            <w:tcW w:w="7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10</w:t>
            </w:r>
          </w:p>
        </w:tc>
        <w:tc>
          <w:tcPr>
            <w:tcW w:w="8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p>
        </w:tc>
      </w:tr>
      <w:tr>
        <w:tc>
          <w:tcPr>
            <w:tcW w:w="40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7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效益指标</w:t>
            </w:r>
          </w:p>
        </w:tc>
        <w:tc>
          <w:tcPr>
            <w:tcW w:w="1468"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社会效益指标</w:t>
            </w:r>
          </w:p>
        </w:tc>
        <w:tc>
          <w:tcPr>
            <w:tcW w:w="14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助力关区缉私警务装备水平</w:t>
            </w:r>
          </w:p>
        </w:tc>
        <w:tc>
          <w:tcPr>
            <w:tcW w:w="1448"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b w:val="0"/>
                <w:i w:val="0"/>
                <w:sz w:val="24"/>
              </w:rPr>
            </w:pPr>
            <w:r>
              <w:rPr>
                <w:rFonts w:ascii="宋体" w:eastAsia="宋体"/>
                <w:b w:val="0"/>
                <w:i w:val="0"/>
                <w:sz w:val="24"/>
              </w:rPr>
              <w:t>有所提升</w:t>
            </w:r>
          </w:p>
        </w:tc>
        <w:tc>
          <w:tcPr>
            <w:tcW w:w="1256" w:type="dxa"/>
            <w:gridSpan w:val="2"/>
            <w:tcBorders>
              <w:top w:val="nil"/>
              <w:left w:val="nil"/>
              <w:bottom w:val="single" w:sz="6" w:space="0" w:color="auto"/>
              <w:right w:val="nil"/>
              <w:tl2br w:val="nil"/>
              <w:tr2bl w:val="nil"/>
            </w:tcBorders>
            <w:noWrap/>
            <w:vAlign w:val="center"/>
          </w:tcPr>
          <w:p>
            <w:pPr>
              <w:rPr>
                <w:rFonts w:ascii="宋体" w:eastAsia="宋体"/>
                <w:b w:val="0"/>
                <w:i w:val="0"/>
                <w:sz w:val="24"/>
              </w:rPr>
            </w:pPr>
            <w:r>
              <w:rPr>
                <w:rFonts w:ascii="宋体" w:eastAsia="宋体"/>
                <w:b w:val="0"/>
                <w:i w:val="0"/>
                <w:sz w:val="24"/>
              </w:rPr>
              <w:t>有提升</w:t>
            </w:r>
          </w:p>
        </w:tc>
        <w:tc>
          <w:tcPr>
            <w:tcW w:w="628"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rFonts w:ascii="宋体" w:eastAsia="宋体"/>
                <w:b w:val="0"/>
                <w:i w:val="0"/>
                <w:sz w:val="18"/>
              </w:rPr>
            </w:pPr>
            <w:r>
              <w:rPr>
                <w:rFonts w:ascii="宋体" w:eastAsia="宋体"/>
                <w:b w:val="0"/>
                <w:i w:val="0"/>
                <w:sz w:val="18"/>
              </w:rPr>
              <w:t>30</w:t>
            </w:r>
          </w:p>
        </w:tc>
        <w:tc>
          <w:tcPr>
            <w:tcW w:w="78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b w:val="0"/>
                <w:i w:val="0"/>
                <w:sz w:val="18"/>
              </w:rPr>
            </w:pPr>
            <w:r>
              <w:rPr>
                <w:rFonts w:ascii="宋体" w:eastAsia="宋体"/>
                <w:b w:val="0"/>
                <w:i w:val="0"/>
                <w:sz w:val="18"/>
              </w:rPr>
              <w:t>30</w:t>
            </w:r>
          </w:p>
        </w:tc>
        <w:tc>
          <w:tcPr>
            <w:tcW w:w="888"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rFonts w:ascii="宋体" w:eastAsia="宋体"/>
                <w:b w:val="0"/>
                <w:i w:val="0"/>
                <w:sz w:val="18"/>
              </w:rPr>
            </w:pPr>
          </w:p>
        </w:tc>
      </w:tr>
      <w:tr>
        <w:tc>
          <w:tcPr>
            <w:tcW w:w="407" w:type="dxa"/>
            <w:vMerge/>
            <w:tcBorders>
              <w:top w:val="single" w:sz="6" w:space="0" w:color="auto"/>
              <w:left w:val="single" w:sz="6" w:space="0" w:color="auto"/>
              <w:bottom w:val="single" w:sz="6" w:space="0" w:color="000000"/>
              <w:right w:val="single" w:sz="6" w:space="0" w:color="auto"/>
              <w:tl2br w:val="nil"/>
              <w:tr2bl w:val="nil"/>
            </w:tcBorders>
            <w:noWrap/>
            <w:vAlign w:val="center"/>
          </w:tcPr>
          <w:p/>
        </w:tc>
        <w:tc>
          <w:tcPr>
            <w:tcW w:w="7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color w:val="000000"/>
                <w:sz w:val="18"/>
              </w:rPr>
            </w:pPr>
            <w:r>
              <w:rPr>
                <w:rFonts w:ascii="宋体" w:eastAsia="宋体"/>
                <w:b w:val="0"/>
                <w:i w:val="0"/>
                <w:color w:val="000000"/>
                <w:sz w:val="18"/>
              </w:rPr>
              <w:t>满意度指标</w:t>
            </w:r>
          </w:p>
        </w:tc>
        <w:tc>
          <w:tcPr>
            <w:tcW w:w="146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服务对象满意度指标</w:t>
            </w:r>
          </w:p>
        </w:tc>
        <w:tc>
          <w:tcPr>
            <w:tcW w:w="144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val="0"/>
                <w:i w:val="0"/>
                <w:sz w:val="18"/>
              </w:rPr>
            </w:pPr>
            <w:r>
              <w:rPr>
                <w:rFonts w:ascii="宋体" w:eastAsia="宋体"/>
                <w:b w:val="0"/>
                <w:i w:val="0"/>
                <w:sz w:val="18"/>
              </w:rPr>
              <w:t>民警满意度（%）</w:t>
            </w:r>
          </w:p>
        </w:tc>
        <w:tc>
          <w:tcPr>
            <w:tcW w:w="1448"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hAnsi="宋体"/>
                <w:b w:val="0"/>
                <w:i w:val="0"/>
                <w:strike w:val="0"/>
                <w:dstrike w:val="0"/>
                <w:color w:val="auto"/>
                <w:sz w:val="18"/>
              </w:rPr>
            </w:pPr>
            <w:r>
              <w:rPr>
                <w:rFonts w:ascii="宋体" w:hAnsi="宋体"/>
                <w:b w:val="0"/>
                <w:i w:val="0"/>
                <w:strike w:val="0"/>
                <w:dstrike w:val="0"/>
                <w:color w:val="auto"/>
                <w:sz w:val="18"/>
              </w:rPr>
              <w:t>≥90</w:t>
              <w:br/>
              <w:t>%</w:t>
            </w:r>
          </w:p>
        </w:tc>
        <w:tc>
          <w:tcPr>
            <w:tcW w:w="1256" w:type="dxa"/>
            <w:gridSpan w:val="2"/>
            <w:tcBorders>
              <w:top w:val="nil"/>
              <w:left w:val="nil"/>
              <w:bottom w:val="single" w:sz="6" w:space="0" w:color="auto"/>
              <w:right w:val="nil"/>
              <w:tl2br w:val="nil"/>
              <w:tr2bl w:val="nil"/>
            </w:tcBorders>
            <w:noWrap/>
            <w:vAlign w:val="center"/>
          </w:tcPr>
          <w:p>
            <w:pPr>
              <w:rPr>
                <w:rFonts w:ascii="宋体" w:eastAsia="宋体"/>
                <w:b w:val="0"/>
                <w:i w:val="0"/>
                <w:sz w:val="24"/>
              </w:rPr>
            </w:pPr>
            <w:r>
              <w:rPr>
                <w:rFonts w:ascii="宋体" w:eastAsia="宋体"/>
                <w:b w:val="0"/>
                <w:i w:val="0"/>
                <w:sz w:val="24"/>
              </w:rPr>
              <w:t>1</w:t>
            </w:r>
          </w:p>
        </w:tc>
        <w:tc>
          <w:tcPr>
            <w:tcW w:w="628"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rFonts w:ascii="宋体" w:eastAsia="宋体"/>
                <w:b w:val="0"/>
                <w:i w:val="0"/>
                <w:sz w:val="18"/>
              </w:rPr>
            </w:pPr>
            <w:r>
              <w:rPr>
                <w:rFonts w:ascii="宋体" w:eastAsia="宋体"/>
                <w:b w:val="0"/>
                <w:i w:val="0"/>
                <w:sz w:val="18"/>
              </w:rPr>
              <w:t>10</w:t>
            </w:r>
          </w:p>
        </w:tc>
        <w:tc>
          <w:tcPr>
            <w:tcW w:w="78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b w:val="0"/>
                <w:i w:val="0"/>
                <w:sz w:val="18"/>
              </w:rPr>
            </w:pPr>
            <w:r>
              <w:rPr>
                <w:rFonts w:ascii="宋体" w:eastAsia="宋体"/>
                <w:b w:val="0"/>
                <w:i w:val="0"/>
                <w:sz w:val="18"/>
              </w:rPr>
              <w:t>10</w:t>
            </w:r>
          </w:p>
        </w:tc>
        <w:tc>
          <w:tcPr>
            <w:tcW w:w="888"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rFonts w:ascii="宋体" w:eastAsia="宋体"/>
                <w:b w:val="0"/>
                <w:i w:val="0"/>
                <w:sz w:val="18"/>
              </w:rPr>
            </w:pPr>
          </w:p>
        </w:tc>
      </w:tr>
      <w:tr>
        <w:tc>
          <w:tcPr>
            <w:tcW w:w="6756" w:type="dxa"/>
            <w:gridSpan w:val="9"/>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rFonts w:ascii="宋体" w:eastAsia="宋体"/>
                <w:b w:val="0"/>
                <w:i w:val="0"/>
                <w:sz w:val="24"/>
              </w:rPr>
            </w:pPr>
            <w:r>
              <w:rPr>
                <w:rFonts w:ascii="宋体" w:eastAsia="宋体"/>
                <w:b w:val="0"/>
                <w:i w:val="0"/>
                <w:sz w:val="24"/>
              </w:rPr>
              <w:t>总分</w:t>
            </w:r>
          </w:p>
        </w:tc>
        <w:tc>
          <w:tcPr>
            <w:tcW w:w="628"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rFonts w:ascii="宋体" w:eastAsia="宋体"/>
                <w:b w:val="0"/>
                <w:i w:val="0"/>
                <w:sz w:val="18"/>
              </w:rPr>
            </w:pPr>
            <w:r>
              <w:rPr>
                <w:rFonts w:ascii="宋体" w:eastAsia="宋体"/>
                <w:b w:val="0"/>
                <w:i w:val="0"/>
                <w:sz w:val="18"/>
              </w:rPr>
              <w:t>100</w:t>
            </w:r>
          </w:p>
        </w:tc>
        <w:tc>
          <w:tcPr>
            <w:tcW w:w="780" w:type="dxa"/>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eastAsia="宋体"/>
                <w:b w:val="0"/>
                <w:i w:val="0"/>
                <w:sz w:val="18"/>
              </w:rPr>
            </w:pPr>
            <w:r>
              <w:rPr>
                <w:rFonts w:ascii="宋体" w:eastAsia="宋体"/>
                <w:b w:val="0"/>
                <w:i w:val="0"/>
                <w:sz w:val="18"/>
              </w:rPr>
              <w:t>100</w:t>
            </w:r>
          </w:p>
        </w:tc>
        <w:tc>
          <w:tcPr>
            <w:tcW w:w="888" w:type="dxa"/>
            <w:gridSpan w:val="2"/>
            <w:tcBorders>
              <w:top w:val="single" w:sz="6" w:space="0" w:color="auto"/>
              <w:left w:val="single" w:sz="6" w:space="0" w:color="auto"/>
              <w:bottom w:val="single" w:sz="6" w:space="0" w:color="auto"/>
              <w:right w:val="single" w:sz="6" w:space="0" w:color="000000"/>
              <w:tl2br w:val="nil"/>
              <w:tr2bl w:val="nil"/>
            </w:tcBorders>
            <w:noWrap/>
            <w:vAlign w:val="center"/>
          </w:tcPr>
          <w:p>
            <w:pPr>
              <w:jc w:val="center"/>
              <w:rPr>
                <w:rFonts w:ascii="宋体" w:eastAsia="宋体"/>
                <w:b w:val="0"/>
                <w:i w:val="0"/>
                <w:sz w:val="18"/>
              </w:rPr>
            </w:pPr>
          </w:p>
        </w:tc>
      </w:tr>
    </w:tbl>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firstLineChars="200" w:firstLine="640"/>
        <w:outlineLvl w:val="2"/>
        <w:rPr>
          <w:rFonts w:ascii="Times New Roman" w:eastAsia="方正仿宋_GBK" w:cs="Times New Roman" w:hAnsi="Times New Roman"/>
          <w:b/>
          <w:i w:val="0"/>
          <w:iCs w:val="0"/>
          <w:caps w:val="0"/>
          <w:smallCaps w:val="0"/>
          <w:vanish w:val="0"/>
          <w:color w:val="303133"/>
          <w:spacing w:val="0"/>
          <w:sz w:val="32"/>
          <w:szCs w:val="32"/>
        </w:rPr>
      </w:pPr>
      <w:r>
        <w:rPr>
          <w:rFonts w:ascii="Times New Roman" w:eastAsia="方正仿宋_GBK" w:cs="Times New Roman" w:hAnsi="Times New Roman"/>
          <w:b/>
          <w:i w:val="0"/>
          <w:iCs w:val="0"/>
          <w:caps w:val="0"/>
          <w:smallCaps w:val="0"/>
          <w:vanish w:val="0"/>
          <w:color w:val="303133"/>
          <w:spacing w:val="0"/>
          <w:sz w:val="32"/>
          <w:szCs w:val="32"/>
        </w:rPr>
        <w:t>（七）其他重要事项的情况说明</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1、关于机关运行经费支出。</w:t>
      </w:r>
    </w:p>
    <w:p>
      <w:pPr>
        <w:pStyle w:val="67"/>
        <w:tabs>
          <w:tab w:val="clear" w:pos="720"/>
          <w:tab w:val="left" w:pos="720"/>
        </w:tabs>
        <w:spacing w:line="576" w:lineRule="exact"/>
        <w:ind w:left="0" w:firstLineChars="200" w:firstLine="640"/>
        <w:rPr>
          <w:rFonts w:eastAsia="方正仿宋_GBK"/>
          <w:sz w:val="32"/>
          <w:szCs w:val="32"/>
        </w:rPr>
      </w:pPr>
      <w:r>
        <w:rPr>
          <w:rFonts w:eastAsia="方正仿宋_GBK"/>
          <w:sz w:val="32"/>
          <w:szCs w:val="32"/>
        </w:rPr>
        <w:t>2023年度机关运行经费支出4510.29万元，比2022年增加512.76万元，增加12.83%，主要原因是落实过紧日子要求，压减机关运行经费开支。</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2、关于政府采购支出。</w:t>
      </w:r>
    </w:p>
    <w:p>
      <w:pPr>
        <w:pStyle w:val="68"/>
        <w:tabs>
          <w:tab w:val="clear" w:pos="720"/>
          <w:tab w:val="left" w:pos="720"/>
        </w:tabs>
        <w:spacing w:line="576" w:lineRule="exact"/>
        <w:ind w:left="0" w:firstLineChars="200" w:firstLine="640"/>
        <w:rPr>
          <w:rFonts w:eastAsia="方正仿宋_GBK"/>
          <w:sz w:val="32"/>
          <w:szCs w:val="32"/>
        </w:rPr>
      </w:pPr>
      <w:r>
        <w:rPr>
          <w:rFonts w:eastAsia="方正仿宋_GBK" w:hint="eastAsia"/>
          <w:sz w:val="32"/>
          <w:szCs w:val="32"/>
        </w:rPr>
        <w:t>拉萨</w:t>
      </w:r>
      <w:r>
        <w:rPr>
          <w:rFonts w:eastAsia="方正仿宋_GBK"/>
          <w:sz w:val="32"/>
          <w:szCs w:val="32"/>
        </w:rPr>
        <w:t>海关2023年度政府支出总额1083.53万元，其中：政府采购货物支出431.81万元、政府采购工程支出383.57万元、政府采购服务支出268.15万元。授予中小企业合同金额745.87万元，占政府采购支出总额的100%，其中：授予小微企业合同金额687.07万元，占授予中小企业合同金额的</w:t>
      </w:r>
      <w:r>
        <w:rPr>
          <w:rFonts w:eastAsia="方正仿宋_GBK" w:hint="eastAsia"/>
          <w:sz w:val="32"/>
          <w:szCs w:val="32"/>
        </w:rPr>
        <w:t>100</w:t>
      </w:r>
      <w:r>
        <w:rPr>
          <w:rFonts w:eastAsia="方正仿宋_GBK"/>
          <w:sz w:val="32"/>
          <w:szCs w:val="32"/>
        </w:rPr>
        <w:t>%；货物采购授予中小企业合同金额占货物支出金额的57.89%，工程采购授予中小企业合同金额占工程支出金额的51.43%，服务采购授予中小企业合同金额占服务支出金额的35.95%。</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3、关于国有资产占用情况。</w:t>
      </w:r>
    </w:p>
    <w:p>
      <w:pPr>
        <w:pStyle w:val="69"/>
        <w:tabs>
          <w:tab w:val="clear" w:pos="720"/>
        </w:tabs>
        <w:spacing w:line="576" w:lineRule="exact"/>
        <w:ind w:left="0" w:firstLineChars="200" w:firstLine="640"/>
        <w:rPr>
          <w:rFonts w:eastAsia="方正仿宋_GBK"/>
          <w:sz w:val="32"/>
          <w:szCs w:val="32"/>
        </w:rPr>
      </w:pPr>
      <w:r>
        <w:rPr>
          <w:rFonts w:eastAsia="方正仿宋_GBK"/>
          <w:sz w:val="32"/>
          <w:szCs w:val="32"/>
        </w:rPr>
        <w:t>截至2023年12月31日，拉萨海关共有车辆104辆（台），其中：执法执勤用车93辆、特种专业技术用车2辆、其他用车9辆，其他用车主要是各海关单位用于机要通信、应急保障和执法执勤之外公务用途的车辆。单价100万元（含）以上的设备</w:t>
      </w:r>
      <w:r>
        <w:rPr>
          <w:rFonts w:eastAsia="方正仿宋_GBK" w:hint="eastAsia"/>
          <w:sz w:val="32"/>
          <w:szCs w:val="32"/>
        </w:rPr>
        <w:t>44</w:t>
      </w:r>
      <w:r>
        <w:rPr>
          <w:rFonts w:eastAsia="方正仿宋_GBK"/>
          <w:sz w:val="32"/>
          <w:szCs w:val="32"/>
        </w:rPr>
        <w:t>台（套）。</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jc w:val="center"/>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jc w:val="center"/>
        <w:rPr>
          <w:rFonts w:ascii="方正小标宋_GBK" w:eastAsia="方正小标宋_GBK" w:cs="Times New Roman"/>
          <w:b w:val="0"/>
          <w:bCs w:val="0"/>
          <w:i w:val="0"/>
          <w:iCs w:val="0"/>
          <w:caps w:val="0"/>
          <w:smallCaps w:val="0"/>
          <w:vanish w:val="0"/>
          <w:color w:val="303133"/>
          <w:spacing w:val="0"/>
          <w:sz w:val="48"/>
          <w:szCs w:val="48"/>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jc w:val="center"/>
        <w:rPr>
          <w:rFonts w:ascii="方正小标宋_GBK" w:eastAsia="方正小标宋_GBK" w:cs="Times New Roman"/>
          <w:b w:val="0"/>
          <w:bCs w:val="0"/>
          <w:i w:val="0"/>
          <w:iCs w:val="0"/>
          <w:caps w:val="0"/>
          <w:smallCaps w:val="0"/>
          <w:vanish w:val="0"/>
          <w:color w:val="303133"/>
          <w:spacing w:val="0"/>
          <w:sz w:val="48"/>
          <w:szCs w:val="48"/>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jc w:val="center"/>
        <w:rPr>
          <w:rFonts w:ascii="方正小标宋_GBK" w:eastAsia="方正小标宋_GBK" w:cs="Times New Roman"/>
          <w:b w:val="0"/>
          <w:bCs w:val="0"/>
          <w:i w:val="0"/>
          <w:iCs w:val="0"/>
          <w:caps w:val="0"/>
          <w:smallCaps w:val="0"/>
          <w:vanish w:val="0"/>
          <w:color w:val="303133"/>
          <w:spacing w:val="0"/>
          <w:sz w:val="48"/>
          <w:szCs w:val="48"/>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jc w:val="center"/>
        <w:rPr>
          <w:rFonts w:ascii="方正小标宋_GBK" w:eastAsia="方正小标宋_GBK" w:cs="Times New Roman"/>
          <w:b w:val="0"/>
          <w:bCs w:val="0"/>
          <w:i w:val="0"/>
          <w:iCs w:val="0"/>
          <w:caps w:val="0"/>
          <w:smallCaps w:val="0"/>
          <w:vanish w:val="0"/>
          <w:color w:val="303133"/>
          <w:spacing w:val="0"/>
          <w:sz w:val="48"/>
          <w:szCs w:val="48"/>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jc w:val="center"/>
        <w:rPr>
          <w:rFonts w:ascii="方正小标宋_GBK" w:eastAsia="方正小标宋_GBK" w:cs="Times New Roman"/>
          <w:b w:val="0"/>
          <w:bCs w:val="0"/>
          <w:i w:val="0"/>
          <w:iCs w:val="0"/>
          <w:caps w:val="0"/>
          <w:smallCaps w:val="0"/>
          <w:vanish w:val="0"/>
          <w:color w:val="303133"/>
          <w:spacing w:val="0"/>
          <w:sz w:val="48"/>
          <w:szCs w:val="48"/>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jc w:val="center"/>
        <w:rPr>
          <w:rFonts w:ascii="方正小标宋_GBK" w:eastAsia="方正小标宋_GBK" w:cs="Times New Roman" w:hint="eastAsia"/>
          <w:b w:val="0"/>
          <w:bCs w:val="0"/>
          <w:i w:val="0"/>
          <w:iCs w:val="0"/>
          <w:caps w:val="0"/>
          <w:smallCaps w:val="0"/>
          <w:vanish w:val="0"/>
          <w:color w:val="303133"/>
          <w:spacing w:val="0"/>
          <w:sz w:val="48"/>
          <w:szCs w:val="48"/>
        </w:rPr>
      </w:pPr>
      <w:r>
        <w:rPr>
          <w:rFonts w:ascii="方正小标宋_GBK" w:eastAsia="方正小标宋_GBK" w:cs="Times New Roman" w:hint="eastAsia"/>
          <w:b w:val="0"/>
          <w:bCs w:val="0"/>
          <w:i w:val="0"/>
          <w:iCs w:val="0"/>
          <w:caps w:val="0"/>
          <w:smallCaps w:val="0"/>
          <w:vanish w:val="0"/>
          <w:color w:val="303133"/>
          <w:spacing w:val="0"/>
          <w:sz w:val="48"/>
          <w:szCs w:val="48"/>
        </w:rPr>
        <w:t>第四部分 专业名称解释</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1680"/>
        <w:rPr>
          <w:rFonts w:ascii="方正小标宋_GBK" w:eastAsia="方正小标宋_GBK"/>
          <w:sz w:val="84"/>
          <w:szCs w:val="84"/>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1680"/>
        <w:rPr>
          <w:rFonts w:ascii="方正小标宋_GBK" w:eastAsia="方正小标宋_GBK"/>
          <w:sz w:val="84"/>
          <w:szCs w:val="84"/>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1680"/>
        <w:rPr>
          <w:rFonts w:ascii="方正小标宋_GBK" w:eastAsia="方正小标宋_GBK"/>
          <w:sz w:val="84"/>
          <w:szCs w:val="84"/>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1680"/>
        <w:rPr>
          <w:rFonts w:ascii="方正小标宋_GBK" w:eastAsia="方正小标宋_GBK"/>
          <w:sz w:val="84"/>
          <w:szCs w:val="84"/>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1680"/>
        <w:rPr>
          <w:rFonts w:ascii="方正小标宋_GBK" w:eastAsia="方正小标宋_GBK"/>
          <w:sz w:val="84"/>
          <w:szCs w:val="84"/>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1680"/>
        <w:rPr>
          <w:rFonts w:ascii="方正小标宋_GBK" w:eastAsia="方正小标宋_GBK"/>
          <w:sz w:val="84"/>
          <w:szCs w:val="84"/>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（以下为常见专业名词解释目录，仅供参考，部门应根据实际情况进行解释和增减,需要将类级功能科目和经济科目细化解释到项级。）</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（一）财政拨款收入：指本年度从本级财政部门取得的财政拨款，包括一般公共预算财政拨款和政府性基金预算财政拨款。</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（二）事业收入：指事业单位开展专业业务活动及其辅助活动取得的收入；事业单位收到的财政专户实际核拨的教育收费等资金。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（三）经营收入：指事业单位在专业业务活动及其辅助活动之外开展非独立核算经营活动取得的收入。</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四）其他收入：指单位取得的除上述收入以外的各项收入，包括未纳入财政预算的投资收益、银行存款利息收入、租金收入、捐赠收入、事业单位固定资产出租收入等。各单位从本级财政部门以外的同级单位取得的经费、从非本级财政部门取得的经费，以及行政单位收到的财政专户管理资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五）使用非财政拨款结余：指事业单位在当年的“财政拨款收入”、“财政拨款结转和结余资金”、“事业收入”、“事业单位经营收入”、“其他收入”不足以安排当年支出的情况下，使用以前年度累积的事业基金（当年收支相抵后按国家规定提取、用于弥补以后年度收支差额的基金）弥补本年收支缺口的资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（六）年初结转和结余：指以前年度支出预算因客观条件变化未执行完毕、结转到本年度按有关规定继续使用的资金。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（七）结余分配：指事业单位按照会计制度规定缴纳的所得税以及从非财政拨款结余中提取的职工福利基金、事业基金等。</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（八）年末结转和结余：指单位本年度或以前年度预算安排、因客观条件发生变化未全部执行或未执行，结转到以后年度继续使用的资金，或项目已完成等产生的结余资金。</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九）基本支出：指为保障机构正常运转、完成日常工作任务而发生的人员经费和公用经费。其中：人员经费指政府收支分类经济科目中的“工资福利支出”和“对个人和家庭的补助”；公用经费指政府收支分类经济科目中除“工资福利支出”和“对个人和家庭的补助”外的其他支出。</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（十）项目支出：指在基本支出之外为完成特定任务和事业发展目标所发生的支出。</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（十一）经营支出：指事业单位在专业业务活动及其辅助活动之外开展非独立核算经营活动发生的支出。</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二）“三公”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三）机关运行经费：指行政单位和参照公务员法管理的事业单位使用一般公共预算财政拨款安排的基本支出中的日常公用经费支出。未包含行政单位或参照公务员法管理事业单位的部门，参照此口径公开本部门的日常公用经费，并与预算公开保持一致。</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（十四）工资福利支出（支出经济分类科目类级）：反映单位开支的在职职工和编制外长期聘用人员的各类劳动报酬，以及为上述人员缴纳的各项社会保险费等。</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（十五）商品和服务支出（支出经济分类科目类级）：反映单位购买商品和服务的支出（不包括用于购置固定资产的支出、战略性和应急储备支出）。</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（十六）对个人和家庭的补助（支出经济分类科目类级）：反映用于对个人和家庭的补助支出。</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七）资本性支出（支出经济分类科目类级）：反映非各级发展与改革部门集中安排的用于购置固定资产、战略性和应急性储备、土地和无形资产，以及构建基础设施、大型修缮和财政支持企业更新改造所发生的支出。</w:t>
      </w:r>
    </w:p>
    <w:p>
      <w:pPr>
        <w:pStyle w:val="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1"/>
        <w:rPr>
          <w:rFonts w:ascii="Times New Roman" w:eastAsia="方正仿宋_GBK" w:cs="Times New Roman" w:hAnsi="Times New Roman"/>
          <w:b/>
          <w:i w:val="0"/>
          <w:iCs w:val="0"/>
          <w:caps w:val="0"/>
          <w:smallCaps w:val="0"/>
          <w:vanish w:val="0"/>
          <w:color w:val="303133"/>
          <w:spacing w:val="0"/>
          <w:sz w:val="32"/>
          <w:szCs w:val="32"/>
        </w:rPr>
      </w:pPr>
      <w:r>
        <w:rPr>
          <w:rStyle w:val="20"/>
          <w:rFonts w:ascii="Times New Roman" w:eastAsia="方正仿宋_GBK" w:cs="Times New Roman" w:hAnsi="Times New Roman"/>
          <w:b/>
          <w:i w:val="0"/>
          <w:iCs w:val="0"/>
          <w:caps w:val="0"/>
          <w:smallCaps w:val="0"/>
          <w:vanish w:val="0"/>
          <w:color w:val="303133"/>
          <w:spacing w:val="0"/>
          <w:sz w:val="32"/>
          <w:szCs w:val="32"/>
        </w:rPr>
        <w:t>第五部分 决算公开联系方式及信息反馈渠道</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本单位决算公开信息反馈和联系方式：</w:t>
      </w: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联系人：潘盼              联系电话： 17808983482</w:t>
      </w:r>
    </w:p>
    <w:p>
      <w:pPr>
        <w:spacing w:line="576" w:lineRule="exact"/>
        <w:ind w:firstLineChars="200" w:firstLine="640"/>
        <w:jc w:val="left"/>
        <w:rPr>
          <w:rFonts w:cs="Times New Roman"/>
          <w:szCs w:val="32"/>
        </w:rPr>
      </w:pPr>
    </w:p>
    <w:sectPr>
      <w:pgSz w:w="11907" w:h="16840"/>
      <w:pgMar w:top="2098" w:right="1474" w:bottom="1985" w:left="1588" w:header="851" w:footer="992" w:gutter="0"/>
      <w:docGrid w:linePitch="435"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auto"/>
    <w:pitch w:val="variable"/>
    <w:sig w:usb0="00000A87" w:usb1="00000000" w:usb2="00000000" w:usb3="00000000" w:csb0="400001BF" w:csb1="DFF70000"/>
  </w:font>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panose1 w:val="02010600030101010101"/>
    <w:charset w:val="86"/>
    <w:family w:val="auto"/>
    <w:pitch w:val="variable"/>
    <w:sig w:usb0="00000003" w:usb1="080E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Arial">
    <w:panose1 w:val="020B0604020202020204"/>
    <w:charset w:val="00"/>
    <w:family w:val="auto"/>
    <w:pitch w:val="variable"/>
    <w:sig w:usb0="00007A87" w:usb1="80000000" w:usb2="00000008" w:usb3="00000000" w:csb0="400001FF" w:csb1="FFFF0000"/>
  </w:font>
  <w:font w:name="方正楷体_GBK">
    <w:panose1 w:val="03000509000000000000"/>
    <w:charset w:val="86"/>
    <w:family w:val="script"/>
    <w:pitch w:val="variable"/>
    <w:sig w:usb0="00000001" w:usb1="080E0000" w:usb2="00000010" w:usb3="00000000" w:csb0="00040000" w:csb1="00000000"/>
  </w:font>
  <w:font w:name="仿宋_GB2312">
    <w:altName w:val="仿宋"/>
    <w:panose1 w:val="00000000000000000000"/>
    <w:charset w:val="00"/>
    <w:family w:val="auto"/>
    <w:pitch w:val="variable"/>
    <w:sig w:usb0="00000000" w:usb1="00000000" w:usb2="00000000" w:usb3="00000000" w:csb0="00000000" w:csb1="00000000"/>
  </w:font>
  <w:font w:name="Calibri">
    <w:panose1 w:val="020F0502020204030204"/>
    <w:charset w:val="00"/>
    <w:family w:val="auto"/>
    <w:pitch w:val="variable"/>
    <w:sig w:usb0="E00002FF" w:usb1="4000ACFF" w:usb2="00000001" w:usb3="00000000" w:csb0="200001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99"/>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方正仿宋_GBK" w:cs="Times New Roman" w:hAnsi="Times New Roman"/>
      <w:kern w:val="2"/>
      <w:sz w:val="32"/>
      <w:lang w:val="en-US" w:eastAsia="zh-CN" w:bidi="ar-SA"/>
    </w:rPr>
  </w:style>
  <w:style w:type="paragraph" w:styleId="1">
    <w:name w:val="heading 1"/>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0"/>
    </w:pPr>
    <w:rPr>
      <w:rFonts w:ascii="宋体" w:eastAsia="宋体" w:cs="Times New Roman"/>
      <w:b/>
      <w:i w:val="0"/>
      <w:caps w:val="0"/>
      <w:smallCaps w:val="0"/>
      <w:strike w:val="0"/>
      <w:dstrike w:val="0"/>
      <w:snapToGrid/>
      <w:vanish w:val="0"/>
      <w:color w:val="auto"/>
      <w:spacing w:val="0"/>
      <w:w w:val="100"/>
      <w:kern w:val="36"/>
      <w:position w:val="0"/>
      <w:sz w:val="48"/>
      <w:szCs w:val="21"/>
      <w:u w:val="none" w:color="auto"/>
      <w:vertAlign w:val="baseline"/>
      <w:em w:val="none"/>
      <w:lang w:val="en-US" w:eastAsia="zh-CN" w:bidi="ar-SA"/>
    </w:rPr>
  </w:style>
  <w:style w:type="paragraph" w:styleId="2">
    <w:name w:val="heading 2"/>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rFonts w:ascii="宋体" w:eastAsia="宋体" w:cs="Times New Roman"/>
      <w:b/>
      <w:i w:val="0"/>
      <w:caps w:val="0"/>
      <w:smallCaps w:val="0"/>
      <w:strike w:val="0"/>
      <w:dstrike w:val="0"/>
      <w:snapToGrid/>
      <w:vanish w:val="0"/>
      <w:color w:val="auto"/>
      <w:spacing w:val="0"/>
      <w:w w:val="100"/>
      <w:kern w:val="0"/>
      <w:position w:val="0"/>
      <w:sz w:val="36"/>
      <w:szCs w:val="21"/>
      <w:u w:val="none" w:color="auto"/>
      <w:vertAlign w:val="baseline"/>
      <w:em w:val="none"/>
      <w:lang w:val="en-US" w:eastAsia="zh-CN" w:bidi="ar-SA"/>
    </w:rPr>
  </w:style>
  <w:style w:type="paragraph" w:styleId="3">
    <w:name w:val="heading 3"/>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2"/>
    </w:pPr>
    <w:rPr>
      <w:rFonts w:ascii="宋体" w:eastAsia="宋体" w:cs="Times New Roman"/>
      <w:b/>
      <w:i w:val="0"/>
      <w:caps w:val="0"/>
      <w:smallCaps w:val="0"/>
      <w:strike w:val="0"/>
      <w:dstrike w:val="0"/>
      <w:snapToGrid/>
      <w:vanish w:val="0"/>
      <w:color w:val="auto"/>
      <w:spacing w:val="0"/>
      <w:w w:val="100"/>
      <w:kern w:val="0"/>
      <w:position w:val="0"/>
      <w:sz w:val="27"/>
      <w:szCs w:val="21"/>
      <w:u w:val="none" w:color="auto"/>
      <w:vertAlign w:val="baseline"/>
      <w:em w:val="none"/>
      <w:lang w:val="en-US" w:eastAsia="zh-CN" w:bidi="ar-SA"/>
    </w:rPr>
  </w:style>
  <w:style w:type="character" w:default="1" w:styleId="10">
    <w:name w:val="Default Paragraph Font"/>
  </w:style>
  <w:style w:type="paragraph" w:styleId="15">
    <w:name w:val="toc 2"/>
    <w:basedOn w:val="0"/>
    <w:autoRedefine/>
    <w:next w:val="0"/>
    <w:pPr>
      <w:ind w:left="420"/>
      <w:jc w:val="both"/>
    </w:pPr>
  </w:style>
  <w:style w:type="paragraph" w:styleId="16">
    <w:name w:val="toc 5"/>
    <w:basedOn w:val="0"/>
    <w:autoRedefine/>
    <w:next w:val="0"/>
    <w:pPr>
      <w:ind w:left="1680"/>
    </w:pPr>
  </w:style>
  <w:style w:type="paragraph" w:styleId="17">
    <w:name w:val="toc 6"/>
    <w:basedOn w:val="0"/>
    <w:autoRedefine/>
    <w:next w:val="0"/>
    <w:pPr>
      <w:ind w:left="2100"/>
    </w:pPr>
  </w:style>
  <w:style w:type="paragraph" w:styleId="18">
    <w:name w:val="header"/>
    <w:basedOn w:val="0"/>
    <w:pPr>
      <w:pBdr>
        <w:bottom w:val="single" w:sz="6" w:space="1" w:color="auto"/>
      </w:pBdr>
      <w:tabs>
        <w:tab w:val="center" w:pos="4153"/>
        <w:tab w:val="right" w:pos="8307"/>
      </w:tabs>
      <w:snapToGrid w:val="0"/>
      <w:jc w:val="center"/>
    </w:pPr>
    <w:rPr>
      <w:sz w:val="18"/>
    </w:rPr>
  </w:style>
  <w:style w:type="paragraph" w:styleId="19">
    <w:name w:val="footer"/>
    <w:basedOn w:val="0"/>
    <w:pPr>
      <w:tabs>
        <w:tab w:val="center" w:pos="4153"/>
        <w:tab w:val="right" w:pos="8307"/>
      </w:tabs>
      <w:snapToGrid w:val="0"/>
      <w:jc w:val="left"/>
    </w:pPr>
    <w:rPr>
      <w:sz w:val="18"/>
    </w:rPr>
  </w:style>
  <w:style w:type="character" w:styleId="20">
    <w:name w:val="Strong"/>
    <w:rPr>
      <w:b/>
    </w:rPr>
  </w:style>
  <w:style w:type="paragraph" w:styleId="21">
    <w:name w:val="Normal (Web)"/>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 w:type="paragraph" w:customStyle="1" w:styleId="22">
    <w:name w:val="样式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3">
    <w:name w:val="样式 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4">
    <w:name w:val="样式 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5">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6">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7">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41">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43">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44">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46">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24 10 磅"/>
    <w:pPr>
      <w:widowControl w:val="0"/>
      <w:jc w:val="both"/>
    </w:pPr>
    <w:rPr>
      <w:rFonts w:ascii="Times New Roman" w:eastAsia="宋体" w:cs="Times New Roman" w:hAnsi="Times New Roman"/>
      <w:kern w:val="2"/>
      <w:sz w:val="21"/>
      <w:szCs w:val="24"/>
      <w:lang w:val="en-US" w:eastAsia="zh-CN" w:bidi="ar-SA"/>
    </w:rPr>
  </w:style>
  <w:style w:type="paragraph" w:customStyle="1" w:styleId="50">
    <w:name w:val="样式 25 10 磅"/>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小四"/>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 w:type="paragraph" w:customStyle="1" w:styleId="53">
    <w:name w:val="样式 579 10 磅"/>
    <w:next w:val="15"/>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54">
    <w:name w:val="样式 3 三号"/>
    <w:next w:val="16"/>
    <w:pPr>
      <w:widowControl w:val="0"/>
      <w:jc w:val="both"/>
    </w:pPr>
    <w:rPr>
      <w:rFonts w:ascii="仿宋_GB2312" w:eastAsia="仿宋_GB2312" w:cs="Times New Roman"/>
      <w:kern w:val="2"/>
      <w:sz w:val="32"/>
      <w:szCs w:val="20"/>
      <w:lang w:val="en-US" w:eastAsia="zh-CN" w:bidi="ar-SA"/>
    </w:rPr>
  </w:style>
  <w:style w:type="paragraph" w:customStyle="1" w:styleId="55">
    <w:name w:val="样式 586 10 磅"/>
    <w:next w:val="17"/>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56">
    <w:name w:val="样式 27 10 磅"/>
    <w:pPr>
      <w:widowControl w:val="0"/>
      <w:jc w:val="both"/>
    </w:pPr>
    <w:rPr>
      <w:rFonts w:ascii="Calibri" w:eastAsia="宋体" w:cs="Arial" w:hAnsi="Calibri"/>
      <w:kern w:val="2"/>
      <w:sz w:val="21"/>
      <w:szCs w:val="22"/>
      <w:lang w:val="en-US" w:eastAsia="zh-CN" w:bidi="ar-SA"/>
    </w:rPr>
  </w:style>
  <w:style w:type="paragraph" w:customStyle="1" w:styleId="57">
    <w:name w:val="样式 1 小四"/>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 w:type="paragraph" w:customStyle="1" w:styleId="58">
    <w:name w:val="样式 28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59">
    <w:name w:val="样式 29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60">
    <w:name w:val="样式 30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61">
    <w:name w:val="样式 31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62">
    <w:name w:val="样式 32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63">
    <w:name w:val="样式 33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64">
    <w:name w:val="样式 34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65">
    <w:name w:val="样式 2 小四"/>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 w:type="paragraph" w:customStyle="1" w:styleId="66">
    <w:name w:val="样式 35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67">
    <w:name w:val="样式 36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68">
    <w:name w:val="样式 37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69">
    <w:name w:val="样式 38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70">
    <w:name w:val="样式 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1">
    <w:name w:val="样式 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2">
    <w:name w:val="样式 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3">
    <w:name w:val="样式 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4">
    <w:name w:val="样式 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5">
    <w:name w:val="样式 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6">
    <w:name w:val="样式 1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7">
    <w:name w:val="样式 1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8">
    <w:name w:val="样式 39 10 磅"/>
    <w:pPr>
      <w:widowControl w:val="0"/>
      <w:jc w:val="both"/>
    </w:pPr>
    <w:rPr>
      <w:rFonts w:ascii="Calibri" w:eastAsia="宋体" w:cs="Arial" w:hAnsi="Calibri"/>
      <w:kern w:val="2"/>
      <w:sz w:val="21"/>
      <w:szCs w:val="22"/>
      <w:lang w:val="en-US" w:eastAsia="zh-CN" w:bidi="ar-SA"/>
    </w:rPr>
  </w:style>
  <w:style w:type="paragraph" w:customStyle="1" w:styleId="79">
    <w:name w:val="样式 40 10 磅"/>
    <w:pPr>
      <w:widowControl w:val="0"/>
      <w:jc w:val="both"/>
    </w:pPr>
    <w:rPr>
      <w:rFonts w:ascii="Calibri" w:eastAsia="宋体" w:cs="Arial" w:hAnsi="Calibri"/>
      <w:kern w:val="2"/>
      <w:sz w:val="21"/>
      <w:szCs w:val="22"/>
      <w:lang w:val="en-US" w:eastAsia="zh-CN" w:bidi="ar-SA"/>
    </w:rPr>
  </w:style>
  <w:style w:type="paragraph" w:customStyle="1" w:styleId="80">
    <w:name w:val="样式 41 10 磅"/>
    <w:pPr>
      <w:widowControl w:val="0"/>
      <w:jc w:val="both"/>
    </w:pPr>
    <w:rPr>
      <w:rFonts w:ascii="Calibri" w:eastAsia="宋体" w:cs="Arial" w:hAnsi="Calibri"/>
      <w:kern w:val="2"/>
      <w:sz w:val="21"/>
      <w:szCs w:val="22"/>
      <w:lang w:val="en-US" w:eastAsia="zh-CN" w:bidi="ar-SA"/>
    </w:rPr>
  </w:style>
  <w:style w:type="paragraph" w:customStyle="1" w:styleId="81">
    <w:name w:val="样式 1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82">
    <w:name w:val="样式 1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83">
    <w:name w:val="样式 1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84">
    <w:name w:val="样式 1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85">
    <w:name w:val="样式 1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86">
    <w:name w:val="样式 1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87">
    <w:name w:val="样式 1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88">
    <w:name w:val="样式 1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89">
    <w:name w:val="样式 2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90">
    <w:name w:val="样式 2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91">
    <w:name w:val="样式 2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92">
    <w:name w:val="样式 2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93">
    <w:name w:val="样式 2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94">
    <w:name w:val="样式 3 小四"/>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png"/><Relationship Id="rId3" Type="http://schemas.openxmlformats.org/officeDocument/2006/relationships/oleObject" Target="embeddings/oleObject1.bin"/><Relationship Id="rId4" Type="http://schemas.openxmlformats.org/officeDocument/2006/relationships/image" Target="media/4.png"/><Relationship Id="rId5" Type="http://schemas.openxmlformats.org/officeDocument/2006/relationships/oleObject" Target="embeddings/oleObject2.bin"/><Relationship Id="rId6" Type="http://schemas.openxmlformats.org/officeDocument/2006/relationships/styles" Target="styles.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1041</TotalTime>
  <Application>Yozo_Office</Application>
  <Pages>39</Pages>
  <Words>12198</Words>
  <Characters>15907</Characters>
  <Lines>3040</Lines>
  <Paragraphs>1555</Paragraphs>
  <CharactersWithSpaces>17380</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潘盼</dc:creator>
  <cp:lastModifiedBy>次旺明久</cp:lastModifiedBy>
  <cp:revision>1</cp:revision>
  <dcterms:created xsi:type="dcterms:W3CDTF">2024-08-08T11:03:23Z</dcterms:created>
  <dcterms:modified xsi:type="dcterms:W3CDTF">2024-12-18T03:43:01Z</dcterms:modified>
</cp:coreProperties>
</file>