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textAlignment w:val="center"/>
        <w:rPr>
          <w:rFonts w:ascii="方正隶书_GBK" w:eastAsia="方正隶书_GBK"/>
          <w:sz w:val="84"/>
          <w:szCs w:val="84"/>
        </w:rPr>
      </w:pPr>
      <w:r>
        <w:rPr>
          <w:sz w:val="84"/>
          <w:szCs w:val="84"/>
        </w:rPr>
        <w:t>202</w:t>
      </w:r>
      <w:r>
        <w:rPr>
          <w:rFonts w:hint="eastAsia"/>
          <w:sz w:val="84"/>
          <w:szCs w:val="84"/>
        </w:rPr>
        <w:t>2</w:t>
      </w:r>
      <w:r>
        <w:rPr>
          <w:rFonts w:ascii="方正隶书_GBK" w:eastAsia="方正隶书_GBK" w:hint="eastAsia"/>
          <w:sz w:val="84"/>
          <w:szCs w:val="84"/>
        </w:rPr>
        <w:t>年度</w:t>
      </w:r>
    </w:p>
    <w:p>
      <w:pPr>
        <w:jc w:val="center"/>
        <w:textAlignment w:val="center"/>
        <w:rPr>
          <w:rFonts w:ascii="隶书" w:hAnsi="隶书"/>
          <w:sz w:val="84"/>
          <w:szCs w:val="84"/>
        </w:rPr>
        <w:sectPr>
          <w:footerReference w:type="default" r:id="rId2"/>
          <w:footerReference w:type="even" r:id="rId3"/>
          <w:pgSz w:w="11907" w:h="16840"/>
          <w:pgMar w:top="2098" w:right="1474" w:bottom="1985" w:left="1588" w:header="851" w:footer="1474" w:gutter="0"/>
          <w:vAlign w:val="center"/>
          <w:docGrid w:type="linesAndChars" w:linePitch="312" w:charSpace="0"/>
        </w:sectPr>
      </w:pPr>
      <w:r>
        <w:rPr>
          <w:rFonts w:ascii="方正隶书_GBK" w:eastAsia="方正隶书_GBK" w:hint="eastAsia"/>
          <w:sz w:val="84"/>
          <w:szCs w:val="84"/>
        </w:rPr>
        <w:t>拉萨海关部门决算</w:t>
      </w:r>
    </w:p>
    <w:p>
      <w:pPr>
        <w:spacing w:line="576" w:lineRule="exact"/>
        <w:jc w:val="center"/>
        <w:rPr>
          <w:rFonts w:ascii="方正黑体_GBK" w:eastAsia="方正黑体_GBK"/>
          <w:sz w:val="52"/>
          <w:szCs w:val="52"/>
          <w:lang w:eastAsia="zh-TW"/>
        </w:rPr>
      </w:pPr>
      <w:r>
        <w:rPr>
          <w:rFonts w:ascii="方正黑体_GBK" w:eastAsia="方正黑体_GBK" w:hint="eastAsia"/>
          <w:sz w:val="52"/>
          <w:szCs w:val="52"/>
          <w:lang w:eastAsia="zh-TW"/>
        </w:rPr>
        <w:t>目录</w:t>
      </w:r>
    </w:p>
    <w:p>
      <w:pPr>
        <w:spacing w:line="576" w:lineRule="exact"/>
        <w:rPr>
          <w:rFonts w:ascii="宋体"/>
          <w:b/>
          <w:sz w:val="32"/>
          <w:szCs w:val="32"/>
        </w:rPr>
      </w:pPr>
      <w:r>
        <w:rPr>
          <w:rFonts w:ascii="方正黑体_GBK" w:hAnsi="方正黑体_GBK" w:hint="eastAsia"/>
          <w:b/>
          <w:sz w:val="32"/>
          <w:szCs w:val="32"/>
          <w:lang w:eastAsia="zh-TW"/>
        </w:rPr>
        <w:t>第一部分</w:t>
      </w:r>
      <w:r>
        <w:rPr>
          <w:rFonts w:ascii="方正黑体_GBK" w:hAnsi="方正黑体_GBK" w:hint="eastAsia"/>
          <w:b/>
          <w:sz w:val="32"/>
          <w:szCs w:val="32"/>
        </w:rPr>
        <w:t xml:space="preserve">  拉萨海关</w:t>
      </w:r>
      <w:r>
        <w:rPr>
          <w:rFonts w:ascii="方正黑体_GBK" w:hAnsi="方正黑体_GBK" w:hint="eastAsia"/>
          <w:b/>
          <w:sz w:val="32"/>
          <w:szCs w:val="32"/>
          <w:lang w:eastAsia="zh-TW"/>
        </w:rPr>
        <w:t>概况</w:t>
      </w:r>
    </w:p>
    <w:p>
      <w:pPr>
        <w:spacing w:line="576" w:lineRule="exact"/>
        <w:rPr>
          <w:rFonts w:ascii="宋体"/>
          <w:sz w:val="32"/>
          <w:szCs w:val="32"/>
          <w:lang w:eastAsia="zh-TW"/>
        </w:rPr>
      </w:pPr>
      <w:r>
        <w:rPr>
          <w:rFonts w:ascii="宋体" w:hint="eastAsia"/>
          <w:sz w:val="32"/>
          <w:szCs w:val="32"/>
        </w:rPr>
        <w:t>一</w:t>
      </w:r>
      <w:r>
        <w:rPr>
          <w:rFonts w:ascii="宋体" w:hint="eastAsia"/>
          <w:sz w:val="32"/>
          <w:szCs w:val="32"/>
          <w:lang w:eastAsia="zh-TW"/>
        </w:rPr>
        <w:t>、部门职责</w:t>
      </w:r>
    </w:p>
    <w:p>
      <w:pPr>
        <w:spacing w:line="576" w:lineRule="exact"/>
        <w:rPr>
          <w:rFonts w:ascii="宋体"/>
          <w:sz w:val="32"/>
          <w:szCs w:val="32"/>
        </w:rPr>
      </w:pPr>
      <w:r>
        <w:rPr>
          <w:rFonts w:ascii="宋体" w:hint="eastAsia"/>
          <w:sz w:val="32"/>
          <w:szCs w:val="32"/>
          <w:lang w:eastAsia="zh-TW"/>
        </w:rPr>
        <w:t>二、机构设置</w:t>
      </w:r>
    </w:p>
    <w:p>
      <w:pPr>
        <w:spacing w:line="576" w:lineRule="exact"/>
        <w:rPr>
          <w:rFonts w:ascii="宋体"/>
          <w:b/>
          <w:sz w:val="32"/>
          <w:szCs w:val="32"/>
          <w:lang w:eastAsia="zh-TW"/>
        </w:rPr>
      </w:pPr>
      <w:r>
        <w:rPr>
          <w:rFonts w:ascii="方正黑体_GBK" w:hAnsi="方正黑体_GBK" w:hint="eastAsia"/>
          <w:b/>
          <w:sz w:val="32"/>
          <w:szCs w:val="32"/>
          <w:lang w:eastAsia="zh-TW"/>
        </w:rPr>
        <w:t>第二部分</w:t>
      </w:r>
      <w:r>
        <w:rPr>
          <w:rFonts w:ascii="方正黑体_GBK" w:hAnsi="方正黑体_GBK" w:hint="eastAsia"/>
          <w:b/>
          <w:sz w:val="32"/>
          <w:szCs w:val="32"/>
        </w:rPr>
        <w:t xml:space="preserve">  </w:t>
      </w:r>
      <w:r>
        <w:rPr>
          <w:rFonts w:ascii="方正黑体_GBK" w:hAnsi="方正黑体_GBK" w:hint="eastAsia"/>
          <w:b/>
          <w:sz w:val="32"/>
          <w:szCs w:val="32"/>
          <w:lang w:eastAsia="zh-TW"/>
        </w:rPr>
        <w:t>202</w:t>
      </w:r>
      <w:r>
        <w:rPr>
          <w:rFonts w:ascii="方正黑体_GBK" w:hAnsi="方正黑体_GBK" w:hint="eastAsia"/>
          <w:b/>
          <w:sz w:val="32"/>
          <w:szCs w:val="32"/>
        </w:rPr>
        <w:t>2</w:t>
      </w:r>
      <w:r>
        <w:rPr>
          <w:rFonts w:ascii="方正黑体_GBK" w:hAnsi="方正黑体_GBK" w:hint="eastAsia"/>
          <w:b/>
          <w:sz w:val="32"/>
          <w:szCs w:val="32"/>
          <w:lang w:eastAsia="zh-TW"/>
        </w:rPr>
        <w:t>年度部门决算表</w:t>
      </w:r>
      <w:r>
        <w:rPr>
          <w:rFonts w:ascii="宋体" w:hint="eastAsia"/>
          <w:b/>
          <w:sz w:val="32"/>
          <w:szCs w:val="32"/>
          <w:lang w:eastAsia="zh-TW"/>
        </w:rPr>
        <w:tab/>
      </w:r>
    </w:p>
    <w:p>
      <w:pPr>
        <w:spacing w:line="576" w:lineRule="exact"/>
        <w:rPr>
          <w:rFonts w:ascii="宋体"/>
          <w:sz w:val="32"/>
          <w:szCs w:val="32"/>
          <w:lang w:eastAsia="zh-TW"/>
        </w:rPr>
      </w:pPr>
      <w:r>
        <w:rPr>
          <w:rFonts w:ascii="宋体" w:hint="eastAsia"/>
          <w:sz w:val="32"/>
          <w:szCs w:val="32"/>
          <w:lang w:eastAsia="zh-TW"/>
        </w:rPr>
        <w:t>一、收入支出决算总表</w:t>
        <w:tab/>
      </w:r>
    </w:p>
    <w:p>
      <w:pPr>
        <w:spacing w:line="576" w:lineRule="exact"/>
        <w:rPr>
          <w:rFonts w:ascii="宋体"/>
          <w:sz w:val="32"/>
          <w:szCs w:val="32"/>
          <w:lang w:eastAsia="zh-TW"/>
        </w:rPr>
      </w:pPr>
      <w:r>
        <w:rPr>
          <w:rFonts w:ascii="宋体" w:hint="eastAsia"/>
          <w:sz w:val="32"/>
          <w:szCs w:val="32"/>
          <w:lang w:eastAsia="zh-TW"/>
        </w:rPr>
        <w:t>二、收入决算表</w:t>
        <w:tab/>
      </w:r>
    </w:p>
    <w:p>
      <w:pPr>
        <w:spacing w:line="576" w:lineRule="exact"/>
        <w:rPr>
          <w:rFonts w:ascii="宋体"/>
          <w:sz w:val="32"/>
          <w:szCs w:val="32"/>
          <w:lang w:eastAsia="zh-TW"/>
        </w:rPr>
      </w:pPr>
      <w:r>
        <w:rPr>
          <w:rFonts w:ascii="宋体" w:hint="eastAsia"/>
          <w:sz w:val="32"/>
          <w:szCs w:val="32"/>
          <w:lang w:eastAsia="zh-TW"/>
        </w:rPr>
        <w:t>三、支出决算表</w:t>
        <w:tab/>
      </w:r>
    </w:p>
    <w:p>
      <w:pPr>
        <w:spacing w:line="576" w:lineRule="exact"/>
        <w:rPr>
          <w:rFonts w:ascii="宋体"/>
          <w:sz w:val="32"/>
          <w:szCs w:val="32"/>
          <w:lang w:eastAsia="zh-TW"/>
        </w:rPr>
      </w:pPr>
      <w:r>
        <w:rPr>
          <w:rFonts w:ascii="宋体" w:hint="eastAsia"/>
          <w:sz w:val="32"/>
          <w:szCs w:val="32"/>
          <w:lang w:eastAsia="zh-TW"/>
        </w:rPr>
        <w:t>四、财政拨款收入支出决算总表</w:t>
        <w:tab/>
      </w:r>
    </w:p>
    <w:p>
      <w:pPr>
        <w:spacing w:line="576" w:lineRule="exact"/>
        <w:rPr>
          <w:rFonts w:ascii="宋体"/>
          <w:sz w:val="32"/>
          <w:szCs w:val="32"/>
        </w:rPr>
      </w:pPr>
      <w:r>
        <w:rPr>
          <w:rFonts w:ascii="宋体" w:hint="eastAsia"/>
          <w:sz w:val="32"/>
          <w:szCs w:val="32"/>
          <w:lang w:eastAsia="zh-TW"/>
        </w:rPr>
        <w:t>五、一般公共预算财政拨款支出决算表</w:t>
      </w:r>
    </w:p>
    <w:p>
      <w:pPr>
        <w:spacing w:line="576" w:lineRule="exact"/>
        <w:rPr>
          <w:rFonts w:ascii="宋体"/>
          <w:sz w:val="32"/>
          <w:szCs w:val="32"/>
          <w:lang w:eastAsia="zh-TW"/>
        </w:rPr>
      </w:pPr>
      <w:r>
        <w:rPr>
          <w:rFonts w:ascii="宋体" w:hint="eastAsia"/>
          <w:sz w:val="32"/>
          <w:szCs w:val="32"/>
          <w:lang w:eastAsia="zh-TW"/>
        </w:rPr>
        <w:t>六、一般公共预算财政拨款基本支出决算明细表</w:t>
        <w:tab/>
      </w:r>
    </w:p>
    <w:p>
      <w:pPr>
        <w:spacing w:line="576" w:lineRule="exact"/>
        <w:rPr>
          <w:rFonts w:ascii="宋体"/>
          <w:sz w:val="32"/>
          <w:szCs w:val="32"/>
        </w:rPr>
      </w:pPr>
      <w:r>
        <w:rPr>
          <w:rFonts w:ascii="宋体" w:hint="eastAsia"/>
          <w:sz w:val="32"/>
          <w:szCs w:val="32"/>
          <w:lang w:eastAsia="zh-TW"/>
        </w:rPr>
        <w:t>七、政府性基金预算财政拨款收入支出决算表</w:t>
      </w:r>
    </w:p>
    <w:p>
      <w:pPr>
        <w:spacing w:line="576" w:lineRule="exact"/>
        <w:rPr>
          <w:rFonts w:ascii="宋体"/>
          <w:sz w:val="32"/>
          <w:szCs w:val="32"/>
          <w:lang w:eastAsia="zh-TW"/>
        </w:rPr>
      </w:pPr>
      <w:r>
        <w:rPr>
          <w:rFonts w:ascii="宋体" w:hint="eastAsia"/>
          <w:sz w:val="32"/>
          <w:szCs w:val="32"/>
          <w:lang w:eastAsia="zh-TW"/>
        </w:rPr>
        <w:t>八、</w:t>
        <w:tab/>
        <w:t>国有资本经营预算财政拨款支出决算表</w:t>
      </w:r>
    </w:p>
    <w:p>
      <w:pPr>
        <w:spacing w:line="576" w:lineRule="exact"/>
        <w:rPr>
          <w:rFonts w:ascii="宋体"/>
          <w:sz w:val="32"/>
          <w:szCs w:val="32"/>
          <w:lang w:eastAsia="zh-TW"/>
        </w:rPr>
      </w:pPr>
      <w:r>
        <w:rPr>
          <w:rFonts w:ascii="宋体" w:hint="eastAsia"/>
          <w:sz w:val="32"/>
          <w:szCs w:val="32"/>
          <w:lang w:eastAsia="zh-TW"/>
        </w:rPr>
        <w:t>九、</w:t>
        <w:tab/>
        <w:t>一般公共预算财政拨款“三公”经费支出决算表</w:t>
      </w:r>
    </w:p>
    <w:p>
      <w:pPr>
        <w:spacing w:line="576" w:lineRule="exact"/>
        <w:rPr>
          <w:rFonts w:ascii="方正黑体_GBK" w:hAnsi="方正黑体_GBK"/>
          <w:b/>
          <w:sz w:val="32"/>
          <w:szCs w:val="32"/>
          <w:lang w:eastAsia="zh-TW"/>
        </w:rPr>
      </w:pPr>
      <w:r>
        <w:rPr>
          <w:rFonts w:ascii="方正黑体_GBK" w:hAnsi="方正黑体_GBK" w:hint="eastAsia"/>
          <w:b/>
          <w:sz w:val="32"/>
          <w:szCs w:val="32"/>
          <w:lang w:eastAsia="zh-TW"/>
        </w:rPr>
        <w:t>第三部分</w:t>
      </w:r>
      <w:r>
        <w:rPr>
          <w:rFonts w:ascii="方正黑体_GBK" w:hAnsi="方正黑体_GBK" w:hint="eastAsia"/>
          <w:b/>
          <w:sz w:val="32"/>
          <w:szCs w:val="32"/>
        </w:rPr>
        <w:t xml:space="preserve">  </w:t>
      </w:r>
      <w:r>
        <w:rPr>
          <w:rFonts w:ascii="方正黑体_GBK" w:hAnsi="方正黑体_GBK" w:hint="eastAsia"/>
          <w:b/>
          <w:sz w:val="32"/>
          <w:szCs w:val="32"/>
          <w:lang w:eastAsia="zh-TW"/>
        </w:rPr>
        <w:t>202</w:t>
      </w:r>
      <w:r>
        <w:rPr>
          <w:rFonts w:ascii="方正黑体_GBK" w:hAnsi="方正黑体_GBK" w:hint="eastAsia"/>
          <w:b/>
          <w:sz w:val="32"/>
          <w:szCs w:val="32"/>
        </w:rPr>
        <w:t>2</w:t>
      </w:r>
      <w:r>
        <w:rPr>
          <w:rFonts w:ascii="方正黑体_GBK" w:hAnsi="方正黑体_GBK" w:hint="eastAsia"/>
          <w:b/>
          <w:sz w:val="32"/>
          <w:szCs w:val="32"/>
          <w:lang w:eastAsia="zh-TW"/>
        </w:rPr>
        <w:t>年度部门决算情况说明</w:t>
      </w:r>
    </w:p>
    <w:p>
      <w:pPr>
        <w:spacing w:line="576" w:lineRule="exact"/>
        <w:rPr>
          <w:rFonts w:ascii="宋体"/>
          <w:sz w:val="32"/>
          <w:szCs w:val="32"/>
          <w:lang w:eastAsia="zh-TW"/>
        </w:rPr>
      </w:pPr>
      <w:r>
        <w:rPr>
          <w:rFonts w:ascii="宋体" w:hint="eastAsia"/>
          <w:sz w:val="32"/>
          <w:szCs w:val="32"/>
          <w:lang w:eastAsia="zh-TW"/>
        </w:rPr>
        <w:t>一、收入支出决算总体情况说明</w:t>
        <w:tab/>
      </w:r>
    </w:p>
    <w:p>
      <w:pPr>
        <w:spacing w:line="576" w:lineRule="exact"/>
        <w:rPr>
          <w:rFonts w:ascii="宋体"/>
          <w:sz w:val="32"/>
          <w:szCs w:val="32"/>
          <w:lang w:eastAsia="zh-TW"/>
        </w:rPr>
      </w:pPr>
      <w:r>
        <w:rPr>
          <w:rFonts w:ascii="宋体" w:hint="eastAsia"/>
          <w:sz w:val="32"/>
          <w:szCs w:val="32"/>
          <w:lang w:eastAsia="zh-TW"/>
        </w:rPr>
        <w:t>二、收入决算情况说明</w:t>
      </w:r>
    </w:p>
    <w:p>
      <w:pPr>
        <w:spacing w:line="576" w:lineRule="exact"/>
        <w:rPr>
          <w:rFonts w:ascii="宋体"/>
          <w:sz w:val="32"/>
          <w:szCs w:val="32"/>
          <w:lang w:eastAsia="zh-TW"/>
        </w:rPr>
      </w:pPr>
      <w:r>
        <w:rPr>
          <w:rFonts w:ascii="宋体" w:hint="eastAsia"/>
          <w:sz w:val="32"/>
          <w:szCs w:val="32"/>
          <w:lang w:eastAsia="zh-TW"/>
        </w:rPr>
        <w:t>三、支出决算情况说明</w:t>
      </w:r>
    </w:p>
    <w:p>
      <w:pPr>
        <w:spacing w:line="576" w:lineRule="exact"/>
        <w:rPr>
          <w:rFonts w:ascii="宋体"/>
          <w:sz w:val="32"/>
          <w:szCs w:val="32"/>
          <w:lang w:eastAsia="zh-TW"/>
        </w:rPr>
      </w:pPr>
      <w:r>
        <w:rPr>
          <w:rFonts w:ascii="宋体" w:hint="eastAsia"/>
          <w:sz w:val="32"/>
          <w:szCs w:val="32"/>
          <w:lang w:eastAsia="zh-TW"/>
        </w:rPr>
        <w:t>四、财政拨款收入支出决算总体情况说明</w:t>
      </w:r>
    </w:p>
    <w:p>
      <w:pPr>
        <w:spacing w:line="576" w:lineRule="exact"/>
        <w:rPr>
          <w:rFonts w:ascii="宋体"/>
          <w:sz w:val="32"/>
          <w:szCs w:val="32"/>
          <w:lang w:eastAsia="zh-TW"/>
        </w:rPr>
      </w:pPr>
      <w:r>
        <w:rPr>
          <w:rFonts w:ascii="宋体" w:hint="eastAsia"/>
          <w:sz w:val="32"/>
          <w:szCs w:val="32"/>
          <w:lang w:eastAsia="zh-TW"/>
        </w:rPr>
        <w:t>五、一般公共预算财政拨款支出决算情况说明</w:t>
      </w:r>
    </w:p>
    <w:p>
      <w:pPr>
        <w:spacing w:line="576" w:lineRule="exact"/>
        <w:rPr>
          <w:rFonts w:ascii="宋体"/>
          <w:sz w:val="32"/>
          <w:szCs w:val="32"/>
          <w:lang w:eastAsia="zh-TW"/>
        </w:rPr>
      </w:pPr>
      <w:r>
        <w:rPr>
          <w:rFonts w:ascii="宋体" w:hint="eastAsia"/>
          <w:sz w:val="32"/>
          <w:szCs w:val="32"/>
          <w:lang w:eastAsia="zh-TW"/>
        </w:rPr>
        <w:t>六、一般公共预算财政拨款基本支出决算情况说明</w:t>
      </w:r>
    </w:p>
    <w:p>
      <w:pPr>
        <w:spacing w:line="576" w:lineRule="exact"/>
        <w:rPr>
          <w:rFonts w:ascii="宋体"/>
          <w:sz w:val="32"/>
          <w:szCs w:val="32"/>
        </w:rPr>
      </w:pPr>
      <w:r>
        <w:rPr>
          <w:rFonts w:ascii="宋体" w:hint="eastAsia"/>
          <w:sz w:val="32"/>
          <w:szCs w:val="32"/>
          <w:lang w:eastAsia="zh-TW"/>
        </w:rPr>
        <w:t>七、一般公共预算财政拨款“三公”经费支出决算情况说明</w:t>
      </w:r>
    </w:p>
    <w:p>
      <w:pPr>
        <w:spacing w:line="576" w:lineRule="exact"/>
        <w:rPr>
          <w:rFonts w:ascii="宋体"/>
          <w:sz w:val="32"/>
          <w:szCs w:val="32"/>
        </w:rPr>
      </w:pPr>
      <w:r>
        <w:rPr>
          <w:rFonts w:ascii="宋体" w:hint="eastAsia"/>
          <w:sz w:val="32"/>
          <w:szCs w:val="32"/>
          <w:lang w:eastAsia="zh-TW"/>
        </w:rPr>
        <w:t>八、机关运行经费支出说明</w:t>
      </w:r>
    </w:p>
    <w:p>
      <w:pPr>
        <w:spacing w:line="576" w:lineRule="exact"/>
        <w:rPr>
          <w:rFonts w:ascii="宋体"/>
          <w:sz w:val="32"/>
          <w:szCs w:val="32"/>
          <w:lang w:eastAsia="zh-TW"/>
        </w:rPr>
      </w:pPr>
      <w:r>
        <w:rPr>
          <w:rFonts w:ascii="宋体" w:hint="eastAsia"/>
          <w:sz w:val="32"/>
          <w:szCs w:val="32"/>
          <w:lang w:eastAsia="zh-TW"/>
        </w:rPr>
        <w:t>九、政府采购支出说明</w:t>
      </w:r>
    </w:p>
    <w:p>
      <w:pPr>
        <w:spacing w:line="576" w:lineRule="exact"/>
        <w:rPr>
          <w:rFonts w:ascii="宋体"/>
          <w:sz w:val="32"/>
          <w:szCs w:val="32"/>
          <w:lang w:eastAsia="zh-TW"/>
        </w:rPr>
      </w:pPr>
      <w:r>
        <w:rPr>
          <w:rFonts w:ascii="宋体" w:hint="eastAsia"/>
          <w:sz w:val="32"/>
          <w:szCs w:val="32"/>
          <w:lang w:eastAsia="zh-TW"/>
        </w:rPr>
        <w:t>十、国有资产占用情况说明</w:t>
      </w:r>
    </w:p>
    <w:p>
      <w:pPr>
        <w:spacing w:line="576" w:lineRule="exact"/>
        <w:rPr>
          <w:rFonts w:ascii="宋体"/>
          <w:sz w:val="32"/>
          <w:szCs w:val="32"/>
        </w:rPr>
      </w:pPr>
      <w:r>
        <w:rPr>
          <w:rFonts w:ascii="宋体" w:hint="eastAsia"/>
          <w:sz w:val="32"/>
          <w:szCs w:val="32"/>
          <w:lang w:eastAsia="zh-TW"/>
        </w:rPr>
        <w:t>十一、预算绩效情况说明</w:t>
      </w:r>
    </w:p>
    <w:p>
      <w:pPr>
        <w:spacing w:line="576" w:lineRule="exact"/>
        <w:rPr>
          <w:rFonts w:ascii="宋体"/>
          <w:sz w:val="32"/>
          <w:szCs w:val="32"/>
          <w:lang w:eastAsia="zh-TW"/>
        </w:rPr>
        <w:sectPr>
          <w:pgSz w:w="11907" w:h="16840"/>
          <w:pgMar w:top="2098" w:right="1474" w:bottom="1985" w:left="1588" w:header="851" w:footer="992" w:gutter="0"/>
          <w:docGrid w:type="lines" w:linePitch="312" w:charSpace="0"/>
        </w:sectPr>
      </w:pPr>
      <w:r>
        <w:rPr>
          <w:rFonts w:ascii="方正黑体_GBK" w:hAnsi="方正黑体_GBK" w:hint="eastAsia"/>
          <w:b/>
          <w:sz w:val="32"/>
          <w:szCs w:val="32"/>
          <w:lang w:eastAsia="zh-TW"/>
        </w:rPr>
        <w:t>第四部分</w:t>
      </w:r>
      <w:r>
        <w:rPr>
          <w:rFonts w:ascii="方正黑体_GBK" w:hAnsi="方正黑体_GBK" w:hint="eastAsia"/>
          <w:b/>
          <w:sz w:val="32"/>
          <w:szCs w:val="32"/>
        </w:rPr>
        <w:t xml:space="preserve">  </w:t>
      </w:r>
      <w:r>
        <w:rPr>
          <w:rFonts w:ascii="方正黑体_GBK" w:hAnsi="方正黑体_GBK" w:hint="eastAsia"/>
          <w:b/>
          <w:sz w:val="32"/>
          <w:szCs w:val="32"/>
          <w:lang w:eastAsia="zh-TW"/>
        </w:rPr>
        <w:t>名词解释</w:t>
      </w:r>
    </w:p>
    <w:p>
      <w:pPr>
        <w:jc w:val="center"/>
        <w:rPr>
          <w:rFonts w:ascii="方正小标宋_GBK" w:eastAsia="方正小标宋_GBK"/>
          <w:sz w:val="84"/>
          <w:szCs w:val="84"/>
        </w:rPr>
      </w:pPr>
      <w:r>
        <w:rPr>
          <w:rFonts w:ascii="方正小标宋_GBK" w:eastAsia="方正小标宋_GBK" w:hint="eastAsia"/>
          <w:sz w:val="84"/>
          <w:szCs w:val="84"/>
        </w:rPr>
        <w:t>第一部分</w:t>
      </w:r>
    </w:p>
    <w:p>
      <w:pPr>
        <w:jc w:val="center"/>
        <w:rPr>
          <w:rFonts w:ascii="方正小标宋_GBK" w:eastAsia="方正小标宋_GBK"/>
          <w:sz w:val="84"/>
          <w:szCs w:val="84"/>
        </w:rPr>
        <w:sectPr>
          <w:footerReference w:type="default" r:id="rId4"/>
          <w:pgSz w:w="11907" w:h="16840"/>
          <w:pgMar w:top="2098" w:right="1474" w:bottom="1985" w:left="1588" w:header="851" w:footer="1474" w:gutter="0"/>
          <w:pgNumType w:start="1"/>
          <w:vAlign w:val="center"/>
          <w:docGrid w:type="linesAndChars" w:linePitch="312" w:charSpace="0"/>
        </w:sectPr>
      </w:pPr>
      <w:r>
        <w:rPr>
          <w:rFonts w:ascii="方正小标宋_GBK" w:eastAsia="方正小标宋_GBK" w:hint="eastAsia"/>
          <w:sz w:val="84"/>
          <w:szCs w:val="84"/>
        </w:rPr>
        <w:t>拉萨海关概况</w:t>
      </w:r>
    </w:p>
    <w:p>
      <w:pPr>
        <w:ind w:firstLineChars="200" w:firstLine="640"/>
        <w:rPr>
          <w:rFonts w:ascii="方正黑体_GBK" w:eastAsia="方正黑体_GBK"/>
          <w:sz w:val="32"/>
          <w:szCs w:val="32"/>
        </w:rPr>
      </w:pPr>
      <w:r>
        <w:rPr>
          <w:rFonts w:ascii="方正黑体_GBK" w:eastAsia="方正黑体_GBK" w:hint="eastAsia"/>
          <w:sz w:val="32"/>
          <w:szCs w:val="32"/>
        </w:rPr>
        <w:t>一、部门职责</w:t>
      </w:r>
    </w:p>
    <w:p>
      <w:pPr>
        <w:spacing w:line="576" w:lineRule="exact"/>
        <w:ind w:firstLineChars="200" w:firstLine="640"/>
        <w:rPr>
          <w:rFonts w:eastAsia="方正仿宋_GBK"/>
          <w:sz w:val="32"/>
          <w:szCs w:val="32"/>
        </w:rPr>
      </w:pPr>
      <w:r>
        <w:rPr>
          <w:rFonts w:eastAsia="方正仿宋_GBK" w:hint="eastAsia"/>
          <w:sz w:val="32"/>
          <w:szCs w:val="32"/>
        </w:rPr>
        <w:t>1962年5月10日，经国务院批准西藏人民海关正式成立。1974年9月1日，成立拉萨关（后改名拉萨海关）。1984年6月9日，拉萨海关升格为厅局级机构。根据党中央作出的“将国家质量监督检验检疫总局的出入境检验检疫管理职责和队伍划入海关总署”的改革部署要求，自2018年4月20日起，原西藏出入境检验检疫局统一以拉萨海关名义对外开展工作。2018年8月24日拉萨海关新一届党组成立，2019年10月25日调整为党委。</w:t>
      </w:r>
    </w:p>
    <w:p>
      <w:pPr>
        <w:spacing w:line="576" w:lineRule="exact"/>
        <w:ind w:firstLineChars="200" w:firstLine="640"/>
        <w:rPr>
          <w:rFonts w:eastAsia="方正仿宋_GBK"/>
          <w:sz w:val="32"/>
          <w:szCs w:val="32"/>
        </w:rPr>
      </w:pPr>
      <w:r>
        <w:rPr>
          <w:rFonts w:eastAsia="方正仿宋_GBK" w:hint="eastAsia"/>
          <w:sz w:val="32"/>
          <w:szCs w:val="32"/>
        </w:rPr>
        <w:t>拉萨海关主要职责是：负责西藏自治区内海关监管、统计、征税、缉私、检验检疫等工作任务，完成总署党委、自治区党委政府交办的其他任务。</w:t>
      </w:r>
    </w:p>
    <w:p>
      <w:pPr>
        <w:ind w:firstLineChars="200" w:firstLine="640"/>
        <w:rPr>
          <w:rFonts w:ascii="方正黑体_GBK" w:eastAsia="方正黑体_GBK"/>
          <w:sz w:val="32"/>
          <w:szCs w:val="32"/>
        </w:rPr>
      </w:pPr>
      <w:r>
        <w:rPr>
          <w:rFonts w:ascii="方正黑体_GBK" w:eastAsia="方正黑体_GBK" w:hint="eastAsia"/>
          <w:sz w:val="32"/>
          <w:szCs w:val="32"/>
        </w:rPr>
        <w:t>二、机构设置</w:t>
      </w:r>
    </w:p>
    <w:p>
      <w:pPr>
        <w:spacing w:line="576" w:lineRule="exact"/>
        <w:ind w:firstLineChars="200" w:firstLine="640"/>
        <w:rPr>
          <w:rFonts w:eastAsia="方正仿宋_GBK"/>
          <w:sz w:val="32"/>
          <w:szCs w:val="32"/>
        </w:rPr>
      </w:pPr>
      <w:r>
        <w:rPr>
          <w:rFonts w:eastAsia="方正仿宋_GBK" w:hint="eastAsia"/>
          <w:sz w:val="32"/>
          <w:szCs w:val="32"/>
        </w:rPr>
        <w:t>拉萨海关现下辖10个正处级隶属海关单位，分别为：拉萨贡嘎机场海关、八廓海关、聂拉木海关、吉隆海关、普兰海关、亚东海关、日喀则海关、狮泉河海关、林芝海关和拉萨海关风险防控分局。</w:t>
      </w:r>
    </w:p>
    <w:p>
      <w:pPr>
        <w:ind w:firstLineChars="200" w:firstLine="640"/>
        <w:rPr>
          <w:rFonts w:eastAsia="方正仿宋_GBK"/>
          <w:sz w:val="32"/>
        </w:rPr>
      </w:pPr>
      <w:r>
        <w:rPr>
          <w:rFonts w:eastAsia="方正仿宋_GBK" w:hint="eastAsia"/>
          <w:sz w:val="32"/>
        </w:rPr>
        <w:t>拉萨海关机关内设12个处室，分别为：办公室（党委办公室）、法规处、综合业务一处、综合业务二处、卫生检疫处、动植物和食品检验检疫处、口岸监管处、企业管理和稽查处、财务处、科技处、督察内审处、人事教育处（党委组织部）；其他内设处室3个：机关党委（思想政治办公室、党委宣传部）、监察室（党委纪检组）、离退休干部办公室；副厅级机构1个：缉私局；党委派驻纪检组3个；事业单位4个：后勤管理中心、技术中心、保健中心、电子口岸数据分中心。</w:t>
      </w:r>
    </w:p>
    <w:p>
      <w:pPr>
        <w:rPr>
          <w:rFonts w:eastAsia="方正仿宋_GBK"/>
          <w:sz w:val="32"/>
        </w:rPr>
      </w:pPr>
      <w:r>
        <w:rPr>
          <w:rFonts w:eastAsia="方正仿宋_GBK" w:hint="eastAsia"/>
          <w:sz w:val="32"/>
        </w:rPr>
        <w:t>纳入拉萨海关</w:t>
      </w:r>
      <w:r>
        <w:rPr>
          <w:rFonts w:eastAsia="方正仿宋_GBK"/>
          <w:sz w:val="32"/>
        </w:rPr>
        <w:t>202</w:t>
      </w:r>
      <w:r>
        <w:rPr>
          <w:rFonts w:eastAsia="方正仿宋_GBK" w:hint="eastAsia"/>
          <w:sz w:val="32"/>
        </w:rPr>
        <w:t>2</w:t>
      </w:r>
      <w:r>
        <w:rPr>
          <w:rFonts w:eastAsia="方正仿宋_GBK"/>
          <w:sz w:val="32"/>
        </w:rPr>
        <w:t>年</w:t>
      </w:r>
      <w:r>
        <w:rPr>
          <w:rFonts w:eastAsia="方正仿宋_GBK" w:hint="eastAsia"/>
          <w:sz w:val="32"/>
        </w:rPr>
        <w:t>决算编制范围的单位如下：</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ascii="方正小标宋_GBK" w:eastAsia="方正小标宋_GBK"/>
                <w:color w:val="000000"/>
                <w:sz w:val="18"/>
                <w:szCs w:val="18"/>
              </w:rPr>
            </w:pPr>
            <w:r>
              <w:rPr>
                <w:rFonts w:ascii="方正小标宋_GBK" w:eastAsia="方正小标宋_GBK" w:hint="eastAsia"/>
                <w:color w:val="000000"/>
                <w:sz w:val="18"/>
                <w:szCs w:val="18"/>
              </w:rPr>
              <w:t>序号</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方正小标宋_GBK" w:eastAsia="方正小标宋_GBK"/>
                <w:color w:val="000000"/>
                <w:sz w:val="18"/>
                <w:szCs w:val="18"/>
              </w:rPr>
            </w:pPr>
            <w:r>
              <w:rPr>
                <w:rFonts w:ascii="方正小标宋_GBK" w:eastAsia="方正小标宋_GBK" w:hint="eastAsia"/>
                <w:color w:val="000000"/>
                <w:sz w:val="18"/>
                <w:szCs w:val="18"/>
              </w:rPr>
              <w:t>单位</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ascii="方正小标宋_GBK" w:eastAsia="方正小标宋_GBK"/>
                <w:color w:val="000000"/>
                <w:sz w:val="18"/>
                <w:szCs w:val="18"/>
              </w:rPr>
            </w:pPr>
            <w:r>
              <w:rPr>
                <w:rFonts w:ascii="方正小标宋_GBK" w:eastAsia="方正小标宋_GBK" w:hint="eastAsia"/>
                <w:color w:val="000000"/>
                <w:sz w:val="18"/>
                <w:szCs w:val="18"/>
              </w:rPr>
              <w:t>序号</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方正小标宋_GBK" w:eastAsia="方正小标宋_GBK"/>
                <w:color w:val="000000"/>
                <w:sz w:val="18"/>
                <w:szCs w:val="18"/>
              </w:rPr>
            </w:pPr>
            <w:r>
              <w:rPr>
                <w:rFonts w:ascii="方正小标宋_GBK" w:eastAsia="方正小标宋_GBK" w:hint="eastAsia"/>
                <w:color w:val="000000"/>
                <w:sz w:val="18"/>
                <w:szCs w:val="18"/>
              </w:rPr>
              <w:t>单位</w:t>
            </w:r>
          </w:p>
        </w:tc>
      </w:tr>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1</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中华人民共和国拉萨海关本级</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6</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中华人民共和国拉萨海关后勤管理中心</w:t>
            </w:r>
          </w:p>
        </w:tc>
      </w:tr>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2</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中华人民共和国狮泉河海关</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7</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中华人民共和国吉隆海关</w:t>
            </w:r>
          </w:p>
        </w:tc>
      </w:tr>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3</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中华人民共和国日喀则海关</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8</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拉萨海关技术中心</w:t>
            </w:r>
          </w:p>
        </w:tc>
      </w:tr>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4</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中华人民共和国聂拉木海关</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9</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西藏国际旅行卫生保健中心（拉萨海关口岸门诊部）</w:t>
            </w:r>
          </w:p>
        </w:tc>
      </w:tr>
      <w:tr>
        <w:trPr>
          <w:trHeight w:val="391"/>
        </w:trPr>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5</w:t>
            </w:r>
          </w:p>
        </w:tc>
        <w:tc>
          <w:tcPr>
            <w:tcW w:w="291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r>
              <w:rPr>
                <w:rFonts w:ascii="宋体" w:hint="eastAsia"/>
                <w:color w:val="000000"/>
                <w:sz w:val="20"/>
                <w:szCs w:val="20"/>
              </w:rPr>
              <w:t>中国电子口岸数据中心拉萨分中心</w:t>
            </w:r>
          </w:p>
        </w:tc>
        <w:tc>
          <w:tcPr>
            <w:tcW w:w="581" w:type="dxa"/>
            <w:tcBorders>
              <w:top w:val="single" w:sz="4" w:space="0" w:color="auto"/>
              <w:left w:val="single" w:sz="4" w:space="0" w:color="auto"/>
              <w:bottom w:val="single" w:sz="4" w:space="0" w:color="auto"/>
              <w:right w:val="single" w:sz="4" w:space="0" w:color="auto"/>
            </w:tcBorders>
            <w:noWrap/>
            <w:vAlign w:val="center"/>
          </w:tcPr>
          <w:p>
            <w:pPr>
              <w:jc w:val="center"/>
              <w:rPr>
                <w:rFonts w:eastAsia="方正黑体_GBK"/>
                <w:color w:val="000000"/>
                <w:sz w:val="20"/>
                <w:szCs w:val="20"/>
              </w:rPr>
            </w:pPr>
            <w:r>
              <w:rPr>
                <w:rFonts w:eastAsia="方正黑体_GBK"/>
                <w:color w:val="000000"/>
                <w:sz w:val="20"/>
                <w:szCs w:val="20"/>
              </w:rPr>
              <w:t>10</w:t>
            </w:r>
          </w:p>
        </w:tc>
        <w:tc>
          <w:tcPr>
            <w:tcW w:w="4453"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color w:val="000000"/>
                <w:sz w:val="20"/>
                <w:szCs w:val="20"/>
              </w:rPr>
            </w:pPr>
          </w:p>
        </w:tc>
      </w:tr>
    </w:tbl>
    <w:p/>
    <w:p/>
    <w:p/>
    <w:p/>
    <w:p/>
    <w:p/>
    <w:p/>
    <w:p/>
    <w:p/>
    <w:p/>
    <w:p/>
    <w:p/>
    <w:p/>
    <w:p/>
    <w:p/>
    <w:p/>
    <w:p/>
    <w:p/>
    <w:p/>
    <w:p/>
    <w:p/>
    <w:p/>
    <w:p/>
    <w:p/>
    <w:p/>
    <w:p/>
    <w:p/>
    <w:p/>
    <w:p/>
    <w:p/>
    <w:p/>
    <w:p/>
    <w:p/>
    <w:p/>
    <w:p/>
    <w:p/>
    <w:p/>
    <w:p/>
    <w:p/>
    <w:p/>
    <w:p/>
    <w:p/>
    <w:p/>
    <w:p/>
    <w:p>
      <w:pPr>
        <w:jc w:val="center"/>
        <w:rPr>
          <w:rFonts w:ascii="方正小标宋_GBK" w:eastAsia="方正小标宋_GBK"/>
          <w:sz w:val="84"/>
          <w:szCs w:val="84"/>
        </w:rPr>
      </w:pPr>
      <w:r>
        <w:rPr>
          <w:rFonts w:ascii="方正小标宋_GBK" w:eastAsia="方正小标宋_GBK" w:hint="eastAsia"/>
          <w:sz w:val="84"/>
          <w:szCs w:val="84"/>
        </w:rPr>
        <w:t>第二部分</w:t>
      </w:r>
    </w:p>
    <w:p>
      <w:pPr>
        <w:jc w:val="center"/>
        <w:rPr>
          <w:rFonts w:ascii="方正小标宋_GBK" w:eastAsia="方正小标宋_GBK"/>
          <w:sz w:val="84"/>
          <w:szCs w:val="84"/>
        </w:rPr>
      </w:pPr>
      <w:r>
        <w:rPr>
          <w:rFonts w:ascii="方正小标宋_GBK" w:eastAsia="方正小标宋_GBK" w:hint="eastAsia"/>
          <w:sz w:val="84"/>
          <w:szCs w:val="84"/>
        </w:rPr>
        <w:t>2022年部门决算表</w:t>
      </w:r>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806"/>
        <w:gridCol w:w="536"/>
        <w:gridCol w:w="936"/>
        <w:gridCol w:w="2631"/>
        <w:gridCol w:w="536"/>
        <w:gridCol w:w="1616"/>
      </w:tblGrid>
      <w:tr>
        <w:trPr>
          <w:trHeight w:val="390"/>
        </w:trPr>
        <w:tc>
          <w:tcPr>
            <w:tcW w:w="5000" w:type="pct"/>
            <w:gridSpan w:val="6"/>
            <w:tcBorders>
              <w:top w:val="nil"/>
              <w:left w:val="nil"/>
              <w:bottom w:val="nil"/>
              <w:right w:val="nil"/>
            </w:tcBorders>
            <w:shd w:val="clear" w:color="auto" w:fill="auto"/>
            <w:noWrap/>
            <w:vAlign w:val="bottom"/>
          </w:tcPr>
          <w:p>
            <w:pPr>
              <w:widowControl/>
              <w:jc w:val="center"/>
              <w:rPr>
                <w:rFonts w:ascii="宋体" w:eastAsia="宋体" w:cs="Arial"/>
                <w:color w:val="000000"/>
                <w:kern w:val="0"/>
                <w:sz w:val="30"/>
                <w:szCs w:val="30"/>
              </w:rPr>
            </w:pPr>
            <w:r>
              <w:rPr>
                <w:rFonts w:ascii="宋体" w:eastAsia="宋体" w:cs="Arial" w:hint="eastAsia"/>
                <w:color w:val="000000"/>
                <w:kern w:val="0"/>
                <w:sz w:val="30"/>
                <w:szCs w:val="30"/>
              </w:rPr>
              <w:t>收入支出决算总表</w:t>
            </w:r>
          </w:p>
        </w:tc>
      </w:tr>
      <w:tr>
        <w:trPr>
          <w:trHeight w:val="255"/>
        </w:trPr>
        <w:tc>
          <w:tcPr>
            <w:tcW w:w="1729"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229"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496"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1621"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229"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696"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20"/>
                <w:szCs w:val="20"/>
              </w:rPr>
            </w:pPr>
            <w:r>
              <w:rPr>
                <w:rFonts w:ascii="宋体" w:eastAsia="宋体" w:cs="Arial" w:hint="eastAsia"/>
                <w:color w:val="000000"/>
                <w:kern w:val="0"/>
                <w:sz w:val="20"/>
                <w:szCs w:val="20"/>
              </w:rPr>
              <w:t>公开01表</w:t>
            </w:r>
          </w:p>
        </w:tc>
      </w:tr>
      <w:tr>
        <w:trPr>
          <w:trHeight w:val="255"/>
        </w:trPr>
        <w:tc>
          <w:tcPr>
            <w:tcW w:w="1729" w:type="pct"/>
            <w:tcBorders>
              <w:top w:val="nil"/>
              <w:left w:val="nil"/>
              <w:bottom w:val="nil"/>
              <w:right w:val="nil"/>
            </w:tcBorders>
            <w:shd w:val="clear" w:color="auto" w:fill="auto"/>
            <w:noWrap/>
            <w:vAlign w:val="bottom"/>
          </w:tcPr>
          <w:p>
            <w:pPr>
              <w:widowControl/>
              <w:jc w:val="left"/>
              <w:rPr>
                <w:rFonts w:ascii="宋体" w:eastAsia="宋体" w:cs="Arial"/>
                <w:color w:val="000000"/>
                <w:kern w:val="0"/>
                <w:sz w:val="20"/>
                <w:szCs w:val="20"/>
              </w:rPr>
            </w:pPr>
            <w:r>
              <w:rPr>
                <w:rFonts w:ascii="宋体" w:eastAsia="宋体" w:cs="Arial" w:hint="eastAsia"/>
                <w:color w:val="000000"/>
                <w:kern w:val="0"/>
                <w:sz w:val="20"/>
                <w:szCs w:val="20"/>
              </w:rPr>
              <w:t>部门：拉萨海关</w:t>
            </w:r>
          </w:p>
        </w:tc>
        <w:tc>
          <w:tcPr>
            <w:tcW w:w="229"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496"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1621"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229"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20"/>
                <w:szCs w:val="20"/>
              </w:rPr>
            </w:pPr>
          </w:p>
        </w:tc>
        <w:tc>
          <w:tcPr>
            <w:tcW w:w="696"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20"/>
                <w:szCs w:val="20"/>
              </w:rPr>
            </w:pPr>
            <w:r>
              <w:rPr>
                <w:rFonts w:ascii="宋体" w:eastAsia="宋体" w:cs="Arial" w:hint="eastAsia"/>
                <w:color w:val="000000"/>
                <w:kern w:val="0"/>
                <w:sz w:val="20"/>
                <w:szCs w:val="20"/>
              </w:rPr>
              <w:t>金额单位：万元</w:t>
            </w:r>
          </w:p>
        </w:tc>
      </w:tr>
      <w:tr>
        <w:trPr>
          <w:trHeight w:hRule="exact" w:val="284"/>
        </w:trPr>
        <w:tc>
          <w:tcPr>
            <w:tcW w:w="2454" w:type="pct"/>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收入</w:t>
            </w:r>
          </w:p>
        </w:tc>
        <w:tc>
          <w:tcPr>
            <w:tcW w:w="2546" w:type="pct"/>
            <w:gridSpan w:val="3"/>
            <w:tcBorders>
              <w:top w:val="single" w:sz="4" w:space="0" w:color="000000"/>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支出</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行次</w:t>
            </w:r>
          </w:p>
        </w:tc>
        <w:tc>
          <w:tcPr>
            <w:tcW w:w="496"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金额</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行次</w:t>
            </w:r>
          </w:p>
        </w:tc>
        <w:tc>
          <w:tcPr>
            <w:tcW w:w="696"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金额</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　</w:t>
            </w:r>
          </w:p>
        </w:tc>
        <w:tc>
          <w:tcPr>
            <w:tcW w:w="496"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　</w:t>
            </w:r>
          </w:p>
        </w:tc>
        <w:tc>
          <w:tcPr>
            <w:tcW w:w="696"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一、一般公共预算财政拨款收入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29,430.29</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一、一般公共服务支出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32</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24,609.65</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二、政府性基金预算财政拨款收入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二、外交支出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33</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三、国有资本经营预算财政拨款收入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三、国防支出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34</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四、上级补助收入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四、公共安全支出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35</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五、事业收入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1,227.34</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五、教育支出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36</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六、经营收入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六、科学技术支出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37</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七、附属单位上缴收入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7</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七、文化旅游体育与传媒支出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38</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八、其他收入</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8</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940.25</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八、社会保障和就业支出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39</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9</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九、卫生健康支出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40</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10</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十、节能环保支出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41</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11</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十一、城乡社区支出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42</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12</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十二、农林水支出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43</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13</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十三、交通运输支出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44</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14</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十四、资源勘探工业信息等支出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45</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15</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十五、商业服务业等支出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46</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16</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十六、金融支出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47</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17</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十七、援助其他地区支出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48</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18</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十八、自然资源海洋气象等支出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49</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19</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十九、住房保障支出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50</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20</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二十、粮油物资储备支出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51</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21</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二十一、国有资本经营预算支出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52</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22</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二十二、灾害防治及应急管理支出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53</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23</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二十三、其他支出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54</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24</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二十四、债务还本支出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55</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25</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二十五、债务付息支出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56</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26</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二十六、抗疫特别国债安排的支出</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57</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本年收入合计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27</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31,597.88</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本年支出合计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58</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30,859.01</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使用非财政拨款结余</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28</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36.68</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结余分配</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59</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738.17</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年初结转和结余</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29</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11,438.97</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年末结转和结余</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60</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11,476.36</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30</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61</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hRule="exact" w:val="284"/>
        </w:trPr>
        <w:tc>
          <w:tcPr>
            <w:tcW w:w="1729" w:type="pct"/>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总计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31</w:t>
            </w:r>
          </w:p>
        </w:tc>
        <w:tc>
          <w:tcPr>
            <w:tcW w:w="4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43,073.54</w:t>
            </w:r>
          </w:p>
        </w:tc>
        <w:tc>
          <w:tcPr>
            <w:tcW w:w="1621"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总计</w:t>
            </w:r>
          </w:p>
        </w:tc>
        <w:tc>
          <w:tcPr>
            <w:tcW w:w="229"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62</w:t>
            </w:r>
          </w:p>
        </w:tc>
        <w:tc>
          <w:tcPr>
            <w:tcW w:w="696"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43,073.54</w:t>
            </w:r>
          </w:p>
        </w:tc>
      </w:tr>
      <w:tr>
        <w:trPr>
          <w:trHeight w:val="308"/>
        </w:trPr>
        <w:tc>
          <w:tcPr>
            <w:tcW w:w="5000" w:type="pct"/>
            <w:gridSpan w:val="6"/>
            <w:tcBorders>
              <w:top w:val="nil"/>
              <w:left w:val="nil"/>
              <w:bottom w:val="nil"/>
              <w:right w:val="nil"/>
            </w:tcBorders>
            <w:shd w:val="clear" w:color="auto" w:fill="auto"/>
            <w:noWrap/>
            <w:vAlign w:val="center"/>
          </w:tcPr>
          <w:p>
            <w:pPr>
              <w:widowControl/>
              <w:jc w:val="left"/>
              <w:rPr>
                <w:rFonts w:ascii="宋体" w:eastAsia="宋体" w:cs="Arial"/>
                <w:color w:val="000000"/>
                <w:kern w:val="0"/>
                <w:sz w:val="22"/>
              </w:rPr>
            </w:pPr>
            <w:r>
              <w:rPr>
                <w:rFonts w:ascii="宋体" w:eastAsia="宋体" w:cs="Arial" w:hint="eastAsia"/>
                <w:color w:val="000000"/>
                <w:kern w:val="0"/>
                <w:sz w:val="22"/>
              </w:rPr>
              <w:t>注：1.本表反映部门本年度的总收支和年末结转结余情况。</w:t>
            </w:r>
          </w:p>
        </w:tc>
      </w:tr>
      <w:tr>
        <w:trPr>
          <w:trHeight w:val="308"/>
        </w:trPr>
        <w:tc>
          <w:tcPr>
            <w:tcW w:w="5000" w:type="pct"/>
            <w:gridSpan w:val="6"/>
            <w:tcBorders>
              <w:top w:val="nil"/>
              <w:left w:val="nil"/>
              <w:bottom w:val="nil"/>
              <w:right w:val="nil"/>
            </w:tcBorders>
            <w:shd w:val="clear" w:color="auto" w:fill="auto"/>
            <w:noWrap/>
            <w:vAlign w:val="center"/>
          </w:tcPr>
          <w:p>
            <w:pPr>
              <w:widowControl/>
              <w:jc w:val="left"/>
              <w:rPr>
                <w:rFonts w:ascii="宋体" w:eastAsia="宋体" w:cs="Arial"/>
                <w:color w:val="000000"/>
                <w:kern w:val="0"/>
                <w:sz w:val="22"/>
              </w:rPr>
            </w:pPr>
            <w:r>
              <w:rPr>
                <w:rFonts w:ascii="宋体" w:eastAsia="宋体" w:cs="Arial" w:hint="eastAsia"/>
                <w:color w:val="000000"/>
                <w:kern w:val="0"/>
                <w:sz w:val="22"/>
              </w:rPr>
              <w:t xml:space="preserve">    2.本套报表金额单位转换时可能存在尾数误差。</w:t>
            </w:r>
          </w:p>
        </w:tc>
      </w:tr>
    </w:tbl>
    <w:p/>
    <w:p/>
    <w:p/>
    <w:p/>
    <w:p/>
    <w:p/>
    <w:p/>
    <w:tbl>
      <w:tblPr>
        <w:jc w:val="left"/>
        <w:tblW w:w="889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64"/>
        <w:gridCol w:w="253"/>
        <w:gridCol w:w="584"/>
        <w:gridCol w:w="1701"/>
        <w:gridCol w:w="992"/>
        <w:gridCol w:w="1134"/>
        <w:gridCol w:w="625"/>
        <w:gridCol w:w="934"/>
        <w:gridCol w:w="567"/>
        <w:gridCol w:w="567"/>
        <w:gridCol w:w="1276"/>
      </w:tblGrid>
      <w:tr>
        <w:trPr>
          <w:trHeight w:val="390"/>
        </w:trPr>
        <w:tc>
          <w:tcPr>
            <w:tcW w:w="8897" w:type="dxa"/>
            <w:gridSpan w:val="11"/>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收入决算表</w:t>
            </w:r>
          </w:p>
        </w:tc>
      </w:tr>
      <w:tr>
        <w:trPr>
          <w:trHeight w:val="255"/>
        </w:trPr>
        <w:tc>
          <w:tcPr>
            <w:tcW w:w="26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253"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58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70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992"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25"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9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567"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567"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276"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公开02表</w:t>
            </w:r>
          </w:p>
        </w:tc>
      </w:tr>
      <w:tr>
        <w:trPr>
          <w:trHeight w:val="255"/>
        </w:trPr>
        <w:tc>
          <w:tcPr>
            <w:tcW w:w="2802" w:type="dxa"/>
            <w:gridSpan w:val="4"/>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992"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25"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9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567"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567"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276"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2802" w:type="dxa"/>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992"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本年收入合计</w:t>
            </w:r>
          </w:p>
        </w:tc>
        <w:tc>
          <w:tcPr>
            <w:tcW w:w="1134"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财政拨款收入</w:t>
            </w:r>
          </w:p>
        </w:tc>
        <w:tc>
          <w:tcPr>
            <w:tcW w:w="625"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上级补助收入</w:t>
            </w:r>
          </w:p>
        </w:tc>
        <w:tc>
          <w:tcPr>
            <w:tcW w:w="934"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事业收入</w:t>
            </w:r>
          </w:p>
        </w:tc>
        <w:tc>
          <w:tcPr>
            <w:tcW w:w="567"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经营收入</w:t>
            </w:r>
          </w:p>
        </w:tc>
        <w:tc>
          <w:tcPr>
            <w:tcW w:w="567"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附属单位上缴收入</w:t>
            </w:r>
          </w:p>
        </w:tc>
        <w:tc>
          <w:tcPr>
            <w:tcW w:w="1276"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其他收入</w:t>
            </w:r>
          </w:p>
        </w:tc>
      </w:tr>
      <w:tr>
        <w:trPr>
          <w:trHeight w:val="312"/>
        </w:trPr>
        <w:tc>
          <w:tcPr>
            <w:tcW w:w="1101" w:type="dxa"/>
            <w:gridSpan w:val="3"/>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1701" w:type="dxa"/>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992"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25" w:type="dxa"/>
            <w:vMerge/>
            <w:tcBorders>
              <w:top w:val="single" w:sz="4" w:space="0" w:color="000000"/>
              <w:left w:val="nil"/>
              <w:bottom w:val="single" w:sz="4" w:space="0" w:color="000000"/>
              <w:right w:val="single" w:sz="4" w:space="0" w:color="000000"/>
            </w:tcBorders>
            <w:vAlign w:val="center"/>
          </w:tcPr>
          <w:p/>
        </w:tc>
        <w:tc>
          <w:tcPr>
            <w:tcW w:w="934"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12"/>
        </w:trPr>
        <w:tc>
          <w:tcPr>
            <w:tcW w:w="1101" w:type="dxa"/>
            <w:gridSpan w:val="3"/>
            <w:vMerge/>
            <w:tcBorders>
              <w:top w:val="nil"/>
              <w:left w:val="single" w:sz="4" w:space="0" w:color="000000"/>
              <w:bottom w:val="single" w:sz="4" w:space="0" w:color="000000"/>
              <w:right w:val="single" w:sz="4" w:space="0" w:color="000000"/>
            </w:tcBorders>
            <w:vAlign w:val="center"/>
          </w:tcPr>
          <w:p/>
        </w:tc>
        <w:tc>
          <w:tcPr>
            <w:tcW w:w="1701" w:type="dxa"/>
            <w:vMerge/>
            <w:tcBorders>
              <w:top w:val="nil"/>
              <w:left w:val="nil"/>
              <w:bottom w:val="single" w:sz="4" w:space="0" w:color="000000"/>
              <w:right w:val="single" w:sz="4" w:space="0" w:color="000000"/>
            </w:tcBorders>
            <w:vAlign w:val="center"/>
          </w:tcPr>
          <w:p/>
        </w:tc>
        <w:tc>
          <w:tcPr>
            <w:tcW w:w="992"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25" w:type="dxa"/>
            <w:vMerge/>
            <w:tcBorders>
              <w:top w:val="single" w:sz="4" w:space="0" w:color="000000"/>
              <w:left w:val="nil"/>
              <w:bottom w:val="single" w:sz="4" w:space="0" w:color="000000"/>
              <w:right w:val="single" w:sz="4" w:space="0" w:color="000000"/>
            </w:tcBorders>
            <w:vAlign w:val="center"/>
          </w:tcPr>
          <w:p/>
        </w:tc>
        <w:tc>
          <w:tcPr>
            <w:tcW w:w="934"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12"/>
        </w:trPr>
        <w:tc>
          <w:tcPr>
            <w:tcW w:w="1101" w:type="dxa"/>
            <w:gridSpan w:val="3"/>
            <w:vMerge/>
            <w:tcBorders>
              <w:top w:val="nil"/>
              <w:left w:val="single" w:sz="4" w:space="0" w:color="000000"/>
              <w:bottom w:val="single" w:sz="4" w:space="0" w:color="000000"/>
              <w:right w:val="single" w:sz="4" w:space="0" w:color="000000"/>
            </w:tcBorders>
            <w:vAlign w:val="center"/>
          </w:tcPr>
          <w:p/>
        </w:tc>
        <w:tc>
          <w:tcPr>
            <w:tcW w:w="1701" w:type="dxa"/>
            <w:vMerge/>
            <w:tcBorders>
              <w:top w:val="nil"/>
              <w:left w:val="nil"/>
              <w:bottom w:val="single" w:sz="4" w:space="0" w:color="000000"/>
              <w:right w:val="single" w:sz="4" w:space="0" w:color="000000"/>
            </w:tcBorders>
            <w:vAlign w:val="center"/>
          </w:tcPr>
          <w:p/>
        </w:tc>
        <w:tc>
          <w:tcPr>
            <w:tcW w:w="992"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25" w:type="dxa"/>
            <w:vMerge/>
            <w:tcBorders>
              <w:top w:val="single" w:sz="4" w:space="0" w:color="000000"/>
              <w:left w:val="nil"/>
              <w:bottom w:val="single" w:sz="4" w:space="0" w:color="000000"/>
              <w:right w:val="single" w:sz="4" w:space="0" w:color="000000"/>
            </w:tcBorders>
            <w:vAlign w:val="center"/>
          </w:tcPr>
          <w:p/>
        </w:tc>
        <w:tc>
          <w:tcPr>
            <w:tcW w:w="934"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567"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08"/>
        </w:trPr>
        <w:tc>
          <w:tcPr>
            <w:tcW w:w="2802"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992"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134"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625"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934"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567"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567"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c>
          <w:tcPr>
            <w:tcW w:w="1276"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7</w:t>
            </w:r>
          </w:p>
        </w:tc>
      </w:tr>
      <w:tr>
        <w:trPr>
          <w:trHeight w:val="308"/>
        </w:trPr>
        <w:tc>
          <w:tcPr>
            <w:tcW w:w="2802"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31,597.88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29,430.29</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1,227.34</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940.25</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一般公共服务支出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24,854.61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22,687.02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1,227.34</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940.25</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海关事务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24,854.61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22,687.02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1,227.34</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940.25</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17,936.51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17,861.88</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74.63</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2010902</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一般行政管理事务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831.75</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624.75</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2010903</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机关服务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1,174.57</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452.67</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707.21</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14.69</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2010905</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缉私办案</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606.00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386.00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22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2010907</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口岸管理</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46.20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46.20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2010908</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2010909</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海关关务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1,772.89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1,772.89</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2010910</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关税征管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海关监管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2010912</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检验检疫</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916.36</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916.36</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2010950</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事业运行</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1,210.83</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684.51</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520.13</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6.18</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公共安全支出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1,874.62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1,874.62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缉私警察</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1,874.62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1,874.62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1,631.36</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1,631.36</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2041006</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2041007</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缉私业务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hRule="exact" w:val="284"/>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社会保障和就业支出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2,099.52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2,099.52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行政事业单位养老支出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2,099.52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2,099.52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行政单位离退休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2080505</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机关事业单位基本养老保险缴费支出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1,391.68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1,391.68</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2080506</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机关事业单位职业年金缴费支出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695.84</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695.84</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卫生健康支出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行政事业单位医疗</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行政单位医疗</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884.22</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住房保障支出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住房改革支出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2210201</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住房公积金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01"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2210203</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购房补贴</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625"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8897" w:type="dxa"/>
            <w:gridSpan w:val="11"/>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注：本表反映部门本年度取得的各项收入情况。</w:t>
            </w:r>
          </w:p>
        </w:tc>
      </w:tr>
    </w:tbl>
    <w:p/>
    <w:tbl>
      <w:tblPr>
        <w:jc w:val="left"/>
        <w:tblW w:w="875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71"/>
        <w:gridCol w:w="258"/>
        <w:gridCol w:w="250"/>
        <w:gridCol w:w="1881"/>
        <w:gridCol w:w="1276"/>
        <w:gridCol w:w="1134"/>
        <w:gridCol w:w="1134"/>
        <w:gridCol w:w="611"/>
        <w:gridCol w:w="664"/>
        <w:gridCol w:w="1276"/>
      </w:tblGrid>
      <w:tr>
        <w:trPr>
          <w:trHeight w:val="390"/>
        </w:trPr>
        <w:tc>
          <w:tcPr>
            <w:tcW w:w="8755" w:type="dxa"/>
            <w:gridSpan w:val="10"/>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支出决算表</w:t>
            </w:r>
          </w:p>
        </w:tc>
      </w:tr>
      <w:tr>
        <w:trPr>
          <w:trHeight w:val="255"/>
        </w:trPr>
        <w:tc>
          <w:tcPr>
            <w:tcW w:w="27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258"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250"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88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276"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1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6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276"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公开03表</w:t>
            </w:r>
          </w:p>
        </w:tc>
      </w:tr>
      <w:tr>
        <w:trPr>
          <w:trHeight w:val="255"/>
        </w:trPr>
        <w:tc>
          <w:tcPr>
            <w:tcW w:w="2660" w:type="dxa"/>
            <w:gridSpan w:val="4"/>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1276"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13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1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664"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276"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2660" w:type="dxa"/>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1276"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本年支出合计</w:t>
            </w:r>
          </w:p>
        </w:tc>
        <w:tc>
          <w:tcPr>
            <w:tcW w:w="1134"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基本支出</w:t>
            </w:r>
          </w:p>
        </w:tc>
        <w:tc>
          <w:tcPr>
            <w:tcW w:w="1134"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项目支出</w:t>
            </w:r>
          </w:p>
        </w:tc>
        <w:tc>
          <w:tcPr>
            <w:tcW w:w="611"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上缴上级支出</w:t>
            </w:r>
          </w:p>
        </w:tc>
        <w:tc>
          <w:tcPr>
            <w:tcW w:w="664"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经营支出</w:t>
            </w:r>
          </w:p>
        </w:tc>
        <w:tc>
          <w:tcPr>
            <w:tcW w:w="1276" w:type="dxa"/>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对附属单位补助支出</w:t>
            </w:r>
          </w:p>
        </w:tc>
      </w:tr>
      <w:tr>
        <w:trPr>
          <w:trHeight w:val="312"/>
        </w:trPr>
        <w:tc>
          <w:tcPr>
            <w:tcW w:w="779" w:type="dxa"/>
            <w:gridSpan w:val="3"/>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1881" w:type="dxa"/>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1276"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11" w:type="dxa"/>
            <w:vMerge/>
            <w:tcBorders>
              <w:top w:val="single" w:sz="4" w:space="0" w:color="000000"/>
              <w:left w:val="nil"/>
              <w:bottom w:val="single" w:sz="4" w:space="0" w:color="000000"/>
              <w:right w:val="single" w:sz="4" w:space="0" w:color="000000"/>
            </w:tcBorders>
            <w:vAlign w:val="center"/>
          </w:tcPr>
          <w:p/>
        </w:tc>
        <w:tc>
          <w:tcPr>
            <w:tcW w:w="664"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12"/>
        </w:trPr>
        <w:tc>
          <w:tcPr>
            <w:tcW w:w="779" w:type="dxa"/>
            <w:gridSpan w:val="3"/>
            <w:vMerge/>
            <w:tcBorders>
              <w:top w:val="nil"/>
              <w:left w:val="single" w:sz="4" w:space="0" w:color="000000"/>
              <w:bottom w:val="single" w:sz="4" w:space="0" w:color="000000"/>
              <w:right w:val="single" w:sz="4" w:space="0" w:color="000000"/>
            </w:tcBorders>
            <w:vAlign w:val="center"/>
          </w:tcPr>
          <w:p/>
        </w:tc>
        <w:tc>
          <w:tcPr>
            <w:tcW w:w="1881" w:type="dxa"/>
            <w:vMerge/>
            <w:tcBorders>
              <w:top w:val="nil"/>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11" w:type="dxa"/>
            <w:vMerge/>
            <w:tcBorders>
              <w:top w:val="single" w:sz="4" w:space="0" w:color="000000"/>
              <w:left w:val="nil"/>
              <w:bottom w:val="single" w:sz="4" w:space="0" w:color="000000"/>
              <w:right w:val="single" w:sz="4" w:space="0" w:color="000000"/>
            </w:tcBorders>
            <w:vAlign w:val="center"/>
          </w:tcPr>
          <w:p/>
        </w:tc>
        <w:tc>
          <w:tcPr>
            <w:tcW w:w="664"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12"/>
        </w:trPr>
        <w:tc>
          <w:tcPr>
            <w:tcW w:w="779" w:type="dxa"/>
            <w:gridSpan w:val="3"/>
            <w:vMerge/>
            <w:tcBorders>
              <w:top w:val="nil"/>
              <w:left w:val="single" w:sz="4" w:space="0" w:color="000000"/>
              <w:bottom w:val="single" w:sz="4" w:space="0" w:color="000000"/>
              <w:right w:val="single" w:sz="4" w:space="0" w:color="000000"/>
            </w:tcBorders>
            <w:vAlign w:val="center"/>
          </w:tcPr>
          <w:p/>
        </w:tc>
        <w:tc>
          <w:tcPr>
            <w:tcW w:w="1881" w:type="dxa"/>
            <w:vMerge/>
            <w:tcBorders>
              <w:top w:val="nil"/>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1134" w:type="dxa"/>
            <w:vMerge/>
            <w:tcBorders>
              <w:top w:val="single" w:sz="4" w:space="0" w:color="000000"/>
              <w:left w:val="nil"/>
              <w:bottom w:val="single" w:sz="4" w:space="0" w:color="000000"/>
              <w:right w:val="single" w:sz="4" w:space="0" w:color="000000"/>
            </w:tcBorders>
            <w:vAlign w:val="center"/>
          </w:tcPr>
          <w:p/>
        </w:tc>
        <w:tc>
          <w:tcPr>
            <w:tcW w:w="611" w:type="dxa"/>
            <w:vMerge/>
            <w:tcBorders>
              <w:top w:val="single" w:sz="4" w:space="0" w:color="000000"/>
              <w:left w:val="nil"/>
              <w:bottom w:val="single" w:sz="4" w:space="0" w:color="000000"/>
              <w:right w:val="single" w:sz="4" w:space="0" w:color="000000"/>
            </w:tcBorders>
            <w:vAlign w:val="center"/>
          </w:tcPr>
          <w:p/>
        </w:tc>
        <w:tc>
          <w:tcPr>
            <w:tcW w:w="664" w:type="dxa"/>
            <w:vMerge/>
            <w:tcBorders>
              <w:top w:val="single" w:sz="4" w:space="0" w:color="000000"/>
              <w:left w:val="nil"/>
              <w:bottom w:val="single" w:sz="4" w:space="0" w:color="000000"/>
              <w:right w:val="single" w:sz="4" w:space="0" w:color="000000"/>
            </w:tcBorders>
            <w:vAlign w:val="center"/>
          </w:tcPr>
          <w:p/>
        </w:tc>
        <w:tc>
          <w:tcPr>
            <w:tcW w:w="1276" w:type="dxa"/>
            <w:vMerge/>
            <w:tcBorders>
              <w:top w:val="single" w:sz="4" w:space="0" w:color="000000"/>
              <w:left w:val="nil"/>
              <w:bottom w:val="single" w:sz="4" w:space="0" w:color="000000"/>
              <w:right w:val="single" w:sz="4" w:space="0" w:color="000000"/>
            </w:tcBorders>
            <w:vAlign w:val="center"/>
          </w:tcPr>
          <w:p/>
        </w:tc>
      </w:tr>
      <w:tr>
        <w:trPr>
          <w:trHeight w:val="308"/>
        </w:trPr>
        <w:tc>
          <w:tcPr>
            <w:tcW w:w="2660"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1276"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134"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1134"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611"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664"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1276"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r>
      <w:tr>
        <w:trPr>
          <w:trHeight w:val="308"/>
        </w:trPr>
        <w:tc>
          <w:tcPr>
            <w:tcW w:w="2660"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30,859.01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25,190.63</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5,668.38</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一般公共服务支出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24,609.65</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19,184.53</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5,425.12</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海关事务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24,609.65</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19,184.53</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5,425.12</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17,673.08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17,673.08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2010902</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一般行政管理事务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112.39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112.39</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2010903</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机关服务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718.31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718.31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2010905</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缉私办案</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569.03</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569.03</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2010908</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2010909</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海关关务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3,925.24</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3,925.24</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2010910</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关税征管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海关监管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2010912</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检验检疫</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458.94</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458.94</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2010950</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事业运行</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793.14</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793.14</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公共安全支出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243.26</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缉私警察</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243.26</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2041006</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2041007</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缉私业务</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社会保障和就业支出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行政事业单位养老支出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行政单位离退休</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2080505</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机关事业单位基本养老保险缴费支出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1,225.49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1,225.49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2080506</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机关事业单位职业年金缴费支出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550.39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550.39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卫生健康支出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行政事业单位医疗</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行政单位医疗</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住房保障支出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住房改革支出</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2210201</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住房公积金</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77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2210203</w:t>
            </w:r>
          </w:p>
        </w:tc>
        <w:tc>
          <w:tcPr>
            <w:tcW w:w="1881"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购房补贴</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113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1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664"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8755" w:type="dxa"/>
            <w:gridSpan w:val="10"/>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注：本表反映部门本年度各项支出情况。</w:t>
            </w:r>
          </w:p>
        </w:tc>
      </w:tr>
    </w:tbl>
    <w:p/>
    <w:tbl>
      <w:tblPr>
        <w:jc w:val="left"/>
        <w:tblInd w:w="93" w:type="dxa"/>
        <w:tblW w:w="880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91"/>
        <w:gridCol w:w="502"/>
        <w:gridCol w:w="441"/>
        <w:gridCol w:w="1042"/>
        <w:gridCol w:w="1275"/>
        <w:gridCol w:w="312"/>
        <w:gridCol w:w="439"/>
        <w:gridCol w:w="723"/>
        <w:gridCol w:w="227"/>
        <w:gridCol w:w="711"/>
        <w:gridCol w:w="282"/>
        <w:gridCol w:w="179"/>
        <w:gridCol w:w="671"/>
        <w:gridCol w:w="709"/>
      </w:tblGrid>
      <w:tr>
        <w:trPr>
          <w:trHeight w:val="390"/>
        </w:trPr>
        <w:tc>
          <w:tcPr>
            <w:tcW w:w="8804" w:type="dxa"/>
            <w:gridSpan w:val="14"/>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财政拨款收入支出决算总表</w:t>
            </w:r>
          </w:p>
        </w:tc>
      </w:tr>
      <w:tr>
        <w:trPr>
          <w:trHeight w:val="255"/>
        </w:trPr>
        <w:tc>
          <w:tcPr>
            <w:tcW w:w="1793"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44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042"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587"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439"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723"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938"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461"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380" w:type="dxa"/>
            <w:gridSpan w:val="2"/>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公开04表</w:t>
            </w:r>
          </w:p>
        </w:tc>
      </w:tr>
      <w:tr>
        <w:trPr>
          <w:trHeight w:val="255"/>
        </w:trPr>
        <w:tc>
          <w:tcPr>
            <w:tcW w:w="1793"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441"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042"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587"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439"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723" w:type="dxa"/>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938"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461" w:type="dxa"/>
            <w:gridSpan w:val="2"/>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p>
        </w:tc>
        <w:tc>
          <w:tcPr>
            <w:tcW w:w="1380" w:type="dxa"/>
            <w:gridSpan w:val="2"/>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3276" w:type="dxa"/>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收     入</w:t>
            </w:r>
          </w:p>
        </w:tc>
        <w:tc>
          <w:tcPr>
            <w:tcW w:w="5528" w:type="dxa"/>
            <w:gridSpan w:val="10"/>
            <w:tcBorders>
              <w:top w:val="single" w:sz="4" w:space="0" w:color="000000"/>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支     出</w:t>
            </w:r>
          </w:p>
        </w:tc>
      </w:tr>
      <w:tr>
        <w:trPr>
          <w:trHeight w:val="312"/>
        </w:trPr>
        <w:tc>
          <w:tcPr>
            <w:tcW w:w="1291" w:type="dxa"/>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943"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行次</w:t>
            </w:r>
          </w:p>
        </w:tc>
        <w:tc>
          <w:tcPr>
            <w:tcW w:w="1042"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金额</w:t>
            </w:r>
          </w:p>
        </w:tc>
        <w:tc>
          <w:tcPr>
            <w:tcW w:w="1275"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751"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行次</w:t>
            </w:r>
          </w:p>
        </w:tc>
        <w:tc>
          <w:tcPr>
            <w:tcW w:w="950" w:type="dxa"/>
            <w:gridSpan w:val="2"/>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993"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一般公共预算财政拨款</w:t>
            </w:r>
          </w:p>
        </w:tc>
        <w:tc>
          <w:tcPr>
            <w:tcW w:w="850"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政府性基金预算财政拨款</w:t>
            </w:r>
          </w:p>
        </w:tc>
        <w:tc>
          <w:tcPr>
            <w:tcW w:w="709"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国有资本经营预算财政拨款</w:t>
            </w:r>
          </w:p>
        </w:tc>
      </w:tr>
      <w:tr>
        <w:trPr>
          <w:trHeight w:val="615"/>
        </w:trPr>
        <w:tc>
          <w:tcPr>
            <w:tcW w:w="1291" w:type="dxa"/>
            <w:vMerge/>
            <w:tcBorders>
              <w:top w:val="nil"/>
              <w:left w:val="single" w:sz="4" w:space="0" w:color="000000"/>
              <w:bottom w:val="single" w:sz="4" w:space="0" w:color="000000"/>
              <w:right w:val="single" w:sz="4" w:space="0" w:color="000000"/>
            </w:tcBorders>
            <w:vAlign w:val="center"/>
          </w:tcPr>
          <w:p/>
        </w:tc>
        <w:tc>
          <w:tcPr>
            <w:tcW w:w="943" w:type="dxa"/>
            <w:gridSpan w:val="2"/>
            <w:vMerge/>
            <w:tcBorders>
              <w:top w:val="nil"/>
              <w:left w:val="nil"/>
              <w:bottom w:val="single" w:sz="4" w:space="0" w:color="000000"/>
              <w:right w:val="single" w:sz="4" w:space="0" w:color="000000"/>
            </w:tcBorders>
            <w:vAlign w:val="center"/>
          </w:tcPr>
          <w:p/>
        </w:tc>
        <w:tc>
          <w:tcPr>
            <w:tcW w:w="1042" w:type="dxa"/>
            <w:vMerge/>
            <w:tcBorders>
              <w:top w:val="nil"/>
              <w:left w:val="nil"/>
              <w:bottom w:val="single" w:sz="4" w:space="0" w:color="000000"/>
              <w:right w:val="single" w:sz="4" w:space="0" w:color="000000"/>
            </w:tcBorders>
            <w:vAlign w:val="center"/>
          </w:tcPr>
          <w:p/>
        </w:tc>
        <w:tc>
          <w:tcPr>
            <w:tcW w:w="1275" w:type="dxa"/>
            <w:vMerge/>
            <w:tcBorders>
              <w:top w:val="nil"/>
              <w:left w:val="nil"/>
              <w:bottom w:val="single" w:sz="4" w:space="0" w:color="000000"/>
              <w:right w:val="single" w:sz="4" w:space="0" w:color="000000"/>
            </w:tcBorders>
            <w:vAlign w:val="center"/>
          </w:tcPr>
          <w:p/>
        </w:tc>
        <w:tc>
          <w:tcPr>
            <w:tcW w:w="751" w:type="dxa"/>
            <w:gridSpan w:val="2"/>
            <w:vMerge/>
            <w:tcBorders>
              <w:top w:val="nil"/>
              <w:left w:val="nil"/>
              <w:bottom w:val="single" w:sz="4" w:space="0" w:color="000000"/>
              <w:right w:val="single" w:sz="4" w:space="0" w:color="000000"/>
            </w:tcBorders>
            <w:vAlign w:val="center"/>
          </w:tcPr>
          <w:p/>
        </w:tc>
        <w:tc>
          <w:tcPr>
            <w:tcW w:w="950" w:type="dxa"/>
            <w:gridSpan w:val="2"/>
            <w:vMerge/>
            <w:tcBorders>
              <w:top w:val="nil"/>
              <w:left w:val="nil"/>
              <w:bottom w:val="single" w:sz="4" w:space="0" w:color="000000"/>
              <w:right w:val="single" w:sz="4" w:space="0" w:color="000000"/>
            </w:tcBorders>
            <w:vAlign w:val="center"/>
          </w:tcPr>
          <w:p/>
        </w:tc>
        <w:tc>
          <w:tcPr>
            <w:tcW w:w="993" w:type="dxa"/>
            <w:gridSpan w:val="2"/>
            <w:vMerge/>
            <w:tcBorders>
              <w:top w:val="nil"/>
              <w:left w:val="nil"/>
              <w:bottom w:val="single" w:sz="4" w:space="0" w:color="000000"/>
              <w:right w:val="single" w:sz="4" w:space="0" w:color="000000"/>
            </w:tcBorders>
            <w:vAlign w:val="center"/>
          </w:tcPr>
          <w:p/>
        </w:tc>
        <w:tc>
          <w:tcPr>
            <w:tcW w:w="850" w:type="dxa"/>
            <w:gridSpan w:val="2"/>
            <w:vMerge/>
            <w:tcBorders>
              <w:top w:val="nil"/>
              <w:left w:val="nil"/>
              <w:bottom w:val="single" w:sz="4" w:space="0" w:color="000000"/>
              <w:right w:val="single" w:sz="4" w:space="0" w:color="000000"/>
            </w:tcBorders>
            <w:vAlign w:val="center"/>
          </w:tcPr>
          <w:p/>
        </w:tc>
        <w:tc>
          <w:tcPr>
            <w:tcW w:w="709" w:type="dxa"/>
            <w:vMerge/>
            <w:tcBorders>
              <w:top w:val="nil"/>
              <w:left w:val="nil"/>
              <w:bottom w:val="single" w:sz="4" w:space="0" w:color="000000"/>
              <w:right w:val="single" w:sz="4" w:space="0" w:color="000000"/>
            </w:tcBorders>
            <w:vAlign w:val="center"/>
          </w:tcP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　</w:t>
            </w:r>
          </w:p>
        </w:tc>
        <w:tc>
          <w:tcPr>
            <w:tcW w:w="1042"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　</w:t>
            </w:r>
          </w:p>
        </w:tc>
        <w:tc>
          <w:tcPr>
            <w:tcW w:w="950"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99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850"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709"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一、一般公共预算财政拨款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29,430.29</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一、一般公共服务支出</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12</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20,728.34</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20,728.34</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二、政府性基金预算财政拨款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二、公共安全支出</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13</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三、国有资本经营预算财政拨款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三、社会保障和就业支出</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14</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四、卫生健康支出</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15</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五、住房保障支出</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16</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本年收入合计</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29,430.29</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本年支出合计</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17</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26,977.70</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26,977.70</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年初财政拨款结转和结余</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7</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2,853.90</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年末财政拨款结转和结余</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8</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5,306.49</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5,306.49</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一般公共预算财政拨款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8</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2,853.90</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19</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政府性基金预算财政拨款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9</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20</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国有资本经营预算财政拨款</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10</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21</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1291" w:type="dxa"/>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总计</w:t>
            </w:r>
          </w:p>
        </w:tc>
        <w:tc>
          <w:tcPr>
            <w:tcW w:w="943"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11</w:t>
            </w:r>
          </w:p>
        </w:tc>
        <w:tc>
          <w:tcPr>
            <w:tcW w:w="104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32,284.19</w:t>
            </w:r>
          </w:p>
        </w:tc>
        <w:tc>
          <w:tcPr>
            <w:tcW w:w="1275"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b/>
                <w:bCs/>
                <w:color w:val="000000"/>
                <w:kern w:val="0"/>
                <w:sz w:val="16"/>
                <w:szCs w:val="16"/>
              </w:rPr>
            </w:pPr>
            <w:r>
              <w:rPr>
                <w:rFonts w:ascii="宋体" w:eastAsia="宋体" w:cs="Arial" w:hint="eastAsia"/>
                <w:b/>
                <w:bCs/>
                <w:color w:val="000000"/>
                <w:kern w:val="0"/>
                <w:sz w:val="16"/>
                <w:szCs w:val="16"/>
              </w:rPr>
              <w:t>总计</w:t>
            </w:r>
          </w:p>
        </w:tc>
        <w:tc>
          <w:tcPr>
            <w:tcW w:w="751" w:type="dxa"/>
            <w:gridSpan w:val="2"/>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22</w:t>
            </w:r>
          </w:p>
        </w:tc>
        <w:tc>
          <w:tcPr>
            <w:tcW w:w="9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32,284.19</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32,284.19</w:t>
            </w:r>
          </w:p>
        </w:tc>
        <w:tc>
          <w:tcPr>
            <w:tcW w:w="850"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8095" w:type="dxa"/>
            <w:gridSpan w:val="13"/>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注：本表反映部门本年度一般公共预算财政拨款、政府性基金预算财政拨款和国有资本经营预算财政拨款的总收支和年末结转结余情况。</w:t>
            </w:r>
          </w:p>
        </w:tc>
        <w:tc>
          <w:tcPr>
            <w:tcW w:w="709" w:type="dxa"/>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p>
        </w:tc>
      </w:tr>
    </w:tbl>
    <w:p/>
    <w:p/>
    <w:p/>
    <w:p/>
    <w:p/>
    <w:p/>
    <w:p/>
    <w:p/>
    <w:p/>
    <w:p/>
    <w:tbl>
      <w:tblPr>
        <w:jc w:val="left"/>
        <w:tblInd w:w="93"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49"/>
        <w:gridCol w:w="317"/>
        <w:gridCol w:w="483"/>
        <w:gridCol w:w="2552"/>
        <w:gridCol w:w="1559"/>
        <w:gridCol w:w="1418"/>
        <w:gridCol w:w="1751"/>
      </w:tblGrid>
      <w:tr>
        <w:trPr>
          <w:trHeight w:val="390"/>
        </w:trPr>
        <w:tc>
          <w:tcPr>
            <w:tcW w:w="8429" w:type="dxa"/>
            <w:gridSpan w:val="7"/>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一般公共预算财政拨款支出决算表</w:t>
            </w:r>
          </w:p>
        </w:tc>
      </w:tr>
      <w:tr>
        <w:trPr>
          <w:trHeight w:val="255"/>
        </w:trPr>
        <w:tc>
          <w:tcPr>
            <w:tcW w:w="349"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317"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483"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2552"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559"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418"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751"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公开05表</w:t>
            </w:r>
          </w:p>
        </w:tc>
      </w:tr>
      <w:tr>
        <w:trPr>
          <w:trHeight w:val="255"/>
        </w:trPr>
        <w:tc>
          <w:tcPr>
            <w:tcW w:w="3701" w:type="dxa"/>
            <w:gridSpan w:val="4"/>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1559"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418"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751" w:type="dxa"/>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3701" w:type="dxa"/>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4728" w:type="dxa"/>
            <w:gridSpan w:val="3"/>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本年支出</w:t>
            </w:r>
          </w:p>
        </w:tc>
      </w:tr>
      <w:tr>
        <w:trPr>
          <w:trHeight w:val="312"/>
        </w:trPr>
        <w:tc>
          <w:tcPr>
            <w:tcW w:w="1149" w:type="dxa"/>
            <w:gridSpan w:val="3"/>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2552" w:type="dxa"/>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1559"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小计</w:t>
            </w:r>
          </w:p>
        </w:tc>
        <w:tc>
          <w:tcPr>
            <w:tcW w:w="1418"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基本支出</w:t>
            </w:r>
          </w:p>
        </w:tc>
        <w:tc>
          <w:tcPr>
            <w:tcW w:w="1751"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项目支出</w:t>
            </w:r>
          </w:p>
        </w:tc>
      </w:tr>
      <w:tr>
        <w:trPr>
          <w:trHeight w:val="312"/>
        </w:trPr>
        <w:tc>
          <w:tcPr>
            <w:tcW w:w="1149" w:type="dxa"/>
            <w:gridSpan w:val="3"/>
            <w:vMerge/>
            <w:tcBorders>
              <w:top w:val="nil"/>
              <w:left w:val="single" w:sz="4" w:space="0" w:color="000000"/>
              <w:bottom w:val="single" w:sz="4" w:space="0" w:color="000000"/>
              <w:right w:val="single" w:sz="4" w:space="0" w:color="000000"/>
            </w:tcBorders>
            <w:vAlign w:val="center"/>
          </w:tcPr>
          <w:p/>
        </w:tc>
        <w:tc>
          <w:tcPr>
            <w:tcW w:w="2552" w:type="dxa"/>
            <w:vMerge/>
            <w:tcBorders>
              <w:top w:val="nil"/>
              <w:left w:val="nil"/>
              <w:bottom w:val="single" w:sz="4" w:space="0" w:color="000000"/>
              <w:right w:val="single" w:sz="4" w:space="0" w:color="000000"/>
            </w:tcBorders>
            <w:vAlign w:val="center"/>
          </w:tcPr>
          <w:p/>
        </w:tc>
        <w:tc>
          <w:tcPr>
            <w:tcW w:w="1559" w:type="dxa"/>
            <w:vMerge/>
            <w:tcBorders>
              <w:top w:val="nil"/>
              <w:left w:val="nil"/>
              <w:bottom w:val="single" w:sz="4" w:space="0" w:color="000000"/>
              <w:right w:val="single" w:sz="4" w:space="0" w:color="000000"/>
            </w:tcBorders>
            <w:vAlign w:val="center"/>
          </w:tcPr>
          <w:p/>
        </w:tc>
        <w:tc>
          <w:tcPr>
            <w:tcW w:w="1418" w:type="dxa"/>
            <w:vMerge/>
            <w:tcBorders>
              <w:top w:val="nil"/>
              <w:left w:val="nil"/>
              <w:bottom w:val="single" w:sz="4" w:space="0" w:color="000000"/>
              <w:right w:val="single" w:sz="4" w:space="0" w:color="000000"/>
            </w:tcBorders>
            <w:vAlign w:val="center"/>
          </w:tcPr>
          <w:p/>
        </w:tc>
        <w:tc>
          <w:tcPr>
            <w:tcW w:w="1751" w:type="dxa"/>
            <w:vMerge/>
            <w:tcBorders>
              <w:top w:val="nil"/>
              <w:left w:val="nil"/>
              <w:bottom w:val="single" w:sz="4" w:space="0" w:color="000000"/>
              <w:right w:val="single" w:sz="4" w:space="0" w:color="000000"/>
            </w:tcBorders>
            <w:vAlign w:val="center"/>
          </w:tcPr>
          <w:p/>
        </w:tc>
      </w:tr>
      <w:tr>
        <w:trPr>
          <w:trHeight w:val="312"/>
        </w:trPr>
        <w:tc>
          <w:tcPr>
            <w:tcW w:w="1149" w:type="dxa"/>
            <w:gridSpan w:val="3"/>
            <w:vMerge/>
            <w:tcBorders>
              <w:top w:val="nil"/>
              <w:left w:val="single" w:sz="4" w:space="0" w:color="000000"/>
              <w:bottom w:val="single" w:sz="4" w:space="0" w:color="000000"/>
              <w:right w:val="single" w:sz="4" w:space="0" w:color="000000"/>
            </w:tcBorders>
            <w:vAlign w:val="center"/>
          </w:tcPr>
          <w:p/>
        </w:tc>
        <w:tc>
          <w:tcPr>
            <w:tcW w:w="2552" w:type="dxa"/>
            <w:vMerge/>
            <w:tcBorders>
              <w:top w:val="nil"/>
              <w:left w:val="nil"/>
              <w:bottom w:val="single" w:sz="4" w:space="0" w:color="000000"/>
              <w:right w:val="single" w:sz="4" w:space="0" w:color="000000"/>
            </w:tcBorders>
            <w:vAlign w:val="center"/>
          </w:tcPr>
          <w:p/>
        </w:tc>
        <w:tc>
          <w:tcPr>
            <w:tcW w:w="1559" w:type="dxa"/>
            <w:vMerge/>
            <w:tcBorders>
              <w:top w:val="nil"/>
              <w:left w:val="nil"/>
              <w:bottom w:val="single" w:sz="4" w:space="0" w:color="000000"/>
              <w:right w:val="single" w:sz="4" w:space="0" w:color="000000"/>
            </w:tcBorders>
            <w:vAlign w:val="center"/>
          </w:tcPr>
          <w:p/>
        </w:tc>
        <w:tc>
          <w:tcPr>
            <w:tcW w:w="1418" w:type="dxa"/>
            <w:vMerge/>
            <w:tcBorders>
              <w:top w:val="nil"/>
              <w:left w:val="nil"/>
              <w:bottom w:val="single" w:sz="4" w:space="0" w:color="000000"/>
              <w:right w:val="single" w:sz="4" w:space="0" w:color="000000"/>
            </w:tcBorders>
            <w:vAlign w:val="center"/>
          </w:tcPr>
          <w:p/>
        </w:tc>
        <w:tc>
          <w:tcPr>
            <w:tcW w:w="1751" w:type="dxa"/>
            <w:vMerge/>
            <w:tcBorders>
              <w:top w:val="nil"/>
              <w:left w:val="nil"/>
              <w:bottom w:val="single" w:sz="4" w:space="0" w:color="000000"/>
              <w:right w:val="single" w:sz="4" w:space="0" w:color="000000"/>
            </w:tcBorders>
            <w:vAlign w:val="center"/>
          </w:tcPr>
          <w:p/>
        </w:tc>
      </w:tr>
      <w:tr>
        <w:trPr>
          <w:trHeight w:val="308"/>
        </w:trPr>
        <w:tc>
          <w:tcPr>
            <w:tcW w:w="3701"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1559"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1418"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1751" w:type="dxa"/>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r>
      <w:tr>
        <w:trPr>
          <w:trHeight w:val="308"/>
        </w:trPr>
        <w:tc>
          <w:tcPr>
            <w:tcW w:w="3701"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26,977.70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24,340.04</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2,637.65</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一般公共服务支出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20,728.34</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18,333.94</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2,394.39</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海关事务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20,728.34</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18,333.94</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2,394.39</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17,369.21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17,369.21</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2010902</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一般行政管理事务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17.21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17.21</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2010903</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机关服务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342.33</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342.33</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2010905</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缉私办案</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358.94</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358.94</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2010908</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285.00</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2010909</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海关关务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1,199.80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1,199.80</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2010910</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关税征管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5.00</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海关监管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69.51</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2010912</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检验检疫</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458.94</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458.94</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2010950</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事业运行</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622.40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622.40</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公共安全支出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243.26</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缉私警察</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1,835.78</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243.26</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行政运行</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1,592.52</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2041006</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信息化建设</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102.40</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2041007</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缉私业务</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140.86</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社会保障和就业支出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行政事业单位养老支出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1,787.88</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行政单位离退休</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12.00</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2080505</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机关事业单位基本养老保险缴费支出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1,225.49</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1,225.49</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2080506</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机关事业单位职业年金缴费支出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550.39</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550.39</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卫生健康支出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行政事业单位医疗</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2101101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行政单位医疗</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住房保障支出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住房改革支出</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1,884.91</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2210201</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住房公积金</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1149"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2210203</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购房补贴</w:t>
            </w:r>
          </w:p>
        </w:tc>
        <w:tc>
          <w:tcPr>
            <w:tcW w:w="15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543.00</w:t>
            </w:r>
          </w:p>
        </w:tc>
        <w:tc>
          <w:tcPr>
            <w:tcW w:w="1751"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8429" w:type="dxa"/>
            <w:gridSpan w:val="7"/>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注：本表反映部门本年度一般公共预算财政拨款支出情况。</w:t>
            </w:r>
          </w:p>
        </w:tc>
      </w:tr>
    </w:tbl>
    <w:p/>
    <w:tbl>
      <w:tblPr>
        <w:jc w:val="left"/>
        <w:tblInd w:w="-318" w:type="dxa"/>
        <w:tblW w:w="1006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67"/>
        <w:gridCol w:w="126"/>
        <w:gridCol w:w="1541"/>
        <w:gridCol w:w="444"/>
        <w:gridCol w:w="992"/>
        <w:gridCol w:w="236"/>
        <w:gridCol w:w="473"/>
        <w:gridCol w:w="711"/>
        <w:gridCol w:w="603"/>
        <w:gridCol w:w="103"/>
        <w:gridCol w:w="355"/>
        <w:gridCol w:w="638"/>
        <w:gridCol w:w="992"/>
        <w:gridCol w:w="424"/>
        <w:gridCol w:w="335"/>
        <w:gridCol w:w="233"/>
        <w:gridCol w:w="329"/>
        <w:gridCol w:w="663"/>
      </w:tblGrid>
      <w:tr>
        <w:trPr>
          <w:trHeight w:val="390"/>
          <w:gridAfter w:val="3"/>
          <w:wAfter w:w="1225" w:type="dxa"/>
        </w:trPr>
        <w:tc>
          <w:tcPr>
            <w:tcW w:w="8840" w:type="dxa"/>
            <w:gridSpan w:val="15"/>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一般公共预算财政拨款基本支出决算明细表</w:t>
            </w:r>
          </w:p>
        </w:tc>
      </w:tr>
      <w:tr>
        <w:trPr>
          <w:trHeight w:val="255"/>
          <w:gridAfter w:val="1"/>
          <w:wAfter w:w="663" w:type="dxa"/>
        </w:trPr>
        <w:tc>
          <w:tcPr>
            <w:tcW w:w="867"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667"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436"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236"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184"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03"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458"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2054" w:type="dxa"/>
            <w:gridSpan w:val="3"/>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97" w:type="dxa"/>
            <w:gridSpan w:val="3"/>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公开06表</w:t>
            </w:r>
          </w:p>
        </w:tc>
      </w:tr>
      <w:tr>
        <w:trPr>
          <w:trHeight w:val="255"/>
          <w:gridAfter w:val="1"/>
          <w:wAfter w:w="663" w:type="dxa"/>
        </w:trPr>
        <w:tc>
          <w:tcPr>
            <w:tcW w:w="2534" w:type="dxa"/>
            <w:gridSpan w:val="3"/>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1436"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236"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184"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03"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458"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2054" w:type="dxa"/>
            <w:gridSpan w:val="3"/>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97" w:type="dxa"/>
            <w:gridSpan w:val="3"/>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3970" w:type="dxa"/>
            <w:gridSpan w:val="5"/>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人员经费</w:t>
            </w:r>
          </w:p>
        </w:tc>
        <w:tc>
          <w:tcPr>
            <w:tcW w:w="6095" w:type="dxa"/>
            <w:gridSpan w:val="13"/>
            <w:tcBorders>
              <w:top w:val="single" w:sz="4" w:space="0" w:color="000000"/>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公用经费</w:t>
            </w:r>
          </w:p>
        </w:tc>
      </w:tr>
      <w:tr>
        <w:trPr>
          <w:trHeight w:val="312"/>
        </w:trPr>
        <w:tc>
          <w:tcPr>
            <w:tcW w:w="993" w:type="dxa"/>
            <w:gridSpan w:val="2"/>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1985"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992"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决算数</w:t>
            </w:r>
          </w:p>
        </w:tc>
        <w:tc>
          <w:tcPr>
            <w:tcW w:w="709"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1417" w:type="dxa"/>
            <w:gridSpan w:val="3"/>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993"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决算数</w:t>
            </w:r>
          </w:p>
        </w:tc>
        <w:tc>
          <w:tcPr>
            <w:tcW w:w="992"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992" w:type="dxa"/>
            <w:gridSpan w:val="3"/>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992"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决算数</w:t>
            </w:r>
          </w:p>
        </w:tc>
      </w:tr>
      <w:tr>
        <w:trPr>
          <w:trHeight w:val="312"/>
        </w:trPr>
        <w:tc>
          <w:tcPr>
            <w:tcW w:w="993" w:type="dxa"/>
            <w:gridSpan w:val="2"/>
            <w:vMerge/>
            <w:tcBorders>
              <w:top w:val="nil"/>
              <w:left w:val="single" w:sz="4" w:space="0" w:color="000000"/>
              <w:bottom w:val="single" w:sz="4" w:space="0" w:color="000000"/>
              <w:right w:val="single" w:sz="4" w:space="0" w:color="000000"/>
            </w:tcBorders>
            <w:vAlign w:val="center"/>
          </w:tcPr>
          <w:p/>
        </w:tc>
        <w:tc>
          <w:tcPr>
            <w:tcW w:w="1985" w:type="dxa"/>
            <w:gridSpan w:val="2"/>
            <w:vMerge/>
            <w:tcBorders>
              <w:top w:val="nil"/>
              <w:left w:val="nil"/>
              <w:bottom w:val="single" w:sz="4" w:space="0" w:color="000000"/>
              <w:right w:val="single" w:sz="4" w:space="0" w:color="000000"/>
            </w:tcBorders>
            <w:vAlign w:val="center"/>
          </w:tcPr>
          <w:p/>
        </w:tc>
        <w:tc>
          <w:tcPr>
            <w:tcW w:w="992" w:type="dxa"/>
            <w:vMerge/>
            <w:tcBorders>
              <w:top w:val="nil"/>
              <w:left w:val="nil"/>
              <w:bottom w:val="single" w:sz="4" w:space="0" w:color="000000"/>
              <w:right w:val="single" w:sz="4" w:space="0" w:color="000000"/>
            </w:tcBorders>
            <w:vAlign w:val="center"/>
          </w:tcPr>
          <w:p/>
        </w:tc>
        <w:tc>
          <w:tcPr>
            <w:tcW w:w="709" w:type="dxa"/>
            <w:gridSpan w:val="2"/>
            <w:vMerge/>
            <w:tcBorders>
              <w:top w:val="nil"/>
              <w:left w:val="nil"/>
              <w:bottom w:val="single" w:sz="4" w:space="0" w:color="000000"/>
              <w:right w:val="single" w:sz="4" w:space="0" w:color="000000"/>
            </w:tcBorders>
            <w:vAlign w:val="center"/>
          </w:tcPr>
          <w:p/>
        </w:tc>
        <w:tc>
          <w:tcPr>
            <w:tcW w:w="1417" w:type="dxa"/>
            <w:gridSpan w:val="3"/>
            <w:vMerge/>
            <w:tcBorders>
              <w:top w:val="nil"/>
              <w:left w:val="nil"/>
              <w:bottom w:val="single" w:sz="4" w:space="0" w:color="000000"/>
              <w:right w:val="single" w:sz="4" w:space="0" w:color="000000"/>
            </w:tcBorders>
            <w:vAlign w:val="center"/>
          </w:tcPr>
          <w:p/>
        </w:tc>
        <w:tc>
          <w:tcPr>
            <w:tcW w:w="993" w:type="dxa"/>
            <w:gridSpan w:val="2"/>
            <w:vMerge/>
            <w:tcBorders>
              <w:top w:val="nil"/>
              <w:left w:val="nil"/>
              <w:bottom w:val="single" w:sz="4" w:space="0" w:color="000000"/>
              <w:right w:val="single" w:sz="4" w:space="0" w:color="000000"/>
            </w:tcBorders>
            <w:vAlign w:val="center"/>
          </w:tcPr>
          <w:p/>
        </w:tc>
        <w:tc>
          <w:tcPr>
            <w:tcW w:w="992" w:type="dxa"/>
            <w:vMerge/>
            <w:tcBorders>
              <w:top w:val="nil"/>
              <w:left w:val="nil"/>
              <w:bottom w:val="single" w:sz="4" w:space="0" w:color="000000"/>
              <w:right w:val="single" w:sz="4" w:space="0" w:color="000000"/>
            </w:tcBorders>
            <w:vAlign w:val="center"/>
          </w:tcPr>
          <w:p/>
        </w:tc>
        <w:tc>
          <w:tcPr>
            <w:tcW w:w="992" w:type="dxa"/>
            <w:gridSpan w:val="3"/>
            <w:vMerge/>
            <w:tcBorders>
              <w:top w:val="nil"/>
              <w:left w:val="nil"/>
              <w:bottom w:val="single" w:sz="4" w:space="0" w:color="000000"/>
              <w:right w:val="single" w:sz="4" w:space="0" w:color="000000"/>
            </w:tcBorders>
            <w:vAlign w:val="center"/>
          </w:tcPr>
          <w:p/>
        </w:tc>
        <w:tc>
          <w:tcPr>
            <w:tcW w:w="992" w:type="dxa"/>
            <w:gridSpan w:val="2"/>
            <w:vMerge/>
            <w:tcBorders>
              <w:top w:val="nil"/>
              <w:left w:val="nil"/>
              <w:bottom w:val="single" w:sz="4" w:space="0" w:color="000000"/>
              <w:right w:val="single" w:sz="4" w:space="0" w:color="000000"/>
            </w:tcBorders>
            <w:vAlign w:val="center"/>
          </w:tcP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工资福利支出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20,221.63</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商品和服务支出</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3,994.43</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307</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债务利息及费用支出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30101</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基本工资</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2,551.90</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30201</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办公费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410.60</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30701</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国内债务付息</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30102</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津贴补贴</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13,623.10</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30202</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印刷费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12.52</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30702</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国外债务付息</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30103</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奖金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114.60</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30203</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咨询费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资本性支出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52.27</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30106</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伙食补助费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30204</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手续费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0.28</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31001</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房屋建筑物购建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30107</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绩效工资</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30205</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水费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16.55</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31002</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办公设备购置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21.21</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30108</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机关事业单位基本养老保险缴费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1,225.49</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30206</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电费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262.41</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31003</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专用设备购置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28.82</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30109</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职业年金缴费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550.39</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30207</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邮电费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19.12</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31005</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基础设施建设</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30110</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职工基本医疗保险缴费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740.79</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30208</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取暖费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12.30</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31006</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大型修缮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30111</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公务员医疗补助缴费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30209</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物业管理费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1,353.88</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31007</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信息网络及软件购置更新</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30112</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其他社会保障缴费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73.44</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30211</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差旅费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281.29</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31008</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物资储备</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30113</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住房公积金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1,341.91</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30212</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因公出国（境）费用</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31009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土地补偿</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30114</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医疗费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30213</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维修（护）费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386.12</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31010</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安置补助</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30199</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其他工资福利支出</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30214</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租赁费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40.26</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31011</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地上附着物和青苗补偿</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对个人和家庭的补助</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71.71</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30215</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会议费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0.66</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31012</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拆迁补偿</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30301</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离休费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30216</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培训费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4.78</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31013</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公务用车购置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30302</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退休费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30217</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公务接待费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31019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其他交通工具购置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30303</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退职（役）费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30218</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专用材料费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41.67</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31021</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文物和陈列品购置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30304</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抚恤金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69.80</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30224</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被装购置费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41.63</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31022</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无形资产购置</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2.24</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30305</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生活补助</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1.30</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30225</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专用燃料费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3.48</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31099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其他资本性支出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30306</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救济费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30226</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劳务费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12.69</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其他支出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30307</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医疗费补助</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30227</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委托业务费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607.82</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39907</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国家赔偿费用支出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30308</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助学金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30228</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工会经费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203.21</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39908</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对民间非营利组织和群众性自治组织补贴</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30309</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奖励金</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30229</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福利费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39909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经常性赠与</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30310</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个人农业生产补贴</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30231</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公务用车运行维护费</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75.43</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39910</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资本性赠与</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30311</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代缴社会保险费</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30239</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其他交通费用</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39999</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其他支出</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30399</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其他对个人和家庭的补助</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0.61</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30240</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税金及附加费用</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93" w:type="dxa"/>
            <w:gridSpan w:val="2"/>
            <w:tcBorders>
              <w:top w:val="nil"/>
              <w:left w:val="single" w:sz="4" w:space="0" w:color="000000"/>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985"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709" w:type="dxa"/>
            <w:gridSpan w:val="2"/>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30299</w:t>
            </w:r>
          </w:p>
        </w:tc>
        <w:tc>
          <w:tcPr>
            <w:tcW w:w="1417"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xml:space="preserve">  其他商品和服务支出</w:t>
            </w:r>
          </w:p>
        </w:tc>
        <w:tc>
          <w:tcPr>
            <w:tcW w:w="993"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207.72</w:t>
            </w:r>
          </w:p>
        </w:tc>
        <w:tc>
          <w:tcPr>
            <w:tcW w:w="992" w:type="dxa"/>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92" w:type="dxa"/>
            <w:gridSpan w:val="3"/>
            <w:tcBorders>
              <w:top w:val="nil"/>
              <w:left w:val="nil"/>
              <w:bottom w:val="single" w:sz="4" w:space="0" w:color="000000"/>
              <w:right w:val="single" w:sz="4" w:space="0" w:color="000000"/>
            </w:tcBorders>
            <w:shd w:val="clear" w:color="FFFFFF" w:fill="C0C0C0"/>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2978" w:type="dxa"/>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人员经费合计</w:t>
            </w:r>
          </w:p>
        </w:tc>
        <w:tc>
          <w:tcPr>
            <w:tcW w:w="992"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20,293.34</w:t>
            </w:r>
          </w:p>
        </w:tc>
        <w:tc>
          <w:tcPr>
            <w:tcW w:w="5103" w:type="dxa"/>
            <w:gridSpan w:val="11"/>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公用经费合计</w:t>
            </w:r>
          </w:p>
        </w:tc>
        <w:tc>
          <w:tcPr>
            <w:tcW w:w="992"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4,046.70</w:t>
            </w:r>
          </w:p>
        </w:tc>
      </w:tr>
      <w:tr>
        <w:trPr>
          <w:trHeight w:val="308"/>
        </w:trPr>
        <w:tc>
          <w:tcPr>
            <w:tcW w:w="10065" w:type="dxa"/>
            <w:gridSpan w:val="18"/>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注：本表反映部门本年度一般公共预算财政拨款基本支出明细情况。</w:t>
            </w:r>
          </w:p>
        </w:tc>
      </w:tr>
    </w:tbl>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46"/>
        <w:gridCol w:w="344"/>
        <w:gridCol w:w="346"/>
        <w:gridCol w:w="1037"/>
        <w:gridCol w:w="1616"/>
        <w:gridCol w:w="1037"/>
        <w:gridCol w:w="649"/>
        <w:gridCol w:w="1037"/>
        <w:gridCol w:w="1037"/>
        <w:gridCol w:w="1616"/>
      </w:tblGrid>
      <w:tr>
        <w:trPr>
          <w:trHeight w:val="390"/>
        </w:trPr>
        <w:tc>
          <w:tcPr>
            <w:tcW w:w="5000" w:type="pct"/>
            <w:gridSpan w:val="10"/>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政府性基金预算财政拨款收入支出决算表</w:t>
            </w:r>
          </w:p>
        </w:tc>
      </w:tr>
      <w:tr>
        <w:trPr>
          <w:trHeight w:val="255"/>
        </w:trPr>
        <w:tc>
          <w:tcPr>
            <w:tcW w:w="191"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90"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90"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9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358"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92"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公开07表</w:t>
            </w:r>
          </w:p>
        </w:tc>
      </w:tr>
      <w:tr>
        <w:trPr>
          <w:trHeight w:val="255"/>
        </w:trPr>
        <w:tc>
          <w:tcPr>
            <w:tcW w:w="1143" w:type="pct"/>
            <w:gridSpan w:val="4"/>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89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358"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92"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1143" w:type="pct"/>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892" w:type="pct"/>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年初结转和结余</w:t>
            </w:r>
          </w:p>
        </w:tc>
        <w:tc>
          <w:tcPr>
            <w:tcW w:w="572" w:type="pct"/>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本年收入</w:t>
            </w:r>
          </w:p>
        </w:tc>
        <w:tc>
          <w:tcPr>
            <w:tcW w:w="1501" w:type="pct"/>
            <w:gridSpan w:val="3"/>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本年支出</w:t>
            </w:r>
          </w:p>
        </w:tc>
        <w:tc>
          <w:tcPr>
            <w:tcW w:w="892" w:type="pct"/>
            <w:vMerge w:val="restart"/>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年末结转和结余</w:t>
            </w:r>
          </w:p>
        </w:tc>
      </w:tr>
      <w:tr>
        <w:trPr>
          <w:trHeight w:val="312"/>
        </w:trPr>
        <w:tc>
          <w:tcPr>
            <w:tcW w:w="572" w:type="pct"/>
            <w:gridSpan w:val="3"/>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572" w:type="pct"/>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892" w:type="pct"/>
            <w:vMerge/>
            <w:tcBorders>
              <w:top w:val="single" w:sz="4" w:space="0" w:color="000000"/>
              <w:left w:val="nil"/>
              <w:bottom w:val="single" w:sz="4" w:space="0" w:color="000000"/>
              <w:right w:val="single" w:sz="4" w:space="0" w:color="000000"/>
            </w:tcBorders>
            <w:vAlign w:val="center"/>
          </w:tcPr>
          <w:p/>
        </w:tc>
        <w:tc>
          <w:tcPr>
            <w:tcW w:w="572" w:type="pct"/>
            <w:vMerge/>
            <w:tcBorders>
              <w:top w:val="single" w:sz="4" w:space="0" w:color="000000"/>
              <w:left w:val="nil"/>
              <w:bottom w:val="single" w:sz="4" w:space="0" w:color="000000"/>
              <w:right w:val="single" w:sz="4" w:space="0" w:color="000000"/>
            </w:tcBorders>
            <w:vAlign w:val="center"/>
          </w:tcPr>
          <w:p/>
        </w:tc>
        <w:tc>
          <w:tcPr>
            <w:tcW w:w="358"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小计</w:t>
            </w:r>
          </w:p>
        </w:tc>
        <w:tc>
          <w:tcPr>
            <w:tcW w:w="572"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基本支出</w:t>
            </w:r>
          </w:p>
        </w:tc>
        <w:tc>
          <w:tcPr>
            <w:tcW w:w="572"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项目支出</w:t>
            </w:r>
          </w:p>
        </w:tc>
        <w:tc>
          <w:tcPr>
            <w:tcW w:w="892" w:type="pct"/>
            <w:vMerge/>
            <w:tcBorders>
              <w:top w:val="single" w:sz="4" w:space="0" w:color="000000"/>
              <w:left w:val="nil"/>
              <w:bottom w:val="single" w:sz="4" w:space="0" w:color="000000"/>
              <w:right w:val="single" w:sz="4" w:space="0" w:color="000000"/>
            </w:tcBorders>
            <w:vAlign w:val="center"/>
          </w:tcPr>
          <w:p/>
        </w:tc>
      </w:tr>
      <w:tr>
        <w:trPr>
          <w:trHeight w:val="312"/>
        </w:trPr>
        <w:tc>
          <w:tcPr>
            <w:tcW w:w="572" w:type="pct"/>
            <w:gridSpan w:val="3"/>
            <w:vMerge/>
            <w:tcBorders>
              <w:top w:val="nil"/>
              <w:left w:val="single" w:sz="4" w:space="0" w:color="000000"/>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892" w:type="pct"/>
            <w:vMerge/>
            <w:tcBorders>
              <w:top w:val="single" w:sz="4" w:space="0" w:color="000000"/>
              <w:left w:val="nil"/>
              <w:bottom w:val="single" w:sz="4" w:space="0" w:color="000000"/>
              <w:right w:val="single" w:sz="4" w:space="0" w:color="000000"/>
            </w:tcBorders>
            <w:vAlign w:val="center"/>
          </w:tcPr>
          <w:p/>
        </w:tc>
        <w:tc>
          <w:tcPr>
            <w:tcW w:w="572" w:type="pct"/>
            <w:vMerge/>
            <w:tcBorders>
              <w:top w:val="single" w:sz="4" w:space="0" w:color="000000"/>
              <w:left w:val="nil"/>
              <w:bottom w:val="single" w:sz="4" w:space="0" w:color="000000"/>
              <w:right w:val="single" w:sz="4" w:space="0" w:color="000000"/>
            </w:tcBorders>
            <w:vAlign w:val="center"/>
          </w:tcPr>
          <w:p/>
        </w:tc>
        <w:tc>
          <w:tcPr>
            <w:tcW w:w="358" w:type="pct"/>
            <w:vMerge/>
            <w:tcBorders>
              <w:top w:val="nil"/>
              <w:left w:val="nil"/>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892" w:type="pct"/>
            <w:vMerge/>
            <w:tcBorders>
              <w:top w:val="single" w:sz="4" w:space="0" w:color="000000"/>
              <w:left w:val="nil"/>
              <w:bottom w:val="single" w:sz="4" w:space="0" w:color="000000"/>
              <w:right w:val="single" w:sz="4" w:space="0" w:color="000000"/>
            </w:tcBorders>
            <w:vAlign w:val="center"/>
          </w:tcPr>
          <w:p/>
        </w:tc>
      </w:tr>
      <w:tr>
        <w:trPr>
          <w:trHeight w:val="312"/>
        </w:trPr>
        <w:tc>
          <w:tcPr>
            <w:tcW w:w="572" w:type="pct"/>
            <w:gridSpan w:val="3"/>
            <w:vMerge/>
            <w:tcBorders>
              <w:top w:val="nil"/>
              <w:left w:val="single" w:sz="4" w:space="0" w:color="000000"/>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892" w:type="pct"/>
            <w:vMerge/>
            <w:tcBorders>
              <w:top w:val="single" w:sz="4" w:space="0" w:color="000000"/>
              <w:left w:val="nil"/>
              <w:bottom w:val="single" w:sz="4" w:space="0" w:color="000000"/>
              <w:right w:val="single" w:sz="4" w:space="0" w:color="000000"/>
            </w:tcBorders>
            <w:vAlign w:val="center"/>
          </w:tcPr>
          <w:p/>
        </w:tc>
        <w:tc>
          <w:tcPr>
            <w:tcW w:w="572" w:type="pct"/>
            <w:vMerge/>
            <w:tcBorders>
              <w:top w:val="single" w:sz="4" w:space="0" w:color="000000"/>
              <w:left w:val="nil"/>
              <w:bottom w:val="single" w:sz="4" w:space="0" w:color="000000"/>
              <w:right w:val="single" w:sz="4" w:space="0" w:color="000000"/>
            </w:tcBorders>
            <w:vAlign w:val="center"/>
          </w:tcPr>
          <w:p/>
        </w:tc>
        <w:tc>
          <w:tcPr>
            <w:tcW w:w="358" w:type="pct"/>
            <w:vMerge/>
            <w:tcBorders>
              <w:top w:val="nil"/>
              <w:left w:val="nil"/>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572" w:type="pct"/>
            <w:vMerge/>
            <w:tcBorders>
              <w:top w:val="nil"/>
              <w:left w:val="nil"/>
              <w:bottom w:val="single" w:sz="4" w:space="0" w:color="000000"/>
              <w:right w:val="single" w:sz="4" w:space="0" w:color="000000"/>
            </w:tcBorders>
            <w:vAlign w:val="center"/>
          </w:tcPr>
          <w:p/>
        </w:tc>
        <w:tc>
          <w:tcPr>
            <w:tcW w:w="892" w:type="pct"/>
            <w:vMerge/>
            <w:tcBorders>
              <w:top w:val="single" w:sz="4" w:space="0" w:color="000000"/>
              <w:left w:val="nil"/>
              <w:bottom w:val="single" w:sz="4" w:space="0" w:color="000000"/>
              <w:right w:val="single" w:sz="4" w:space="0" w:color="000000"/>
            </w:tcBorders>
            <w:vAlign w:val="center"/>
          </w:tcPr>
          <w:p/>
        </w:tc>
      </w:tr>
      <w:tr>
        <w:trPr>
          <w:trHeight w:val="308"/>
        </w:trPr>
        <w:tc>
          <w:tcPr>
            <w:tcW w:w="1143" w:type="pct"/>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892"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572"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358"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572"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572"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892"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r>
      <w:tr>
        <w:trPr>
          <w:trHeight w:val="308"/>
        </w:trPr>
        <w:tc>
          <w:tcPr>
            <w:tcW w:w="1143" w:type="pct"/>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72"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358"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57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92"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000" w:type="pct"/>
            <w:gridSpan w:val="10"/>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注：本表反映部门本年度政府性基金预算财政拨款收入、支出及结转和结余情况。</w:t>
            </w:r>
          </w:p>
        </w:tc>
      </w:tr>
    </w:tbl>
    <w:p>
      <w:pPr>
        <w:rPr>
          <w:rFonts w:ascii="方正黑体_GBK" w:eastAsia="方正黑体_GBK"/>
          <w:b/>
          <w:sz w:val="32"/>
          <w:szCs w:val="32"/>
        </w:rPr>
      </w:pPr>
      <w:r>
        <w:rPr>
          <w:rFonts w:ascii="方正黑体_GBK" w:eastAsia="方正黑体_GBK" w:hint="eastAsia"/>
          <w:b/>
          <w:sz w:val="32"/>
          <w:szCs w:val="32"/>
        </w:rPr>
        <w:t>说明：拉萨海关没有政府性基金预算收入，也没有使用政府性基金安排的支出，故本表无数据。</w:t>
      </w:r>
    </w:p>
    <w:p/>
    <w:p/>
    <w:p/>
    <w:p/>
    <w:p/>
    <w:p/>
    <w:p/>
    <w:p/>
    <w:p/>
    <w:p/>
    <w:p/>
    <w:p/>
    <w:p/>
    <w:p/>
    <w:p/>
    <w:p/>
    <w:p/>
    <w:p/>
    <w:p/>
    <w:p/>
    <w:p/>
    <w:p/>
    <w:p/>
    <w:p/>
    <w:p/>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55"/>
        <w:gridCol w:w="555"/>
        <w:gridCol w:w="555"/>
        <w:gridCol w:w="1870"/>
        <w:gridCol w:w="1004"/>
        <w:gridCol w:w="1604"/>
        <w:gridCol w:w="2919"/>
      </w:tblGrid>
      <w:tr>
        <w:trPr>
          <w:trHeight w:val="390"/>
        </w:trPr>
        <w:tc>
          <w:tcPr>
            <w:tcW w:w="5000" w:type="pct"/>
            <w:gridSpan w:val="7"/>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国有资本经营预算财政拨款支出决算表</w:t>
            </w:r>
          </w:p>
        </w:tc>
      </w:tr>
      <w:tr>
        <w:trPr>
          <w:trHeight w:val="255"/>
        </w:trPr>
        <w:tc>
          <w:tcPr>
            <w:tcW w:w="306"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306"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306"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032"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54"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85"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611"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公开08表</w:t>
            </w:r>
          </w:p>
        </w:tc>
      </w:tr>
      <w:tr>
        <w:trPr>
          <w:trHeight w:val="255"/>
        </w:trPr>
        <w:tc>
          <w:tcPr>
            <w:tcW w:w="1950" w:type="pct"/>
            <w:gridSpan w:val="4"/>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554"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885" w:type="pct"/>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611" w:type="pct"/>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1950" w:type="pct"/>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w:t>
            </w:r>
          </w:p>
        </w:tc>
        <w:tc>
          <w:tcPr>
            <w:tcW w:w="3050" w:type="pct"/>
            <w:gridSpan w:val="3"/>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本年支出</w:t>
            </w:r>
          </w:p>
        </w:tc>
      </w:tr>
      <w:tr>
        <w:trPr>
          <w:trHeight w:val="312"/>
        </w:trPr>
        <w:tc>
          <w:tcPr>
            <w:tcW w:w="918" w:type="pct"/>
            <w:gridSpan w:val="3"/>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科目代码</w:t>
            </w:r>
          </w:p>
        </w:tc>
        <w:tc>
          <w:tcPr>
            <w:tcW w:w="1032" w:type="pct"/>
            <w:vMerge w:val="restar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科目名称</w:t>
            </w:r>
          </w:p>
        </w:tc>
        <w:tc>
          <w:tcPr>
            <w:tcW w:w="554"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885"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基本支出</w:t>
            </w:r>
          </w:p>
        </w:tc>
        <w:tc>
          <w:tcPr>
            <w:tcW w:w="1611" w:type="pct"/>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项目支出</w:t>
            </w:r>
          </w:p>
        </w:tc>
      </w:tr>
      <w:tr>
        <w:trPr>
          <w:trHeight w:val="312"/>
        </w:trPr>
        <w:tc>
          <w:tcPr>
            <w:tcW w:w="918" w:type="pct"/>
            <w:gridSpan w:val="3"/>
            <w:vMerge/>
            <w:tcBorders>
              <w:top w:val="nil"/>
              <w:left w:val="single" w:sz="4" w:space="0" w:color="000000"/>
              <w:bottom w:val="single" w:sz="4" w:space="0" w:color="000000"/>
              <w:right w:val="single" w:sz="4" w:space="0" w:color="000000"/>
            </w:tcBorders>
            <w:vAlign w:val="center"/>
          </w:tcPr>
          <w:p/>
        </w:tc>
        <w:tc>
          <w:tcPr>
            <w:tcW w:w="1032" w:type="pct"/>
            <w:vMerge/>
            <w:tcBorders>
              <w:top w:val="nil"/>
              <w:left w:val="nil"/>
              <w:bottom w:val="single" w:sz="4" w:space="0" w:color="000000"/>
              <w:right w:val="single" w:sz="4" w:space="0" w:color="000000"/>
            </w:tcBorders>
            <w:vAlign w:val="center"/>
          </w:tcPr>
          <w:p/>
        </w:tc>
        <w:tc>
          <w:tcPr>
            <w:tcW w:w="554" w:type="pct"/>
            <w:vMerge/>
            <w:tcBorders>
              <w:top w:val="nil"/>
              <w:left w:val="nil"/>
              <w:bottom w:val="single" w:sz="4" w:space="0" w:color="000000"/>
              <w:right w:val="single" w:sz="4" w:space="0" w:color="000000"/>
            </w:tcBorders>
            <w:vAlign w:val="center"/>
          </w:tcPr>
          <w:p/>
        </w:tc>
        <w:tc>
          <w:tcPr>
            <w:tcW w:w="885" w:type="pct"/>
            <w:vMerge/>
            <w:tcBorders>
              <w:top w:val="nil"/>
              <w:left w:val="nil"/>
              <w:bottom w:val="single" w:sz="4" w:space="0" w:color="000000"/>
              <w:right w:val="single" w:sz="4" w:space="0" w:color="000000"/>
            </w:tcBorders>
            <w:vAlign w:val="center"/>
          </w:tcPr>
          <w:p/>
        </w:tc>
        <w:tc>
          <w:tcPr>
            <w:tcW w:w="1611" w:type="pct"/>
            <w:vMerge/>
            <w:tcBorders>
              <w:top w:val="nil"/>
              <w:left w:val="nil"/>
              <w:bottom w:val="single" w:sz="4" w:space="0" w:color="000000"/>
              <w:right w:val="single" w:sz="4" w:space="0" w:color="000000"/>
            </w:tcBorders>
            <w:vAlign w:val="center"/>
          </w:tcPr>
          <w:p/>
        </w:tc>
      </w:tr>
      <w:tr>
        <w:trPr>
          <w:trHeight w:val="312"/>
        </w:trPr>
        <w:tc>
          <w:tcPr>
            <w:tcW w:w="918" w:type="pct"/>
            <w:gridSpan w:val="3"/>
            <w:vMerge/>
            <w:tcBorders>
              <w:top w:val="nil"/>
              <w:left w:val="single" w:sz="4" w:space="0" w:color="000000"/>
              <w:bottom w:val="single" w:sz="4" w:space="0" w:color="000000"/>
              <w:right w:val="single" w:sz="4" w:space="0" w:color="000000"/>
            </w:tcBorders>
            <w:vAlign w:val="center"/>
          </w:tcPr>
          <w:p/>
        </w:tc>
        <w:tc>
          <w:tcPr>
            <w:tcW w:w="1032" w:type="pct"/>
            <w:vMerge/>
            <w:tcBorders>
              <w:top w:val="nil"/>
              <w:left w:val="nil"/>
              <w:bottom w:val="single" w:sz="4" w:space="0" w:color="000000"/>
              <w:right w:val="single" w:sz="4" w:space="0" w:color="000000"/>
            </w:tcBorders>
            <w:vAlign w:val="center"/>
          </w:tcPr>
          <w:p/>
        </w:tc>
        <w:tc>
          <w:tcPr>
            <w:tcW w:w="554" w:type="pct"/>
            <w:vMerge/>
            <w:tcBorders>
              <w:top w:val="nil"/>
              <w:left w:val="nil"/>
              <w:bottom w:val="single" w:sz="4" w:space="0" w:color="000000"/>
              <w:right w:val="single" w:sz="4" w:space="0" w:color="000000"/>
            </w:tcBorders>
            <w:vAlign w:val="center"/>
          </w:tcPr>
          <w:p/>
        </w:tc>
        <w:tc>
          <w:tcPr>
            <w:tcW w:w="885" w:type="pct"/>
            <w:vMerge/>
            <w:tcBorders>
              <w:top w:val="nil"/>
              <w:left w:val="nil"/>
              <w:bottom w:val="single" w:sz="4" w:space="0" w:color="000000"/>
              <w:right w:val="single" w:sz="4" w:space="0" w:color="000000"/>
            </w:tcBorders>
            <w:vAlign w:val="center"/>
          </w:tcPr>
          <w:p/>
        </w:tc>
        <w:tc>
          <w:tcPr>
            <w:tcW w:w="1611" w:type="pct"/>
            <w:vMerge/>
            <w:tcBorders>
              <w:top w:val="nil"/>
              <w:left w:val="nil"/>
              <w:bottom w:val="single" w:sz="4" w:space="0" w:color="000000"/>
              <w:right w:val="single" w:sz="4" w:space="0" w:color="000000"/>
            </w:tcBorders>
            <w:vAlign w:val="center"/>
          </w:tcPr>
          <w:p/>
        </w:tc>
      </w:tr>
      <w:tr>
        <w:trPr>
          <w:trHeight w:val="308"/>
        </w:trPr>
        <w:tc>
          <w:tcPr>
            <w:tcW w:w="1950" w:type="pct"/>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栏次</w:t>
            </w:r>
          </w:p>
        </w:tc>
        <w:tc>
          <w:tcPr>
            <w:tcW w:w="554"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885"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1611" w:type="pct"/>
            <w:tcBorders>
              <w:top w:val="nil"/>
              <w:left w:val="nil"/>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r>
      <w:tr>
        <w:trPr>
          <w:trHeight w:val="308"/>
        </w:trPr>
        <w:tc>
          <w:tcPr>
            <w:tcW w:w="1950" w:type="pct"/>
            <w:gridSpan w:val="4"/>
            <w:tcBorders>
              <w:top w:val="nil"/>
              <w:left w:val="single" w:sz="4" w:space="0" w:color="000000"/>
              <w:bottom w:val="single" w:sz="4" w:space="0" w:color="000000"/>
              <w:right w:val="single" w:sz="4" w:space="0" w:color="000000"/>
            </w:tcBorders>
            <w:shd w:val="clear" w:color="FFFFFF" w:fill="C0C0C0"/>
            <w:noWrap/>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b/>
                <w:bCs/>
                <w:color w:val="000000"/>
                <w:kern w:val="0"/>
                <w:sz w:val="16"/>
                <w:szCs w:val="16"/>
              </w:rPr>
            </w:pPr>
            <w:r>
              <w:rPr>
                <w:rFonts w:ascii="宋体" w:eastAsia="宋体" w:cs="Arial" w:hint="eastAsia"/>
                <w:b/>
                <w:bCs/>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918" w:type="pct"/>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1032" w:type="pct"/>
            <w:tcBorders>
              <w:top w:val="nil"/>
              <w:left w:val="nil"/>
              <w:bottom w:val="single" w:sz="4" w:space="0" w:color="000000"/>
              <w:right w:val="single" w:sz="4" w:space="0" w:color="000000"/>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　</w:t>
            </w:r>
          </w:p>
        </w:tc>
        <w:tc>
          <w:tcPr>
            <w:tcW w:w="554"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885"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c>
          <w:tcPr>
            <w:tcW w:w="1611" w:type="pct"/>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w:t>
            </w:r>
          </w:p>
        </w:tc>
      </w:tr>
      <w:tr>
        <w:trPr>
          <w:trHeight w:val="308"/>
        </w:trPr>
        <w:tc>
          <w:tcPr>
            <w:tcW w:w="5000" w:type="pct"/>
            <w:gridSpan w:val="7"/>
            <w:tcBorders>
              <w:top w:val="nil"/>
              <w:left w:val="nil"/>
              <w:bottom w:val="nil"/>
              <w:right w:val="nil"/>
            </w:tcBorders>
            <w:shd w:val="clear" w:color="auto" w:fill="auto"/>
            <w:noWrap/>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注：本表反映部门本年度国有资本经营预算财政拨款支出情况。</w:t>
            </w:r>
          </w:p>
        </w:tc>
      </w:tr>
    </w:tbl>
    <w:p>
      <w:pPr>
        <w:rPr>
          <w:rFonts w:ascii="方正黑体_GBK" w:eastAsia="方正黑体_GBK"/>
          <w:b/>
          <w:sz w:val="32"/>
          <w:szCs w:val="32"/>
        </w:rPr>
      </w:pPr>
      <w:r>
        <w:rPr>
          <w:rFonts w:ascii="方正黑体_GBK" w:eastAsia="方正黑体_GBK" w:hint="eastAsia"/>
          <w:b/>
          <w:sz w:val="32"/>
          <w:szCs w:val="32"/>
        </w:rPr>
        <w:t>说明：拉萨海关没有使用国有资本经营预算安排的支出，故本表无数据。</w:t>
      </w:r>
    </w:p>
    <w:p/>
    <w:p/>
    <w:p/>
    <w:p/>
    <w:p/>
    <w:p/>
    <w:p/>
    <w:p/>
    <w:p/>
    <w:p/>
    <w:p/>
    <w:p/>
    <w:p/>
    <w:p/>
    <w:p/>
    <w:p/>
    <w:p/>
    <w:p/>
    <w:p/>
    <w:p/>
    <w:tbl>
      <w:tblPr>
        <w:jc w:val="left"/>
        <w:tblInd w:w="93"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70"/>
        <w:gridCol w:w="196"/>
        <w:gridCol w:w="567"/>
        <w:gridCol w:w="579"/>
        <w:gridCol w:w="130"/>
        <w:gridCol w:w="541"/>
        <w:gridCol w:w="167"/>
        <w:gridCol w:w="504"/>
        <w:gridCol w:w="205"/>
        <w:gridCol w:w="567"/>
        <w:gridCol w:w="418"/>
        <w:gridCol w:w="291"/>
        <w:gridCol w:w="380"/>
        <w:gridCol w:w="187"/>
        <w:gridCol w:w="484"/>
        <w:gridCol w:w="225"/>
        <w:gridCol w:w="370"/>
        <w:gridCol w:w="435"/>
        <w:gridCol w:w="236"/>
        <w:gridCol w:w="518"/>
        <w:gridCol w:w="759"/>
      </w:tblGrid>
      <w:tr>
        <w:trPr>
          <w:trHeight w:val="540"/>
        </w:trPr>
        <w:tc>
          <w:tcPr>
            <w:tcW w:w="8429" w:type="dxa"/>
            <w:gridSpan w:val="21"/>
            <w:tcBorders>
              <w:top w:val="nil"/>
              <w:left w:val="nil"/>
              <w:bottom w:val="nil"/>
              <w:right w:val="nil"/>
            </w:tcBorders>
            <w:shd w:val="clear" w:color="auto" w:fill="auto"/>
            <w:noWrap/>
            <w:vAlign w:val="bottom"/>
          </w:tcPr>
          <w:p>
            <w:pPr>
              <w:widowControl/>
              <w:jc w:val="center"/>
              <w:rPr>
                <w:rFonts w:ascii="宋体" w:eastAsia="宋体" w:cs="Arial"/>
                <w:color w:val="000000"/>
                <w:kern w:val="0"/>
                <w:sz w:val="16"/>
                <w:szCs w:val="16"/>
              </w:rPr>
            </w:pPr>
            <w:r>
              <w:rPr>
                <w:rFonts w:ascii="宋体" w:eastAsia="宋体" w:cs="Arial" w:hint="eastAsia"/>
                <w:color w:val="000000"/>
                <w:kern w:val="0"/>
                <w:sz w:val="30"/>
                <w:szCs w:val="30"/>
              </w:rPr>
              <w:t>财政拨款“三公”经费支出决算表</w:t>
            </w:r>
          </w:p>
        </w:tc>
      </w:tr>
      <w:tr>
        <w:trPr>
          <w:trHeight w:val="255"/>
        </w:trPr>
        <w:tc>
          <w:tcPr>
            <w:tcW w:w="670"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763"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79"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772"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418"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95"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277" w:type="dxa"/>
            <w:gridSpan w:val="2"/>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公开09表</w:t>
            </w:r>
          </w:p>
        </w:tc>
      </w:tr>
      <w:tr>
        <w:trPr>
          <w:trHeight w:val="255"/>
        </w:trPr>
        <w:tc>
          <w:tcPr>
            <w:tcW w:w="1433" w:type="dxa"/>
            <w:gridSpan w:val="3"/>
            <w:tcBorders>
              <w:top w:val="nil"/>
              <w:left w:val="nil"/>
              <w:bottom w:val="nil"/>
              <w:right w:val="nil"/>
            </w:tcBorders>
            <w:shd w:val="clear" w:color="auto" w:fill="auto"/>
            <w:noWrap/>
            <w:vAlign w:val="bottom"/>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部门：拉萨海关</w:t>
            </w:r>
          </w:p>
        </w:tc>
        <w:tc>
          <w:tcPr>
            <w:tcW w:w="579"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772"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418" w:type="dxa"/>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595"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671" w:type="dxa"/>
            <w:gridSpan w:val="2"/>
            <w:tcBorders>
              <w:top w:val="nil"/>
              <w:left w:val="nil"/>
              <w:bottom w:val="nil"/>
              <w:right w:val="nil"/>
            </w:tcBorders>
            <w:shd w:val="clear" w:color="auto" w:fill="auto"/>
            <w:noWrap/>
            <w:vAlign w:val="bottom"/>
          </w:tcPr>
          <w:p>
            <w:pPr>
              <w:widowControl/>
              <w:jc w:val="left"/>
              <w:rPr>
                <w:rFonts w:ascii="Arial" w:eastAsia="宋体" w:cs="Arial" w:hAnsi="Arial"/>
                <w:color w:val="000000"/>
                <w:kern w:val="0"/>
                <w:sz w:val="16"/>
                <w:szCs w:val="16"/>
              </w:rPr>
            </w:pPr>
          </w:p>
        </w:tc>
        <w:tc>
          <w:tcPr>
            <w:tcW w:w="1277" w:type="dxa"/>
            <w:gridSpan w:val="2"/>
            <w:tcBorders>
              <w:top w:val="nil"/>
              <w:left w:val="nil"/>
              <w:bottom w:val="nil"/>
              <w:right w:val="nil"/>
            </w:tcBorders>
            <w:shd w:val="clear" w:color="auto" w:fill="auto"/>
            <w:noWrap/>
            <w:vAlign w:val="bottom"/>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金额单位：万元</w:t>
            </w:r>
          </w:p>
        </w:tc>
      </w:tr>
      <w:tr>
        <w:trPr>
          <w:trHeight w:val="308"/>
        </w:trPr>
        <w:tc>
          <w:tcPr>
            <w:tcW w:w="4126" w:type="dxa"/>
            <w:gridSpan w:val="10"/>
            <w:tcBorders>
              <w:top w:val="single" w:sz="4" w:space="0" w:color="000000"/>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预算数</w:t>
            </w:r>
          </w:p>
        </w:tc>
        <w:tc>
          <w:tcPr>
            <w:tcW w:w="4303" w:type="dxa"/>
            <w:gridSpan w:val="11"/>
            <w:tcBorders>
              <w:top w:val="single" w:sz="4" w:space="0" w:color="000000"/>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决算数</w:t>
            </w:r>
          </w:p>
        </w:tc>
      </w:tr>
      <w:tr>
        <w:trPr>
          <w:trHeight w:val="308"/>
        </w:trPr>
        <w:tc>
          <w:tcPr>
            <w:tcW w:w="866" w:type="dxa"/>
            <w:gridSpan w:val="2"/>
            <w:vMerge w:val="restart"/>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567"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因公出国（境）费</w:t>
            </w:r>
          </w:p>
        </w:tc>
        <w:tc>
          <w:tcPr>
            <w:tcW w:w="2126" w:type="dxa"/>
            <w:gridSpan w:val="6"/>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公务用车购置及运行维护费</w:t>
            </w:r>
          </w:p>
        </w:tc>
        <w:tc>
          <w:tcPr>
            <w:tcW w:w="567"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公务接待费</w:t>
            </w:r>
          </w:p>
        </w:tc>
        <w:tc>
          <w:tcPr>
            <w:tcW w:w="709"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合计</w:t>
            </w:r>
          </w:p>
        </w:tc>
        <w:tc>
          <w:tcPr>
            <w:tcW w:w="567" w:type="dxa"/>
            <w:gridSpan w:val="2"/>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因公出国（境）费</w:t>
            </w:r>
          </w:p>
        </w:tc>
        <w:tc>
          <w:tcPr>
            <w:tcW w:w="2268" w:type="dxa"/>
            <w:gridSpan w:val="6"/>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公务用车购置及运行维护费</w:t>
            </w:r>
          </w:p>
        </w:tc>
        <w:tc>
          <w:tcPr>
            <w:tcW w:w="759" w:type="dxa"/>
            <w:vMerge w:val="restart"/>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公务接待费</w:t>
            </w:r>
          </w:p>
        </w:tc>
      </w:tr>
      <w:tr>
        <w:trPr>
          <w:trHeight w:val="615"/>
        </w:trPr>
        <w:tc>
          <w:tcPr>
            <w:tcW w:w="866" w:type="dxa"/>
            <w:gridSpan w:val="2"/>
            <w:vMerge/>
            <w:tcBorders>
              <w:top w:val="nil"/>
              <w:left w:val="single" w:sz="4" w:space="0" w:color="000000"/>
              <w:bottom w:val="single" w:sz="4" w:space="0" w:color="000000"/>
              <w:right w:val="single" w:sz="4" w:space="0" w:color="000000"/>
            </w:tcBorders>
            <w:vAlign w:val="center"/>
          </w:tcPr>
          <w:p/>
        </w:tc>
        <w:tc>
          <w:tcPr>
            <w:tcW w:w="567" w:type="dxa"/>
            <w:vMerge/>
            <w:tcBorders>
              <w:top w:val="nil"/>
              <w:left w:val="nil"/>
              <w:bottom w:val="single" w:sz="4" w:space="0" w:color="000000"/>
              <w:right w:val="single" w:sz="4" w:space="0" w:color="000000"/>
            </w:tcBorders>
            <w:vAlign w:val="center"/>
          </w:tcP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小计</w:t>
            </w:r>
          </w:p>
        </w:tc>
        <w:tc>
          <w:tcPr>
            <w:tcW w:w="708"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公务用车购置费</w:t>
            </w: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公务用车运行维护费</w:t>
            </w:r>
          </w:p>
        </w:tc>
        <w:tc>
          <w:tcPr>
            <w:tcW w:w="567" w:type="dxa"/>
            <w:vMerge/>
            <w:tcBorders>
              <w:top w:val="nil"/>
              <w:left w:val="nil"/>
              <w:bottom w:val="single" w:sz="4" w:space="0" w:color="000000"/>
              <w:right w:val="single" w:sz="4" w:space="0" w:color="000000"/>
            </w:tcBorders>
            <w:vAlign w:val="center"/>
          </w:tcPr>
          <w:p/>
        </w:tc>
        <w:tc>
          <w:tcPr>
            <w:tcW w:w="709" w:type="dxa"/>
            <w:gridSpan w:val="2"/>
            <w:vMerge/>
            <w:tcBorders>
              <w:top w:val="nil"/>
              <w:left w:val="nil"/>
              <w:bottom w:val="single" w:sz="4" w:space="0" w:color="000000"/>
              <w:right w:val="single" w:sz="4" w:space="0" w:color="000000"/>
            </w:tcBorders>
            <w:vAlign w:val="center"/>
          </w:tcPr>
          <w:p/>
        </w:tc>
        <w:tc>
          <w:tcPr>
            <w:tcW w:w="567" w:type="dxa"/>
            <w:gridSpan w:val="2"/>
            <w:vMerge/>
            <w:tcBorders>
              <w:top w:val="nil"/>
              <w:left w:val="nil"/>
              <w:bottom w:val="single" w:sz="4" w:space="0" w:color="000000"/>
              <w:right w:val="single" w:sz="4" w:space="0" w:color="000000"/>
            </w:tcBorders>
            <w:vAlign w:val="center"/>
          </w:tcP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小计</w:t>
            </w:r>
          </w:p>
        </w:tc>
        <w:tc>
          <w:tcPr>
            <w:tcW w:w="805"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公务用车购置费</w:t>
            </w:r>
          </w:p>
        </w:tc>
        <w:tc>
          <w:tcPr>
            <w:tcW w:w="754"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公务用车运行维护费</w:t>
            </w:r>
          </w:p>
        </w:tc>
        <w:tc>
          <w:tcPr>
            <w:tcW w:w="759" w:type="dxa"/>
            <w:vMerge/>
            <w:tcBorders>
              <w:top w:val="nil"/>
              <w:left w:val="nil"/>
              <w:bottom w:val="single" w:sz="4" w:space="0" w:color="000000"/>
              <w:right w:val="single" w:sz="4" w:space="0" w:color="000000"/>
            </w:tcBorders>
            <w:vAlign w:val="center"/>
          </w:tcPr>
          <w:p/>
        </w:tc>
      </w:tr>
      <w:tr>
        <w:trPr>
          <w:trHeight w:val="308"/>
        </w:trPr>
        <w:tc>
          <w:tcPr>
            <w:tcW w:w="866" w:type="dxa"/>
            <w:gridSpan w:val="2"/>
            <w:tcBorders>
              <w:top w:val="nil"/>
              <w:left w:val="single" w:sz="4" w:space="0" w:color="000000"/>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w:t>
            </w:r>
          </w:p>
        </w:tc>
        <w:tc>
          <w:tcPr>
            <w:tcW w:w="567"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2</w:t>
            </w: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3</w:t>
            </w:r>
          </w:p>
        </w:tc>
        <w:tc>
          <w:tcPr>
            <w:tcW w:w="708"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4</w:t>
            </w: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5</w:t>
            </w:r>
          </w:p>
        </w:tc>
        <w:tc>
          <w:tcPr>
            <w:tcW w:w="567"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6</w:t>
            </w: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7</w:t>
            </w:r>
          </w:p>
        </w:tc>
        <w:tc>
          <w:tcPr>
            <w:tcW w:w="567"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8</w:t>
            </w:r>
          </w:p>
        </w:tc>
        <w:tc>
          <w:tcPr>
            <w:tcW w:w="709"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9</w:t>
            </w:r>
          </w:p>
        </w:tc>
        <w:tc>
          <w:tcPr>
            <w:tcW w:w="805"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10</w:t>
            </w:r>
          </w:p>
        </w:tc>
        <w:tc>
          <w:tcPr>
            <w:tcW w:w="754" w:type="dxa"/>
            <w:gridSpan w:val="2"/>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11</w:t>
            </w:r>
          </w:p>
        </w:tc>
        <w:tc>
          <w:tcPr>
            <w:tcW w:w="759" w:type="dxa"/>
            <w:tcBorders>
              <w:top w:val="nil"/>
              <w:left w:val="nil"/>
              <w:bottom w:val="single" w:sz="4" w:space="0" w:color="000000"/>
              <w:right w:val="single" w:sz="4" w:space="0" w:color="000000"/>
            </w:tcBorders>
            <w:shd w:val="clear" w:color="FFFFFF" w:fill="C0C0C0"/>
            <w:vAlign w:val="center"/>
          </w:tcPr>
          <w:p>
            <w:pPr>
              <w:widowControl/>
              <w:jc w:val="center"/>
              <w:rPr>
                <w:rFonts w:ascii="宋体" w:eastAsia="宋体" w:cs="Arial"/>
                <w:color w:val="000000"/>
                <w:kern w:val="0"/>
                <w:sz w:val="16"/>
                <w:szCs w:val="16"/>
              </w:rPr>
            </w:pPr>
            <w:r>
              <w:rPr>
                <w:rFonts w:ascii="宋体" w:eastAsia="宋体" w:cs="Arial" w:hint="eastAsia"/>
                <w:color w:val="000000"/>
                <w:kern w:val="0"/>
                <w:sz w:val="16"/>
                <w:szCs w:val="16"/>
              </w:rPr>
              <w:t>12</w:t>
            </w:r>
          </w:p>
        </w:tc>
      </w:tr>
      <w:tr>
        <w:trPr>
          <w:trHeight w:val="308"/>
        </w:trPr>
        <w:tc>
          <w:tcPr>
            <w:tcW w:w="866"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435.51</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429.72</w:t>
            </w:r>
          </w:p>
        </w:tc>
        <w:tc>
          <w:tcPr>
            <w:tcW w:w="708"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106.00</w:t>
            </w:r>
          </w:p>
        </w:tc>
        <w:tc>
          <w:tcPr>
            <w:tcW w:w="709"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323.72</w:t>
            </w:r>
          </w:p>
        </w:tc>
        <w:tc>
          <w:tcPr>
            <w:tcW w:w="567"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5.79</w:t>
            </w:r>
          </w:p>
        </w:tc>
        <w:tc>
          <w:tcPr>
            <w:tcW w:w="709"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414.44</w:t>
            </w:r>
          </w:p>
        </w:tc>
        <w:tc>
          <w:tcPr>
            <w:tcW w:w="567"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c>
          <w:tcPr>
            <w:tcW w:w="709"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414.44</w:t>
            </w:r>
          </w:p>
        </w:tc>
        <w:tc>
          <w:tcPr>
            <w:tcW w:w="805"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96.38</w:t>
            </w:r>
          </w:p>
        </w:tc>
        <w:tc>
          <w:tcPr>
            <w:tcW w:w="754" w:type="dxa"/>
            <w:gridSpan w:val="2"/>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318.06</w:t>
            </w:r>
          </w:p>
        </w:tc>
        <w:tc>
          <w:tcPr>
            <w:tcW w:w="759" w:type="dxa"/>
            <w:tcBorders>
              <w:top w:val="nil"/>
              <w:left w:val="nil"/>
              <w:bottom w:val="single" w:sz="4" w:space="0" w:color="000000"/>
              <w:right w:val="single" w:sz="4" w:space="0" w:color="000000"/>
            </w:tcBorders>
            <w:shd w:val="clear" w:color="auto" w:fill="auto"/>
            <w:noWrap/>
            <w:vAlign w:val="center"/>
          </w:tcPr>
          <w:p>
            <w:pPr>
              <w:widowControl/>
              <w:jc w:val="right"/>
              <w:rPr>
                <w:rFonts w:ascii="宋体" w:eastAsia="宋体" w:cs="Arial"/>
                <w:color w:val="000000"/>
                <w:kern w:val="0"/>
                <w:sz w:val="16"/>
                <w:szCs w:val="16"/>
              </w:rPr>
            </w:pPr>
            <w:r>
              <w:rPr>
                <w:rFonts w:ascii="宋体" w:eastAsia="宋体" w:cs="Arial" w:hint="eastAsia"/>
                <w:color w:val="000000"/>
                <w:kern w:val="0"/>
                <w:sz w:val="16"/>
                <w:szCs w:val="16"/>
              </w:rPr>
              <w:t xml:space="preserve"> </w:t>
            </w:r>
          </w:p>
        </w:tc>
      </w:tr>
      <w:tr>
        <w:trPr>
          <w:trHeight w:val="615"/>
        </w:trPr>
        <w:tc>
          <w:tcPr>
            <w:tcW w:w="8429" w:type="dxa"/>
            <w:gridSpan w:val="21"/>
            <w:tcBorders>
              <w:top w:val="nil"/>
              <w:left w:val="nil"/>
              <w:bottom w:val="nil"/>
              <w:right w:val="nil"/>
            </w:tcBorders>
            <w:shd w:val="clear" w:color="auto" w:fill="auto"/>
            <w:vAlign w:val="center"/>
          </w:tcPr>
          <w:p>
            <w:pPr>
              <w:widowControl/>
              <w:jc w:val="left"/>
              <w:rPr>
                <w:rFonts w:ascii="宋体" w:eastAsia="宋体" w:cs="Arial"/>
                <w:color w:val="000000"/>
                <w:kern w:val="0"/>
                <w:sz w:val="16"/>
                <w:szCs w:val="16"/>
              </w:rPr>
            </w:pPr>
            <w:r>
              <w:rPr>
                <w:rFonts w:ascii="宋体" w:eastAsia="宋体" w:cs="Arial" w:hint="eastAsia"/>
                <w:color w:val="000000"/>
                <w:kern w:val="0"/>
                <w:sz w:val="16"/>
                <w:szCs w:val="16"/>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
    <w:p/>
    <w:p/>
    <w:p/>
    <w:p/>
    <w:p/>
    <w:p/>
    <w:p/>
    <w:p/>
    <w:p/>
    <w:p/>
    <w:p/>
    <w:p/>
    <w:p/>
    <w:p/>
    <w:p/>
    <w:p/>
    <w:p/>
    <w:p/>
    <w:p/>
    <w:p/>
    <w:p/>
    <w:p/>
    <w:p/>
    <w:p/>
    <w:p/>
    <w:p/>
    <w:p/>
    <w:p/>
    <w:p/>
    <w:p/>
    <w:p/>
    <w:p/>
    <w:p/>
    <w:p/>
    <w:p/>
    <w:p/>
    <w:p/>
    <w:p/>
    <w:p/>
    <w:p>
      <w:pPr>
        <w:jc w:val="center"/>
        <w:rPr>
          <w:rFonts w:ascii="方正小标宋_GBK" w:eastAsia="方正小标宋_GBK"/>
          <w:sz w:val="84"/>
          <w:szCs w:val="84"/>
        </w:rPr>
      </w:pPr>
      <w:r>
        <w:rPr>
          <w:rFonts w:ascii="方正小标宋_GBK" w:eastAsia="方正小标宋_GBK" w:hint="eastAsia"/>
          <w:sz w:val="84"/>
          <w:szCs w:val="84"/>
        </w:rPr>
        <w:t>第三部分</w:t>
      </w:r>
    </w:p>
    <w:p>
      <w:pPr>
        <w:jc w:val="center"/>
        <w:rPr>
          <w:rFonts w:ascii="方正小标宋_GBK" w:eastAsia="方正小标宋_GBK"/>
          <w:sz w:val="84"/>
          <w:szCs w:val="84"/>
        </w:rPr>
      </w:pPr>
      <w:r>
        <w:rPr>
          <w:rFonts w:ascii="方正小标宋_GBK" w:eastAsia="方正小标宋_GBK" w:hint="eastAsia"/>
          <w:sz w:val="84"/>
          <w:szCs w:val="84"/>
        </w:rPr>
        <w:t>2022年度部门决算表</w:t>
      </w:r>
    </w:p>
    <w:p>
      <w:pPr>
        <w:jc w:val="center"/>
        <w:rPr>
          <w:rFonts w:ascii="方正小标宋_GBK" w:eastAsia="方正小标宋_GBK"/>
          <w:sz w:val="84"/>
          <w:szCs w:val="84"/>
        </w:rPr>
      </w:pPr>
      <w:r>
        <w:rPr>
          <w:rFonts w:ascii="方正小标宋_GBK" w:eastAsia="方正小标宋_GBK" w:hint="eastAsia"/>
          <w:sz w:val="84"/>
          <w:szCs w:val="84"/>
        </w:rPr>
        <w:t>情况说明</w:t>
      </w:r>
    </w:p>
    <w:p/>
    <w:p/>
    <w:p/>
    <w:p/>
    <w:p/>
    <w:p/>
    <w:p/>
    <w:p/>
    <w:p/>
    <w:p/>
    <w:p/>
    <w:p/>
    <w:p/>
    <w:p/>
    <w:p/>
    <w:p/>
    <w:p>
      <w:pPr>
        <w:rPr>
          <w:rFonts w:ascii="方正黑体_GBK" w:eastAsia="方正黑体_GBK"/>
          <w:sz w:val="32"/>
          <w:szCs w:val="32"/>
        </w:rPr>
      </w:pPr>
      <w:r>
        <w:rPr>
          <w:rFonts w:ascii="方正黑体_GBK" w:eastAsia="方正黑体_GBK" w:hint="eastAsia"/>
          <w:sz w:val="32"/>
          <w:szCs w:val="32"/>
        </w:rPr>
        <w:t>一、收入支出决算总体情况说明</w:t>
      </w:r>
    </w:p>
    <w:p>
      <w:pPr>
        <w:spacing w:line="560" w:lineRule="exact"/>
        <w:ind w:firstLineChars="200" w:firstLine="640"/>
        <w:rPr>
          <w:rFonts w:eastAsia="方正仿宋_GBK"/>
          <w:sz w:val="32"/>
        </w:rPr>
      </w:pPr>
      <w:r>
        <w:rPr>
          <w:rFonts w:eastAsia="方正仿宋_GBK" w:hint="eastAsia"/>
          <w:sz w:val="32"/>
        </w:rPr>
        <w:t>2022年度收、支总计43,073.54万元。与2021年度相比，收、支总计各减少3,126.75万元，下降6.77%，主要是社会保障和就业支出减少。</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b/>
          <w:bCs/>
          <w:szCs w:val="32"/>
        </w:rPr>
        <w:t>图1：收、支决算总计变动情况</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b/>
          <w:bCs/>
          <w:szCs w:val="32"/>
        </w:rPr>
        <w:t>（单位：万元）</w:t>
      </w:r>
    </w:p>
    <w:p/>
    <w:p>
      <w:r>
        <w:rPr>
          <w:rFonts w:hint="eastAsia"/>
        </w:rPr>
        <w:drawing>
          <wp:anchor distT="0" distB="0" distL="114300" distR="114300" simplePos="0" relativeHeight="18" behindDoc="0" locked="0" layoutInCell="1" hidden="0" allowOverlap="1">
            <wp:simplePos x="0" y="0"/>
            <wp:positionH relativeFrom="column">
              <wp:posOffset>123825</wp:posOffset>
            </wp:positionH>
            <wp:positionV relativeFrom="paragraph">
              <wp:posOffset>69850</wp:posOffset>
            </wp:positionV>
            <wp:extent cx="4457700" cy="4010025"/>
            <wp:effectExtent l="0" t="0" r="0" b="0"/>
            <wp:wrapNone/>
            <wp:docPr id="1" name="对象 1" descr="7597028861659857936623"/>
            <wp:cNvGraphicFramePr>
              <a:graphicFrameLocks noChangeAspect="1"/>
            </wp:cNvGraphicFramePr>
            <a:graphic>
              <a:graphicData uri="http://schemas.openxmlformats.org/drawingml/2006/picture">
                <pic:pic>
                  <pic:nvPicPr>
                    <pic:cNvPr id="3" name="对象 3"/>
                    <pic:cNvPicPr/>
                  </pic:nvPicPr>
                  <pic:blipFill>
                    <a:blip r:embed="rId5"/>
                    <a:stretch>
                      <a:fillRect/>
                    </a:stretch>
                  </pic:blipFill>
                  <pic:spPr>
                    <a:xfrm rot="0">
                      <a:off x="0" y="0"/>
                      <a:ext cx="4457700" cy="4010025"/>
                    </a:xfrm>
                    <a:prstGeom prst="rect"/>
                    <a:ln w="9525" cmpd="sng" cap="flat">
                      <a:solidFill>
                        <a:srgbClr val="000000"/>
                      </a:solidFill>
                      <a:prstDash val="solid"/>
                      <a:miter/>
                    </a:ln>
                  </pic:spPr>
                </pic:pic>
              </a:graphicData>
            </a:graphic>
          </wp:anchor>
        </w:drawing>
      </w:r>
    </w:p>
    <w:p/>
    <w:p/>
    <w:p/>
    <w:p/>
    <w:p/>
    <w:p/>
    <w:p/>
    <w:p/>
    <w:p/>
    <w:p/>
    <w:p/>
    <w:p/>
    <w:p/>
    <w:p/>
    <w:p/>
    <w:p/>
    <w:p/>
    <w:p/>
    <w:p/>
    <w:p/>
    <w:p/>
    <w:p>
      <w:pPr>
        <w:rPr>
          <w:rFonts w:ascii="方正黑体_GBK" w:eastAsia="方正黑体_GBK"/>
          <w:sz w:val="32"/>
          <w:szCs w:val="32"/>
        </w:rPr>
      </w:pPr>
      <w:r>
        <w:rPr>
          <w:rFonts w:ascii="方正黑体_GBK" w:eastAsia="方正黑体_GBK" w:hint="eastAsia"/>
          <w:sz w:val="32"/>
          <w:szCs w:val="32"/>
        </w:rPr>
        <w:t>二、收入决算情况说明</w:t>
      </w:r>
    </w:p>
    <w:p>
      <w:pPr>
        <w:pStyle w:val="19"/>
        <w:spacing w:line="560" w:lineRule="exact"/>
        <w:ind w:firstLineChars="200" w:firstLine="640"/>
        <w:jc w:val="left"/>
        <w:rPr>
          <w:rFonts w:eastAsia="方正仿宋_GBK"/>
          <w:szCs w:val="32"/>
        </w:rPr>
      </w:pPr>
      <w:r>
        <w:rPr>
          <w:rFonts w:eastAsia="方正仿宋_GBK"/>
          <w:szCs w:val="32"/>
        </w:rPr>
        <w:t>202</w:t>
      </w:r>
      <w:r>
        <w:rPr>
          <w:rFonts w:eastAsia="方正仿宋_GBK" w:hint="eastAsia"/>
          <w:szCs w:val="32"/>
        </w:rPr>
        <w:t>2</w:t>
      </w:r>
      <w:r>
        <w:rPr>
          <w:rFonts w:eastAsia="方正仿宋_GBK"/>
          <w:szCs w:val="32"/>
        </w:rPr>
        <w:t>年度收入合计</w:t>
      </w:r>
      <w:r>
        <w:rPr>
          <w:rFonts w:eastAsia="方正仿宋_GBK" w:hint="eastAsia"/>
          <w:szCs w:val="32"/>
        </w:rPr>
        <w:t>31,597.88</w:t>
      </w:r>
      <w:r>
        <w:rPr>
          <w:rFonts w:eastAsia="方正仿宋_GBK"/>
          <w:szCs w:val="32"/>
        </w:rPr>
        <w:t>万元。其中：财政拨款收入</w:t>
      </w:r>
      <w:r>
        <w:rPr>
          <w:rFonts w:eastAsia="方正仿宋_GBK" w:hint="eastAsia"/>
          <w:szCs w:val="32"/>
        </w:rPr>
        <w:t>29,430.29</w:t>
      </w:r>
      <w:r>
        <w:rPr>
          <w:rFonts w:eastAsia="方正仿宋_GBK"/>
          <w:szCs w:val="32"/>
        </w:rPr>
        <w:t>万元，占9</w:t>
      </w:r>
      <w:r>
        <w:rPr>
          <w:rFonts w:eastAsia="方正仿宋_GBK" w:hint="eastAsia"/>
          <w:szCs w:val="32"/>
        </w:rPr>
        <w:t>3.14</w:t>
      </w:r>
      <w:r>
        <w:rPr>
          <w:rFonts w:eastAsia="方正仿宋_GBK"/>
          <w:szCs w:val="32"/>
        </w:rPr>
        <w:t>%；事业收入</w:t>
      </w:r>
      <w:r>
        <w:rPr>
          <w:rFonts w:eastAsia="方正仿宋_GBK" w:hint="eastAsia"/>
          <w:szCs w:val="32"/>
        </w:rPr>
        <w:t>1,227.34</w:t>
      </w:r>
      <w:r>
        <w:rPr>
          <w:rFonts w:eastAsia="方正仿宋_GBK"/>
          <w:szCs w:val="32"/>
        </w:rPr>
        <w:t>万元， 占3.</w:t>
      </w:r>
      <w:r>
        <w:rPr>
          <w:rFonts w:eastAsia="方正仿宋_GBK" w:hint="eastAsia"/>
          <w:szCs w:val="32"/>
        </w:rPr>
        <w:t>88</w:t>
      </w:r>
      <w:r>
        <w:rPr>
          <w:rFonts w:eastAsia="方正仿宋_GBK"/>
          <w:szCs w:val="32"/>
        </w:rPr>
        <w:t>%；其他收入</w:t>
      </w:r>
      <w:r>
        <w:rPr>
          <w:rFonts w:eastAsia="方正仿宋_GBK" w:hint="eastAsia"/>
          <w:szCs w:val="32"/>
        </w:rPr>
        <w:t>940.25</w:t>
      </w:r>
      <w:r>
        <w:rPr>
          <w:rFonts w:eastAsia="方正仿宋_GBK"/>
          <w:szCs w:val="32"/>
        </w:rPr>
        <w:t>万元，占</w:t>
      </w:r>
      <w:r>
        <w:rPr>
          <w:rFonts w:eastAsia="方正仿宋_GBK" w:hint="eastAsia"/>
          <w:szCs w:val="32"/>
        </w:rPr>
        <w:t>2.98</w:t>
      </w:r>
      <w:r>
        <w:rPr>
          <w:rFonts w:eastAsia="方正仿宋_GBK"/>
          <w:szCs w:val="32"/>
        </w:rPr>
        <w:t>%。</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b/>
          <w:bCs/>
          <w:szCs w:val="32"/>
        </w:rPr>
        <w:t>图2：收入决算</w:t>
      </w:r>
      <w:r>
        <w:rPr>
          <w:rFonts w:ascii="Times New Roman" w:eastAsia="方正楷体_GBK" w:hAnsi="Times New Roman" w:hint="eastAsia"/>
          <w:b/>
          <w:bCs/>
          <w:szCs w:val="32"/>
        </w:rPr>
        <w:t>结构</w:t>
      </w:r>
    </w:p>
    <w:p/>
    <w:p>
      <w:r>
        <w:drawing>
          <wp:inline distT="0" distB="0" distL="0" distR="0">
            <wp:extent cx="5274310" cy="3076575"/>
            <wp:effectExtent l="0" t="0" r="0" b="0"/>
            <wp:docPr id="4" name="对象 4"/>
            <wp:cNvGraphicFramePr>
              <a:graphicFrameLocks noChangeAspect="0"/>
            </wp:cNvGraphicFramePr>
            <a:graphic>
              <a:graphicData uri="http://schemas.openxmlformats.org/drawingml/2006/picture">
                <pic:pic>
                  <pic:nvPicPr>
                    <pic:cNvPr id="6" name="对象 6"/>
                    <pic:cNvPicPr/>
                  </pic:nvPicPr>
                  <pic:blipFill>
                    <a:blip r:embed="rId6"/>
                    <a:stretch>
                      <a:fillRect/>
                    </a:stretch>
                  </pic:blipFill>
                  <pic:spPr>
                    <a:xfrm rot="0">
                      <a:off x="0" y="0"/>
                      <a:ext cx="5274310" cy="3076575"/>
                    </a:xfrm>
                    <a:prstGeom prst="rect"/>
                    <a:ln w="9525" cmpd="sng" cap="flat">
                      <a:solidFill>
                        <a:srgbClr val="000000"/>
                      </a:solidFill>
                      <a:prstDash val="solid"/>
                      <a:miter/>
                    </a:ln>
                  </pic:spPr>
                </pic:pic>
              </a:graphicData>
            </a:graphic>
          </wp:inline>
        </w:drawing>
      </w:r>
    </w:p>
    <w:p>
      <w:pPr>
        <w:pStyle w:val="20"/>
        <w:spacing w:line="576" w:lineRule="exact"/>
        <w:ind w:right="-1260"/>
        <w:rPr>
          <w:rFonts w:ascii="方正黑体_GBK" w:eastAsia="方正黑体_GBK"/>
          <w:sz w:val="32"/>
          <w:szCs w:val="32"/>
        </w:rPr>
      </w:pPr>
      <w:r>
        <w:rPr>
          <w:rFonts w:ascii="方正黑体_GBK" w:eastAsia="方正黑体_GBK" w:hint="eastAsia"/>
          <w:sz w:val="32"/>
          <w:szCs w:val="32"/>
        </w:rPr>
        <w:t>三、支出决算情况说明</w:t>
      </w:r>
    </w:p>
    <w:p>
      <w:pPr>
        <w:spacing w:line="576" w:lineRule="exact"/>
        <w:ind w:right="-540" w:firstLine="640"/>
        <w:rPr>
          <w:rFonts w:ascii="Calibri" w:eastAsia="方正仿宋_GBK" w:cs="Times New Roman" w:hAnsi="Calibri"/>
          <w:sz w:val="32"/>
          <w:szCs w:val="32"/>
        </w:rPr>
      </w:pPr>
      <w:r>
        <w:rPr>
          <w:rFonts w:eastAsia="方正仿宋_GBK"/>
          <w:sz w:val="32"/>
          <w:szCs w:val="32"/>
        </w:rPr>
        <w:t>202</w:t>
      </w:r>
      <w:r>
        <w:rPr>
          <w:rFonts w:eastAsia="方正仿宋_GBK" w:hint="eastAsia"/>
          <w:sz w:val="32"/>
          <w:szCs w:val="32"/>
        </w:rPr>
        <w:t>2</w:t>
      </w:r>
      <w:r>
        <w:rPr>
          <w:rFonts w:ascii="Calibri" w:eastAsia="方正仿宋_GBK" w:cs="Times New Roman" w:hAnsi="Calibri"/>
          <w:sz w:val="32"/>
          <w:szCs w:val="32"/>
        </w:rPr>
        <w:t>年度支出合计</w:t>
      </w:r>
      <w:r>
        <w:rPr>
          <w:rFonts w:eastAsia="方正仿宋_GBK" w:hint="eastAsia"/>
          <w:sz w:val="32"/>
          <w:szCs w:val="32"/>
        </w:rPr>
        <w:t>30,859.01</w:t>
      </w:r>
      <w:r>
        <w:rPr>
          <w:rFonts w:ascii="Calibri" w:eastAsia="方正仿宋_GBK" w:cs="Times New Roman" w:hAnsi="Calibri"/>
          <w:sz w:val="32"/>
          <w:szCs w:val="32"/>
        </w:rPr>
        <w:t>万元，其中：基本支出</w:t>
      </w:r>
      <w:r>
        <w:rPr>
          <w:rFonts w:eastAsia="方正仿宋_GBK" w:hint="eastAsia"/>
          <w:sz w:val="32"/>
          <w:szCs w:val="32"/>
        </w:rPr>
        <w:t>25,190.63</w:t>
      </w:r>
      <w:r>
        <w:rPr>
          <w:rFonts w:ascii="Calibri" w:eastAsia="方正仿宋_GBK" w:cs="Times New Roman" w:hAnsi="Calibri"/>
          <w:sz w:val="32"/>
          <w:szCs w:val="32"/>
        </w:rPr>
        <w:t>万元，占</w:t>
      </w:r>
      <w:r>
        <w:rPr>
          <w:rFonts w:eastAsia="方正仿宋_GBK" w:hint="eastAsia"/>
          <w:sz w:val="32"/>
          <w:szCs w:val="32"/>
        </w:rPr>
        <w:t>81.63</w:t>
      </w:r>
      <w:r>
        <w:rPr>
          <w:rFonts w:ascii="Calibri" w:eastAsia="方正仿宋_GBK" w:cs="Times New Roman" w:hAnsi="Calibri"/>
          <w:sz w:val="32"/>
          <w:szCs w:val="32"/>
        </w:rPr>
        <w:t>%；项目支出</w:t>
      </w:r>
      <w:r>
        <w:rPr>
          <w:rFonts w:eastAsia="方正仿宋_GBK" w:hint="eastAsia"/>
          <w:sz w:val="32"/>
          <w:szCs w:val="32"/>
        </w:rPr>
        <w:t>5,668.38</w:t>
      </w:r>
      <w:r>
        <w:rPr>
          <w:rFonts w:ascii="Calibri" w:eastAsia="方正仿宋_GBK" w:cs="Times New Roman" w:hAnsi="Calibri"/>
          <w:sz w:val="32"/>
          <w:szCs w:val="32"/>
        </w:rPr>
        <w:t>万元，占</w:t>
      </w:r>
      <w:r>
        <w:rPr>
          <w:rFonts w:eastAsia="方正仿宋_GBK" w:hint="eastAsia"/>
          <w:sz w:val="32"/>
          <w:szCs w:val="32"/>
        </w:rPr>
        <w:t>18.37</w:t>
      </w:r>
      <w:r>
        <w:rPr>
          <w:rFonts w:ascii="Calibri" w:eastAsia="方正仿宋_GBK" w:cs="Times New Roman" w:hAnsi="Calibri"/>
          <w:sz w:val="32"/>
          <w:szCs w:val="32"/>
        </w:rPr>
        <w:t>%。</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b/>
          <w:bCs/>
          <w:szCs w:val="32"/>
        </w:rPr>
        <w:t>图</w:t>
      </w:r>
      <w:r>
        <w:rPr>
          <w:rFonts w:ascii="Times New Roman" w:eastAsia="方正楷体_GBK" w:hAnsi="Times New Roman" w:hint="eastAsia"/>
          <w:b/>
          <w:bCs/>
          <w:szCs w:val="32"/>
        </w:rPr>
        <w:t>3</w:t>
      </w:r>
      <w:r>
        <w:rPr>
          <w:rFonts w:ascii="Times New Roman" w:eastAsia="方正楷体_GBK" w:hAnsi="Times New Roman"/>
          <w:b/>
          <w:bCs/>
          <w:szCs w:val="32"/>
        </w:rPr>
        <w:t>：</w:t>
      </w:r>
      <w:r>
        <w:rPr>
          <w:rFonts w:ascii="Times New Roman" w:eastAsia="方正楷体_GBK" w:hAnsi="Times New Roman" w:hint="eastAsia"/>
          <w:b/>
          <w:bCs/>
          <w:szCs w:val="32"/>
        </w:rPr>
        <w:t>支出</w:t>
      </w:r>
      <w:r>
        <w:rPr>
          <w:rFonts w:ascii="Times New Roman" w:eastAsia="方正楷体_GBK" w:hAnsi="Times New Roman"/>
          <w:b/>
          <w:bCs/>
          <w:szCs w:val="32"/>
        </w:rPr>
        <w:t>决算</w:t>
      </w:r>
      <w:r>
        <w:rPr>
          <w:rFonts w:ascii="Times New Roman" w:eastAsia="方正楷体_GBK" w:hAnsi="Times New Roman" w:hint="eastAsia"/>
          <w:b/>
          <w:bCs/>
          <w:szCs w:val="32"/>
        </w:rPr>
        <w:t>结构</w:t>
      </w:r>
    </w:p>
    <w:p/>
    <w:p/>
    <w:p>
      <w:r>
        <w:drawing>
          <wp:inline distT="0" distB="0" distL="0" distR="0">
            <wp:extent cx="5274310" cy="3076575"/>
            <wp:effectExtent l="0" t="0" r="0" b="0"/>
            <wp:docPr id="7" name="对象 7"/>
            <wp:cNvGraphicFramePr>
              <a:graphicFrameLocks noChangeAspect="0"/>
            </wp:cNvGraphicFramePr>
            <a:graphic>
              <a:graphicData uri="http://schemas.openxmlformats.org/drawingml/2006/picture">
                <pic:pic>
                  <pic:nvPicPr>
                    <pic:cNvPr id="9" name="对象 9"/>
                    <pic:cNvPicPr/>
                  </pic:nvPicPr>
                  <pic:blipFill>
                    <a:blip r:embed="rId7"/>
                    <a:stretch>
                      <a:fillRect/>
                    </a:stretch>
                  </pic:blipFill>
                  <pic:spPr>
                    <a:xfrm rot="0">
                      <a:off x="0" y="0"/>
                      <a:ext cx="5274310" cy="3076575"/>
                    </a:xfrm>
                    <a:prstGeom prst="rect"/>
                    <a:ln w="9525" cmpd="sng" cap="flat">
                      <a:solidFill>
                        <a:srgbClr val="000000"/>
                      </a:solidFill>
                      <a:prstDash val="solid"/>
                      <a:miter/>
                    </a:ln>
                  </pic:spPr>
                </pic:pic>
              </a:graphicData>
            </a:graphic>
          </wp:inline>
        </w:drawing>
      </w:r>
    </w:p>
    <w:p>
      <w:pPr>
        <w:pStyle w:val="20"/>
        <w:spacing w:line="576" w:lineRule="exact"/>
        <w:ind w:right="-1260"/>
        <w:rPr>
          <w:rFonts w:ascii="方正黑体_GBK" w:eastAsia="方正黑体_GBK"/>
          <w:sz w:val="32"/>
          <w:szCs w:val="32"/>
        </w:rPr>
      </w:pPr>
      <w:r>
        <w:rPr>
          <w:rFonts w:ascii="方正黑体_GBK" w:eastAsia="方正黑体_GBK" w:hint="eastAsia"/>
          <w:sz w:val="32"/>
          <w:szCs w:val="32"/>
        </w:rPr>
        <w:t>四、财政拨款收入支出决算总体情况说明</w:t>
      </w:r>
    </w:p>
    <w:p>
      <w:pPr>
        <w:ind w:firstLineChars="200" w:firstLine="640"/>
        <w:rPr>
          <w:rFonts w:ascii="Calibri" w:eastAsia="方正仿宋_GBK" w:cs="Times New Roman" w:hAnsi="Calibri"/>
          <w:sz w:val="32"/>
          <w:szCs w:val="32"/>
        </w:rPr>
      </w:pPr>
      <w:r>
        <w:rPr>
          <w:rFonts w:ascii="Calibri" w:eastAsia="方正仿宋_GBK" w:cs="Times New Roman" w:hAnsi="Calibri" w:hint="eastAsia"/>
          <w:sz w:val="32"/>
          <w:szCs w:val="32"/>
        </w:rPr>
        <w:t>2022年度财政拨款收支总计32,284.19万元。与2021年度相比，财政拨款收、支各增加了2416.19万元，增加8.09%，主要是社会保障和就业支出增加。</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b/>
          <w:bCs/>
          <w:szCs w:val="32"/>
        </w:rPr>
        <w:t>图</w:t>
      </w:r>
      <w:r>
        <w:rPr>
          <w:rFonts w:ascii="Times New Roman" w:eastAsia="方正楷体_GBK" w:hAnsi="Times New Roman" w:hint="eastAsia"/>
          <w:b/>
          <w:bCs/>
          <w:szCs w:val="32"/>
        </w:rPr>
        <w:t>4</w:t>
      </w:r>
      <w:r>
        <w:rPr>
          <w:rFonts w:ascii="Times New Roman" w:eastAsia="方正楷体_GBK" w:hAnsi="Times New Roman"/>
          <w:b/>
          <w:bCs/>
          <w:szCs w:val="32"/>
        </w:rPr>
        <w:t>：</w:t>
      </w:r>
      <w:r>
        <w:rPr>
          <w:rFonts w:ascii="Times New Roman" w:eastAsia="方正楷体_GBK" w:hAnsi="Times New Roman" w:hint="eastAsia"/>
          <w:b/>
          <w:bCs/>
          <w:szCs w:val="32"/>
        </w:rPr>
        <w:t>财政拨款收、支就算总计变动情况</w:t>
      </w:r>
    </w:p>
    <w:p>
      <w:pPr>
        <w:pStyle w:val="19"/>
        <w:spacing w:line="560" w:lineRule="exact"/>
        <w:jc w:val="center"/>
        <w:rPr>
          <w:rFonts w:ascii="Times New Roman" w:eastAsia="方正楷体_GBK" w:hAnsi="Times New Roman"/>
          <w:b/>
          <w:bCs/>
          <w:szCs w:val="32"/>
        </w:rPr>
      </w:pPr>
      <w:r>
        <w:rPr>
          <w:rFonts w:ascii="Times New Roman" w:eastAsia="方正楷体_GBK" w:hAnsi="Times New Roman" w:hint="eastAsia"/>
          <w:b/>
          <w:bCs/>
          <w:szCs w:val="32"/>
        </w:rPr>
        <w:t>（单位：万元）</w:t>
      </w:r>
      <w:r>
        <w:rPr>
          <w:rFonts w:ascii="Calibri" w:eastAsia="方正仿宋_GBK" w:hAnsi="Calibri" w:hint="eastAsia"/>
          <w:szCs w:val="32"/>
        </w:rPr>
        <w:drawing>
          <wp:anchor distT="0" distB="0" distL="114300" distR="114300" simplePos="0" relativeHeight="19" behindDoc="0" locked="0" layoutInCell="1" hidden="0" allowOverlap="1">
            <wp:simplePos x="0" y="0"/>
            <wp:positionH relativeFrom="column">
              <wp:posOffset>276225</wp:posOffset>
            </wp:positionH>
            <wp:positionV relativeFrom="paragraph">
              <wp:posOffset>690880</wp:posOffset>
            </wp:positionV>
            <wp:extent cx="4457700" cy="4010025"/>
            <wp:effectExtent l="0" t="0" r="0" b="0"/>
            <wp:wrapNone/>
            <wp:docPr id="10" name="对象 10" descr="7597028861659857936623"/>
            <wp:cNvGraphicFramePr>
              <a:graphicFrameLocks noChangeAspect="1"/>
            </wp:cNvGraphicFramePr>
            <a:graphic>
              <a:graphicData uri="http://schemas.openxmlformats.org/drawingml/2006/picture">
                <pic:pic>
                  <pic:nvPicPr>
                    <pic:cNvPr id="12" name="对象 12"/>
                    <pic:cNvPicPr/>
                  </pic:nvPicPr>
                  <pic:blipFill>
                    <a:blip r:embed="rId8"/>
                    <a:stretch>
                      <a:fillRect/>
                    </a:stretch>
                  </pic:blipFill>
                  <pic:spPr>
                    <a:xfrm rot="0">
                      <a:off x="0" y="0"/>
                      <a:ext cx="4457700" cy="4010025"/>
                    </a:xfrm>
                    <a:prstGeom prst="rect"/>
                    <a:ln w="9525" cmpd="sng" cap="flat">
                      <a:solidFill>
                        <a:srgbClr val="000000"/>
                      </a:solidFill>
                      <a:prstDash val="solid"/>
                      <a:miter/>
                    </a:ln>
                  </pic:spPr>
                </pic:pic>
              </a:graphicData>
            </a:graphic>
          </wp:anchor>
        </w:drawing>
      </w: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p>
    <w:p>
      <w:pPr>
        <w:pStyle w:val="20"/>
        <w:spacing w:line="576" w:lineRule="exact"/>
        <w:ind w:right="-1260"/>
        <w:rPr>
          <w:rFonts w:ascii="方正黑体_GBK" w:eastAsia="方正黑体_GBK"/>
          <w:sz w:val="32"/>
          <w:szCs w:val="32"/>
        </w:rPr>
      </w:pPr>
      <w:r>
        <w:rPr>
          <w:rFonts w:ascii="方正黑体_GBK" w:eastAsia="方正黑体_GBK" w:hint="eastAsia"/>
          <w:sz w:val="32"/>
          <w:szCs w:val="32"/>
        </w:rPr>
        <w:t>五、一般公共预算财政拨款支出决算情况说明</w:t>
      </w:r>
    </w:p>
    <w:p>
      <w:pPr>
        <w:pStyle w:val="19"/>
        <w:spacing w:line="560" w:lineRule="exact"/>
        <w:ind w:firstLineChars="200" w:firstLine="640"/>
        <w:rPr>
          <w:rFonts w:ascii="方正楷体_GBK" w:eastAsia="方正楷体_GBK"/>
          <w:b/>
          <w:szCs w:val="32"/>
        </w:rPr>
      </w:pPr>
      <w:r>
        <w:rPr>
          <w:rFonts w:ascii="方正楷体_GBK" w:eastAsia="方正楷体_GBK" w:hint="eastAsia"/>
          <w:b/>
          <w:szCs w:val="32"/>
        </w:rPr>
        <w:t>（一）财政拨款支出决算总体情况。</w:t>
      </w:r>
    </w:p>
    <w:p>
      <w:pPr>
        <w:pStyle w:val="22"/>
        <w:spacing w:line="576" w:lineRule="exact"/>
        <w:ind w:firstLineChars="200" w:firstLine="640"/>
        <w:rPr>
          <w:rFonts w:ascii="Times New Roman" w:eastAsia="方正仿宋_GBK" w:hAnsi="Times New Roman"/>
          <w:color w:val="000000"/>
          <w:szCs w:val="32"/>
          <w:lang w:val="zh-TW" w:eastAsia="zh-TW" w:bidi="zh-TW"/>
        </w:rPr>
      </w:pPr>
      <w:r>
        <w:rPr>
          <w:rFonts w:ascii="Times New Roman" w:eastAsia="方正仿宋_GBK" w:hAnsi="Times New Roman"/>
          <w:szCs w:val="32"/>
        </w:rPr>
        <w:t>202</w:t>
      </w:r>
      <w:r>
        <w:rPr>
          <w:rFonts w:ascii="Times New Roman" w:eastAsia="方正仿宋_GBK" w:hAnsi="Times New Roman" w:hint="eastAsia"/>
          <w:szCs w:val="32"/>
        </w:rPr>
        <w:t>2</w:t>
      </w:r>
      <w:r>
        <w:rPr>
          <w:rFonts w:ascii="Times New Roman" w:eastAsia="方正仿宋_GBK" w:hAnsi="Times New Roman"/>
          <w:szCs w:val="32"/>
        </w:rPr>
        <w:t>年度财政拨款支出2</w:t>
      </w:r>
      <w:r>
        <w:rPr>
          <w:rFonts w:ascii="Times New Roman" w:eastAsia="方正仿宋_GBK" w:hAnsi="Times New Roman" w:hint="eastAsia"/>
          <w:szCs w:val="32"/>
        </w:rPr>
        <w:t>6</w:t>
      </w:r>
      <w:r>
        <w:rPr>
          <w:rFonts w:ascii="Times New Roman" w:eastAsia="方正仿宋_GBK" w:hAnsi="Times New Roman"/>
          <w:szCs w:val="32"/>
        </w:rPr>
        <w:t>,</w:t>
      </w:r>
      <w:r>
        <w:rPr>
          <w:rFonts w:ascii="Times New Roman" w:eastAsia="方正仿宋_GBK" w:hAnsi="Times New Roman" w:hint="eastAsia"/>
          <w:szCs w:val="32"/>
        </w:rPr>
        <w:t>977</w:t>
      </w:r>
      <w:r>
        <w:rPr>
          <w:rFonts w:ascii="Times New Roman" w:eastAsia="方正仿宋_GBK" w:hAnsi="Times New Roman"/>
          <w:szCs w:val="32"/>
        </w:rPr>
        <w:t>.</w:t>
      </w:r>
      <w:r>
        <w:rPr>
          <w:rFonts w:ascii="Times New Roman" w:eastAsia="方正仿宋_GBK" w:hAnsi="Times New Roman" w:hint="eastAsia"/>
          <w:szCs w:val="32"/>
        </w:rPr>
        <w:t>70</w:t>
      </w:r>
      <w:r>
        <w:rPr>
          <w:rFonts w:ascii="Times New Roman" w:eastAsia="方正仿宋_GBK" w:hAnsi="Times New Roman"/>
          <w:szCs w:val="32"/>
        </w:rPr>
        <w:t>万元，占本年支出合计的</w:t>
      </w:r>
      <w:r>
        <w:rPr>
          <w:rFonts w:ascii="Times New Roman" w:eastAsia="方正仿宋_GBK" w:hAnsi="Times New Roman" w:hint="eastAsia"/>
          <w:szCs w:val="32"/>
        </w:rPr>
        <w:t>87.42</w:t>
      </w:r>
      <w:r>
        <w:rPr>
          <w:rFonts w:ascii="Times New Roman" w:eastAsia="方正仿宋_GBK" w:hAnsi="Times New Roman"/>
          <w:szCs w:val="32"/>
        </w:rPr>
        <w:t>%。与202</w:t>
      </w:r>
      <w:r>
        <w:rPr>
          <w:rFonts w:ascii="Times New Roman" w:eastAsia="方正仿宋_GBK" w:hAnsi="Times New Roman" w:hint="eastAsia"/>
          <w:szCs w:val="32"/>
        </w:rPr>
        <w:t>1</w:t>
      </w:r>
      <w:r>
        <w:rPr>
          <w:rFonts w:ascii="Times New Roman" w:eastAsia="方正仿宋_GBK" w:hAnsi="Times New Roman"/>
          <w:szCs w:val="32"/>
        </w:rPr>
        <w:t>年度相比，财政拨款支出减少</w:t>
      </w:r>
      <w:r>
        <w:rPr>
          <w:rFonts w:ascii="Times New Roman" w:eastAsia="方正仿宋_GBK" w:hAnsi="Times New Roman" w:hint="eastAsia"/>
          <w:szCs w:val="32"/>
        </w:rPr>
        <w:t>384.59</w:t>
      </w:r>
      <w:r>
        <w:rPr>
          <w:rFonts w:ascii="Times New Roman" w:eastAsia="方正仿宋_GBK" w:hAnsi="Times New Roman"/>
          <w:szCs w:val="32"/>
        </w:rPr>
        <w:t>万元，下降</w:t>
      </w:r>
      <w:r>
        <w:rPr>
          <w:rFonts w:ascii="Times New Roman" w:eastAsia="方正仿宋_GBK" w:hAnsi="Times New Roman" w:hint="eastAsia"/>
          <w:szCs w:val="32"/>
        </w:rPr>
        <w:t>1.41</w:t>
      </w:r>
      <w:r>
        <w:rPr>
          <w:rFonts w:ascii="Times New Roman" w:eastAsia="方正仿宋_GBK" w:hAnsi="Times New Roman"/>
          <w:szCs w:val="32"/>
        </w:rPr>
        <w:t>%，</w:t>
      </w:r>
      <w:r>
        <w:rPr>
          <w:rFonts w:ascii="Times New Roman" w:eastAsia="方正仿宋_GBK" w:hAnsi="Times New Roman"/>
          <w:color w:val="000000"/>
          <w:szCs w:val="32"/>
          <w:lang w:val="zh-TW" w:eastAsia="zh-TW" w:bidi="zh-TW"/>
        </w:rPr>
        <w:t>主要是</w:t>
      </w:r>
      <w:r>
        <w:rPr>
          <w:rFonts w:ascii="Times New Roman" w:eastAsia="方正仿宋_GBK" w:hAnsi="Times New Roman" w:hint="eastAsia"/>
          <w:color w:val="000000"/>
          <w:szCs w:val="32"/>
          <w:lang w:val="zh-TW" w:bidi="zh-TW"/>
        </w:rPr>
        <w:t>社会保障和就业支出</w:t>
      </w:r>
      <w:r>
        <w:rPr>
          <w:rFonts w:ascii="Times New Roman" w:eastAsia="方正仿宋_GBK" w:hAnsi="Times New Roman"/>
          <w:color w:val="000000"/>
          <w:szCs w:val="32"/>
          <w:lang w:val="zh-TW" w:eastAsia="zh-TW" w:bidi="zh-TW"/>
        </w:rPr>
        <w:t>减少。</w:t>
      </w:r>
    </w:p>
    <w:p>
      <w:pPr>
        <w:pStyle w:val="19"/>
        <w:spacing w:line="560" w:lineRule="exact"/>
        <w:ind w:firstLineChars="200" w:firstLine="640"/>
        <w:rPr>
          <w:rFonts w:ascii="Times New Roman" w:eastAsia="方正仿宋_GBK" w:hAnsi="Times New Roman"/>
          <w:szCs w:val="32"/>
        </w:rPr>
      </w:pPr>
    </w:p>
    <w:p>
      <w:pPr>
        <w:pStyle w:val="21"/>
        <w:tabs>
          <w:tab w:val="clear" w:pos="720"/>
        </w:tabs>
        <w:ind w:left="0" w:firstLine="0"/>
        <w:jc w:val="center"/>
        <w:rPr>
          <w:rFonts w:eastAsia="方正仿宋_GBK"/>
          <w:b/>
          <w:bCs/>
          <w:sz w:val="30"/>
          <w:szCs w:val="30"/>
        </w:rPr>
      </w:pPr>
      <w:r>
        <w:rPr>
          <w:rFonts w:eastAsia="方正仿宋_GBK"/>
          <w:b/>
          <w:bCs/>
          <w:sz w:val="30"/>
          <w:szCs w:val="30"/>
        </w:rPr>
        <w:t>图5：财政拨款支出决算变动情况</w:t>
      </w:r>
    </w:p>
    <w:p>
      <w:pPr>
        <w:pStyle w:val="21"/>
        <w:tabs>
          <w:tab w:val="clear" w:pos="720"/>
        </w:tabs>
        <w:ind w:left="0" w:firstLine="0"/>
        <w:jc w:val="center"/>
        <w:rPr>
          <w:rFonts w:eastAsia="方正仿宋_GBK"/>
          <w:b/>
          <w:bCs/>
          <w:sz w:val="30"/>
          <w:szCs w:val="30"/>
        </w:rPr>
      </w:pPr>
      <w:r>
        <w:rPr>
          <w:rFonts w:eastAsia="方正仿宋_GBK"/>
          <w:b/>
          <w:bCs/>
          <w:sz w:val="30"/>
          <w:szCs w:val="30"/>
        </w:rPr>
        <w:drawing>
          <wp:anchor distT="0" distB="0" distL="114300" distR="114300" simplePos="0" relativeHeight="20" behindDoc="0" locked="0" layoutInCell="1" hidden="0" allowOverlap="1">
            <wp:simplePos x="0" y="0"/>
            <wp:positionH relativeFrom="column">
              <wp:posOffset>428625</wp:posOffset>
            </wp:positionH>
            <wp:positionV relativeFrom="paragraph">
              <wp:posOffset>647700</wp:posOffset>
            </wp:positionV>
            <wp:extent cx="4457700" cy="4010025"/>
            <wp:effectExtent l="0" t="0" r="0" b="0"/>
            <wp:wrapNone/>
            <wp:docPr id="13" name="对象 13" descr="7597028861659857936623"/>
            <wp:cNvGraphicFramePr>
              <a:graphicFrameLocks noChangeAspect="1"/>
            </wp:cNvGraphicFramePr>
            <a:graphic>
              <a:graphicData uri="http://schemas.openxmlformats.org/drawingml/2006/picture">
                <pic:pic>
                  <pic:nvPicPr>
                    <pic:cNvPr id="15" name="对象 15"/>
                    <pic:cNvPicPr/>
                  </pic:nvPicPr>
                  <pic:blipFill>
                    <a:blip r:embed="rId9"/>
                    <a:stretch>
                      <a:fillRect/>
                    </a:stretch>
                  </pic:blipFill>
                  <pic:spPr>
                    <a:xfrm rot="0">
                      <a:off x="0" y="0"/>
                      <a:ext cx="4457700" cy="4010025"/>
                    </a:xfrm>
                    <a:prstGeom prst="rect"/>
                    <a:ln w="9525" cmpd="sng" cap="flat">
                      <a:solidFill>
                        <a:srgbClr val="000000"/>
                      </a:solidFill>
                      <a:prstDash val="solid"/>
                      <a:miter/>
                    </a:ln>
                  </pic:spPr>
                </pic:pic>
              </a:graphicData>
            </a:graphic>
          </wp:anchor>
        </w:drawing>
      </w:r>
      <w:r>
        <w:rPr>
          <w:rFonts w:eastAsia="方正仿宋_GBK"/>
          <w:b/>
          <w:bCs/>
          <w:sz w:val="30"/>
          <w:szCs w:val="30"/>
        </w:rPr>
        <w:t>（单位：万元</w:t>
      </w:r>
      <w:r>
        <w:rPr>
          <w:rFonts w:eastAsia="方正仿宋_GBK" w:hint="eastAsia"/>
          <w:b/>
          <w:bCs/>
          <w:sz w:val="30"/>
          <w:szCs w:val="30"/>
        </w:rPr>
        <w:t>）</w:t>
      </w: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21"/>
        <w:tabs>
          <w:tab w:val="clear" w:pos="720"/>
        </w:tabs>
        <w:ind w:left="0" w:firstLine="0"/>
        <w:jc w:val="center"/>
        <w:rPr>
          <w:rFonts w:eastAsia="方正仿宋_GBK"/>
          <w:b/>
          <w:bCs/>
          <w:sz w:val="30"/>
          <w:szCs w:val="30"/>
        </w:rPr>
      </w:pPr>
    </w:p>
    <w:p>
      <w:pPr>
        <w:pStyle w:val="19"/>
        <w:spacing w:line="560" w:lineRule="exact"/>
        <w:ind w:firstLineChars="200" w:firstLine="640"/>
        <w:rPr>
          <w:rFonts w:ascii="方正楷体_GBK" w:eastAsia="方正楷体_GBK"/>
          <w:b/>
          <w:szCs w:val="32"/>
        </w:rPr>
      </w:pPr>
      <w:r>
        <w:rPr>
          <w:rFonts w:ascii="方正楷体_GBK" w:eastAsia="方正楷体_GBK" w:hint="eastAsia"/>
          <w:b/>
          <w:szCs w:val="32"/>
        </w:rPr>
        <w:t>（二）财政拨款支出决算结构情况。</w:t>
      </w:r>
    </w:p>
    <w:p>
      <w:pPr>
        <w:pStyle w:val="21"/>
        <w:tabs>
          <w:tab w:val="clear" w:pos="720"/>
        </w:tabs>
        <w:spacing w:line="576" w:lineRule="exact"/>
        <w:ind w:left="0" w:firstLineChars="250" w:firstLine="800"/>
        <w:rPr>
          <w:rFonts w:eastAsia="方正仿宋_GBK"/>
          <w:sz w:val="32"/>
          <w:szCs w:val="32"/>
        </w:rPr>
      </w:pPr>
      <w:r>
        <w:rPr>
          <w:rFonts w:eastAsia="方正仿宋_GBK"/>
          <w:sz w:val="32"/>
          <w:szCs w:val="32"/>
        </w:rPr>
        <w:t>202</w:t>
      </w:r>
      <w:r>
        <w:rPr>
          <w:rFonts w:eastAsia="方正仿宋_GBK" w:hint="eastAsia"/>
          <w:sz w:val="32"/>
          <w:szCs w:val="32"/>
        </w:rPr>
        <w:t>2</w:t>
      </w:r>
      <w:r>
        <w:rPr>
          <w:rFonts w:eastAsia="方正仿宋_GBK"/>
          <w:sz w:val="32"/>
          <w:szCs w:val="32"/>
        </w:rPr>
        <w:t>年度财政拨款支出2</w:t>
      </w:r>
      <w:r>
        <w:rPr>
          <w:rFonts w:eastAsia="方正仿宋_GBK" w:hint="eastAsia"/>
          <w:sz w:val="32"/>
          <w:szCs w:val="32"/>
        </w:rPr>
        <w:t>6</w:t>
      </w:r>
      <w:r>
        <w:rPr>
          <w:rFonts w:eastAsia="方正仿宋_GBK"/>
          <w:sz w:val="32"/>
          <w:szCs w:val="32"/>
        </w:rPr>
        <w:t>,</w:t>
      </w:r>
      <w:r>
        <w:rPr>
          <w:rFonts w:eastAsia="方正仿宋_GBK" w:hint="eastAsia"/>
          <w:sz w:val="32"/>
          <w:szCs w:val="32"/>
        </w:rPr>
        <w:t>977</w:t>
      </w:r>
      <w:r>
        <w:rPr>
          <w:rFonts w:eastAsia="方正仿宋_GBK"/>
          <w:sz w:val="32"/>
          <w:szCs w:val="32"/>
        </w:rPr>
        <w:t>.</w:t>
      </w:r>
      <w:r>
        <w:rPr>
          <w:rFonts w:eastAsia="方正仿宋_GBK" w:hint="eastAsia"/>
          <w:sz w:val="32"/>
          <w:szCs w:val="32"/>
        </w:rPr>
        <w:t>70</w:t>
      </w:r>
      <w:r>
        <w:rPr>
          <w:rFonts w:eastAsia="方正仿宋_GBK"/>
          <w:sz w:val="32"/>
          <w:szCs w:val="32"/>
        </w:rPr>
        <w:t>万元，主要用于以下方面：一般公共服务支出</w:t>
      </w:r>
      <w:r>
        <w:rPr>
          <w:rFonts w:eastAsia="方正仿宋_GBK" w:hint="eastAsia"/>
          <w:sz w:val="32"/>
          <w:szCs w:val="32"/>
        </w:rPr>
        <w:t>20</w:t>
      </w:r>
      <w:r>
        <w:rPr>
          <w:rFonts w:eastAsia="方正仿宋_GBK"/>
          <w:sz w:val="32"/>
          <w:szCs w:val="32"/>
        </w:rPr>
        <w:t>,</w:t>
      </w:r>
      <w:r>
        <w:rPr>
          <w:rFonts w:eastAsia="方正仿宋_GBK" w:hint="eastAsia"/>
          <w:sz w:val="32"/>
          <w:szCs w:val="32"/>
        </w:rPr>
        <w:t>728</w:t>
      </w:r>
      <w:r>
        <w:rPr>
          <w:rFonts w:eastAsia="方正仿宋_GBK"/>
          <w:sz w:val="32"/>
          <w:szCs w:val="32"/>
        </w:rPr>
        <w:t>.</w:t>
      </w:r>
      <w:r>
        <w:rPr>
          <w:rFonts w:eastAsia="方正仿宋_GBK" w:hint="eastAsia"/>
          <w:sz w:val="32"/>
          <w:szCs w:val="32"/>
        </w:rPr>
        <w:t>34</w:t>
      </w:r>
      <w:r>
        <w:rPr>
          <w:rFonts w:eastAsia="方正仿宋_GBK"/>
          <w:sz w:val="32"/>
          <w:szCs w:val="32"/>
        </w:rPr>
        <w:t>元，占7</w:t>
      </w:r>
      <w:r>
        <w:rPr>
          <w:rFonts w:eastAsia="方正仿宋_GBK" w:hint="eastAsia"/>
          <w:sz w:val="32"/>
          <w:szCs w:val="32"/>
        </w:rPr>
        <w:t>6</w:t>
      </w:r>
      <w:r>
        <w:rPr>
          <w:rFonts w:eastAsia="方正仿宋_GBK"/>
          <w:sz w:val="32"/>
          <w:szCs w:val="32"/>
        </w:rPr>
        <w:t>.</w:t>
      </w:r>
      <w:r>
        <w:rPr>
          <w:rFonts w:eastAsia="方正仿宋_GBK" w:hint="eastAsia"/>
          <w:sz w:val="32"/>
          <w:szCs w:val="32"/>
        </w:rPr>
        <w:t>84</w:t>
      </w:r>
      <w:r>
        <w:rPr>
          <w:rFonts w:eastAsia="方正仿宋_GBK"/>
          <w:sz w:val="32"/>
          <w:szCs w:val="32"/>
        </w:rPr>
        <w:t>%；公共安全支出1,</w:t>
      </w:r>
      <w:r>
        <w:rPr>
          <w:rFonts w:eastAsia="方正仿宋_GBK" w:hint="eastAsia"/>
          <w:sz w:val="32"/>
          <w:szCs w:val="32"/>
        </w:rPr>
        <w:t>835</w:t>
      </w:r>
      <w:r>
        <w:rPr>
          <w:rFonts w:eastAsia="方正仿宋_GBK"/>
          <w:sz w:val="32"/>
          <w:szCs w:val="32"/>
        </w:rPr>
        <w:t>.</w:t>
      </w:r>
      <w:r>
        <w:rPr>
          <w:rFonts w:eastAsia="方正仿宋_GBK" w:hint="eastAsia"/>
          <w:sz w:val="32"/>
          <w:szCs w:val="32"/>
        </w:rPr>
        <w:t>78</w:t>
      </w:r>
      <w:r>
        <w:rPr>
          <w:rFonts w:eastAsia="方正仿宋_GBK"/>
          <w:sz w:val="32"/>
          <w:szCs w:val="32"/>
        </w:rPr>
        <w:t>万元，占</w:t>
      </w:r>
      <w:r>
        <w:rPr>
          <w:rFonts w:eastAsia="方正仿宋_GBK" w:hint="eastAsia"/>
          <w:sz w:val="32"/>
          <w:szCs w:val="32"/>
        </w:rPr>
        <w:t>6</w:t>
      </w:r>
      <w:r>
        <w:rPr>
          <w:rFonts w:eastAsia="方正仿宋_GBK"/>
          <w:sz w:val="32"/>
          <w:szCs w:val="32"/>
        </w:rPr>
        <w:t>.</w:t>
      </w:r>
      <w:r>
        <w:rPr>
          <w:rFonts w:eastAsia="方正仿宋_GBK" w:hint="eastAsia"/>
          <w:sz w:val="32"/>
          <w:szCs w:val="32"/>
        </w:rPr>
        <w:t>80</w:t>
      </w:r>
      <w:r>
        <w:rPr>
          <w:rFonts w:eastAsia="方正仿宋_GBK"/>
          <w:sz w:val="32"/>
          <w:szCs w:val="32"/>
        </w:rPr>
        <w:t>%；社会保障和就业支出</w:t>
      </w:r>
      <w:r>
        <w:rPr>
          <w:rFonts w:eastAsia="方正仿宋_GBK" w:hint="eastAsia"/>
          <w:sz w:val="32"/>
          <w:szCs w:val="32"/>
        </w:rPr>
        <w:t>1</w:t>
      </w:r>
      <w:r>
        <w:rPr>
          <w:rFonts w:eastAsia="方正仿宋_GBK"/>
          <w:sz w:val="32"/>
          <w:szCs w:val="32"/>
        </w:rPr>
        <w:t>,</w:t>
      </w:r>
      <w:r>
        <w:rPr>
          <w:rFonts w:eastAsia="方正仿宋_GBK" w:hint="eastAsia"/>
          <w:sz w:val="32"/>
          <w:szCs w:val="32"/>
        </w:rPr>
        <w:t>787.88</w:t>
      </w:r>
      <w:r>
        <w:rPr>
          <w:rFonts w:eastAsia="方正仿宋_GBK"/>
          <w:sz w:val="32"/>
          <w:szCs w:val="32"/>
        </w:rPr>
        <w:t>万元，占</w:t>
      </w:r>
      <w:r>
        <w:rPr>
          <w:rFonts w:eastAsia="方正仿宋_GBK" w:hint="eastAsia"/>
          <w:sz w:val="32"/>
          <w:szCs w:val="32"/>
        </w:rPr>
        <w:t>6</w:t>
      </w:r>
      <w:r>
        <w:rPr>
          <w:rFonts w:eastAsia="方正仿宋_GBK"/>
          <w:sz w:val="32"/>
          <w:szCs w:val="32"/>
        </w:rPr>
        <w:t>.6</w:t>
      </w:r>
      <w:r>
        <w:rPr>
          <w:rFonts w:eastAsia="方正仿宋_GBK" w:hint="eastAsia"/>
          <w:sz w:val="32"/>
          <w:szCs w:val="32"/>
        </w:rPr>
        <w:t>3</w:t>
      </w:r>
      <w:r>
        <w:rPr>
          <w:rFonts w:eastAsia="方正仿宋_GBK"/>
          <w:sz w:val="32"/>
          <w:szCs w:val="32"/>
        </w:rPr>
        <w:t>%；卫生健康支出7</w:t>
      </w:r>
      <w:r>
        <w:rPr>
          <w:rFonts w:eastAsia="方正仿宋_GBK" w:hint="eastAsia"/>
          <w:sz w:val="32"/>
          <w:szCs w:val="32"/>
        </w:rPr>
        <w:t>40</w:t>
      </w:r>
      <w:r>
        <w:rPr>
          <w:rFonts w:eastAsia="方正仿宋_GBK"/>
          <w:sz w:val="32"/>
          <w:szCs w:val="32"/>
        </w:rPr>
        <w:t>.</w:t>
      </w:r>
      <w:r>
        <w:rPr>
          <w:rFonts w:eastAsia="方正仿宋_GBK" w:hint="eastAsia"/>
          <w:sz w:val="32"/>
          <w:szCs w:val="32"/>
        </w:rPr>
        <w:t>79</w:t>
      </w:r>
      <w:r>
        <w:rPr>
          <w:rFonts w:eastAsia="方正仿宋_GBK"/>
          <w:sz w:val="32"/>
          <w:szCs w:val="32"/>
        </w:rPr>
        <w:t>万元，占2.</w:t>
      </w:r>
      <w:r>
        <w:rPr>
          <w:rFonts w:eastAsia="方正仿宋_GBK" w:hint="eastAsia"/>
          <w:sz w:val="32"/>
          <w:szCs w:val="32"/>
        </w:rPr>
        <w:t>75</w:t>
      </w:r>
      <w:r>
        <w:rPr>
          <w:rFonts w:eastAsia="方正仿宋_GBK"/>
          <w:sz w:val="32"/>
          <w:szCs w:val="32"/>
        </w:rPr>
        <w:t>%；住房保障支出1,</w:t>
      </w:r>
      <w:r>
        <w:rPr>
          <w:rFonts w:eastAsia="方正仿宋_GBK" w:hint="eastAsia"/>
          <w:sz w:val="32"/>
          <w:szCs w:val="32"/>
        </w:rPr>
        <w:t>884</w:t>
      </w:r>
      <w:r>
        <w:rPr>
          <w:rFonts w:eastAsia="方正仿宋_GBK"/>
          <w:sz w:val="32"/>
          <w:szCs w:val="32"/>
        </w:rPr>
        <w:t>.9</w:t>
      </w:r>
      <w:r>
        <w:rPr>
          <w:rFonts w:eastAsia="方正仿宋_GBK" w:hint="eastAsia"/>
          <w:sz w:val="32"/>
          <w:szCs w:val="32"/>
        </w:rPr>
        <w:t>1</w:t>
      </w:r>
      <w:r>
        <w:rPr>
          <w:rFonts w:eastAsia="方正仿宋_GBK"/>
          <w:sz w:val="32"/>
          <w:szCs w:val="32"/>
        </w:rPr>
        <w:t>万元，占</w:t>
      </w:r>
      <w:r>
        <w:rPr>
          <w:rFonts w:eastAsia="方正仿宋_GBK" w:hint="eastAsia"/>
          <w:sz w:val="32"/>
          <w:szCs w:val="32"/>
        </w:rPr>
        <w:t>6</w:t>
      </w:r>
      <w:r>
        <w:rPr>
          <w:rFonts w:eastAsia="方正仿宋_GBK"/>
          <w:sz w:val="32"/>
          <w:szCs w:val="32"/>
        </w:rPr>
        <w:t>.</w:t>
      </w:r>
      <w:r>
        <w:rPr>
          <w:rFonts w:eastAsia="方正仿宋_GBK" w:hint="eastAsia"/>
          <w:sz w:val="32"/>
          <w:szCs w:val="32"/>
        </w:rPr>
        <w:t>98</w:t>
      </w:r>
      <w:r>
        <w:rPr>
          <w:rFonts w:eastAsia="方正仿宋_GBK"/>
          <w:sz w:val="32"/>
          <w:szCs w:val="32"/>
        </w:rPr>
        <w:t>%。</w:t>
      </w:r>
    </w:p>
    <w:p>
      <w:pPr>
        <w:pStyle w:val="23"/>
        <w:spacing w:line="576" w:lineRule="exact"/>
        <w:ind w:right="-1260"/>
        <w:rPr>
          <w:rFonts w:ascii="方正楷体_GBK" w:eastAsia="方正楷体_GBK"/>
          <w:b/>
          <w:bCs/>
          <w:sz w:val="32"/>
          <w:szCs w:val="32"/>
        </w:rPr>
      </w:pPr>
    </w:p>
    <w:p>
      <w:pPr>
        <w:pStyle w:val="23"/>
        <w:spacing w:line="576" w:lineRule="exact"/>
        <w:ind w:right="-1260"/>
        <w:jc w:val="center"/>
        <w:rPr>
          <w:rFonts w:ascii="方正楷体_GBK" w:eastAsia="方正楷体_GBK"/>
          <w:b/>
          <w:bCs/>
          <w:sz w:val="32"/>
          <w:szCs w:val="32"/>
        </w:rPr>
      </w:pPr>
      <w:r>
        <w:rPr>
          <w:rFonts w:ascii="方正楷体_GBK" w:eastAsia="方正楷体_GBK" w:hint="eastAsia"/>
          <w:b/>
          <w:bCs/>
          <w:sz w:val="32"/>
          <w:szCs w:val="32"/>
        </w:rPr>
        <w:t>图6：财政拨款支出决算结构</w:t>
      </w:r>
    </w:p>
    <w:p>
      <w:pPr>
        <w:pStyle w:val="21"/>
        <w:tabs>
          <w:tab w:val="clear" w:pos="720"/>
        </w:tabs>
        <w:ind w:left="0" w:firstLine="0"/>
        <w:jc w:val="center"/>
        <w:rPr>
          <w:rFonts w:eastAsia="方正仿宋_GBK"/>
          <w:b/>
          <w:bCs/>
          <w:sz w:val="30"/>
          <w:szCs w:val="30"/>
        </w:rPr>
      </w:pPr>
      <w:r>
        <w:rPr>
          <w:rFonts w:eastAsia="方正仿宋_GBK"/>
          <w:b/>
          <w:bCs/>
          <w:sz w:val="30"/>
          <w:szCs w:val="30"/>
        </w:rPr>
        <w:drawing>
          <wp:inline distT="0" distB="0" distL="0" distR="0">
            <wp:extent cx="5274310" cy="3076575"/>
            <wp:effectExtent l="0" t="0" r="0" b="0"/>
            <wp:docPr id="16" name="对象 16"/>
            <wp:cNvGraphicFramePr>
              <a:graphicFrameLocks noChangeAspect="0"/>
            </wp:cNvGraphicFramePr>
            <a:graphic>
              <a:graphicData uri="http://schemas.openxmlformats.org/drawingml/2006/picture">
                <pic:pic>
                  <pic:nvPicPr>
                    <pic:cNvPr id="18" name="对象 18"/>
                    <pic:cNvPicPr/>
                  </pic:nvPicPr>
                  <pic:blipFill>
                    <a:blip r:embed="rId10"/>
                    <a:stretch>
                      <a:fillRect/>
                    </a:stretch>
                  </pic:blipFill>
                  <pic:spPr>
                    <a:xfrm rot="0">
                      <a:off x="0" y="0"/>
                      <a:ext cx="5274310" cy="3076575"/>
                    </a:xfrm>
                    <a:prstGeom prst="rect"/>
                    <a:ln w="9525" cmpd="sng" cap="flat">
                      <a:solidFill>
                        <a:srgbClr val="000000"/>
                      </a:solidFill>
                      <a:prstDash val="solid"/>
                      <a:miter/>
                    </a:ln>
                  </pic:spPr>
                </pic:pic>
              </a:graphicData>
            </a:graphic>
          </wp:inline>
        </w:drawing>
      </w:r>
    </w:p>
    <w:p>
      <w:pPr>
        <w:pStyle w:val="19"/>
        <w:spacing w:line="560" w:lineRule="exact"/>
        <w:ind w:firstLineChars="200" w:firstLine="640"/>
        <w:rPr>
          <w:rFonts w:ascii="方正楷体_GBK" w:eastAsia="方正楷体_GBK"/>
          <w:b/>
          <w:bCs/>
          <w:szCs w:val="32"/>
        </w:rPr>
      </w:pPr>
      <w:r>
        <w:rPr>
          <w:rFonts w:ascii="方正楷体_GBK" w:eastAsia="方正楷体_GBK" w:hint="eastAsia"/>
          <w:b/>
          <w:bCs/>
          <w:szCs w:val="32"/>
        </w:rPr>
        <w:t>（三）财政拨款支出决算具体情况。</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202</w:t>
      </w:r>
      <w:r>
        <w:rPr>
          <w:rFonts w:eastAsia="方正仿宋_GBK" w:hint="eastAsia"/>
          <w:sz w:val="32"/>
          <w:szCs w:val="32"/>
        </w:rPr>
        <w:t>2</w:t>
      </w:r>
      <w:r>
        <w:rPr>
          <w:rFonts w:eastAsia="方正仿宋_GBK"/>
          <w:sz w:val="32"/>
          <w:szCs w:val="32"/>
        </w:rPr>
        <w:t>年度财政拨款支出</w:t>
      </w:r>
      <w:r>
        <w:rPr>
          <w:rFonts w:eastAsia="方正仿宋_GBK" w:hint="eastAsia"/>
          <w:sz w:val="32"/>
          <w:szCs w:val="32"/>
        </w:rPr>
        <w:t>年初预算</w:t>
      </w:r>
      <w:r>
        <w:rPr>
          <w:rFonts w:eastAsia="方正仿宋_GBK"/>
          <w:sz w:val="32"/>
          <w:szCs w:val="32"/>
        </w:rPr>
        <w:t>为2</w:t>
      </w:r>
      <w:r>
        <w:rPr>
          <w:rFonts w:eastAsia="方正仿宋_GBK" w:hint="eastAsia"/>
          <w:sz w:val="32"/>
          <w:szCs w:val="32"/>
        </w:rPr>
        <w:t>7</w:t>
      </w:r>
      <w:r>
        <w:rPr>
          <w:rFonts w:eastAsia="方正仿宋_GBK"/>
          <w:sz w:val="32"/>
          <w:szCs w:val="32"/>
        </w:rPr>
        <w:t>,</w:t>
      </w:r>
      <w:r>
        <w:rPr>
          <w:rFonts w:eastAsia="方正仿宋_GBK" w:hint="eastAsia"/>
          <w:sz w:val="32"/>
          <w:szCs w:val="32"/>
        </w:rPr>
        <w:t>462</w:t>
      </w:r>
      <w:r>
        <w:rPr>
          <w:rFonts w:eastAsia="方正仿宋_GBK"/>
          <w:sz w:val="32"/>
          <w:szCs w:val="32"/>
        </w:rPr>
        <w:t>.</w:t>
      </w:r>
      <w:r>
        <w:rPr>
          <w:rFonts w:eastAsia="方正仿宋_GBK" w:hint="eastAsia"/>
          <w:sz w:val="32"/>
          <w:szCs w:val="32"/>
        </w:rPr>
        <w:t>05</w:t>
      </w:r>
      <w:r>
        <w:rPr>
          <w:rFonts w:eastAsia="方正仿宋_GBK"/>
          <w:sz w:val="32"/>
          <w:szCs w:val="32"/>
        </w:rPr>
        <w:t>万元,支出</w:t>
      </w:r>
      <w:r>
        <w:rPr>
          <w:rFonts w:eastAsia="方正仿宋_GBK" w:hint="eastAsia"/>
          <w:sz w:val="32"/>
          <w:szCs w:val="32"/>
        </w:rPr>
        <w:t>决算为</w:t>
      </w:r>
      <w:r>
        <w:rPr>
          <w:rFonts w:eastAsia="方正仿宋_GBK"/>
          <w:sz w:val="32"/>
          <w:szCs w:val="32"/>
        </w:rPr>
        <w:t>2</w:t>
      </w:r>
      <w:r>
        <w:rPr>
          <w:rFonts w:eastAsia="方正仿宋_GBK" w:hint="eastAsia"/>
          <w:sz w:val="32"/>
          <w:szCs w:val="32"/>
        </w:rPr>
        <w:t>6</w:t>
      </w:r>
      <w:r>
        <w:rPr>
          <w:rFonts w:eastAsia="方正仿宋_GBK"/>
          <w:sz w:val="32"/>
          <w:szCs w:val="32"/>
        </w:rPr>
        <w:t>,</w:t>
      </w:r>
      <w:r>
        <w:rPr>
          <w:rFonts w:eastAsia="方正仿宋_GBK" w:hint="eastAsia"/>
          <w:sz w:val="32"/>
          <w:szCs w:val="32"/>
        </w:rPr>
        <w:t>977</w:t>
      </w:r>
      <w:r>
        <w:rPr>
          <w:rFonts w:eastAsia="方正仿宋_GBK"/>
          <w:sz w:val="32"/>
          <w:szCs w:val="32"/>
        </w:rPr>
        <w:t>.</w:t>
      </w:r>
      <w:r>
        <w:rPr>
          <w:rFonts w:eastAsia="方正仿宋_GBK" w:hint="eastAsia"/>
          <w:sz w:val="32"/>
          <w:szCs w:val="32"/>
        </w:rPr>
        <w:t>70万元，完成年初预算的98.24%，</w:t>
      </w:r>
      <w:r>
        <w:rPr>
          <w:rFonts w:eastAsia="方正仿宋_GBK"/>
          <w:sz w:val="32"/>
          <w:szCs w:val="32"/>
        </w:rPr>
        <w:t>具体情况如下：</w:t>
      </w:r>
    </w:p>
    <w:p>
      <w:pPr>
        <w:pStyle w:val="21"/>
        <w:tabs>
          <w:tab w:val="clear" w:pos="720"/>
        </w:tabs>
        <w:spacing w:line="576" w:lineRule="exact"/>
        <w:ind w:leftChars="1" w:left="2" w:firstLineChars="200" w:firstLine="640"/>
        <w:rPr>
          <w:rFonts w:eastAsia="方正仿宋_GBK"/>
          <w:b/>
          <w:sz w:val="32"/>
          <w:szCs w:val="32"/>
        </w:rPr>
      </w:pPr>
      <w:r>
        <w:rPr>
          <w:rFonts w:eastAsia="方正仿宋_GBK"/>
          <w:b/>
          <w:sz w:val="32"/>
          <w:szCs w:val="32"/>
        </w:rPr>
        <w:t>1.一般公共服务支出（类）海关事务（款）行政运行（项）。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年初预算为1</w:t>
      </w:r>
      <w:r>
        <w:rPr>
          <w:rFonts w:eastAsia="方正仿宋_GBK" w:hint="eastAsia"/>
          <w:sz w:val="32"/>
          <w:szCs w:val="32"/>
        </w:rPr>
        <w:t>4</w:t>
      </w:r>
      <w:r>
        <w:rPr>
          <w:rFonts w:eastAsia="方正仿宋_GBK"/>
          <w:sz w:val="32"/>
          <w:szCs w:val="32"/>
        </w:rPr>
        <w:t>,</w:t>
      </w:r>
      <w:r>
        <w:rPr>
          <w:rFonts w:eastAsia="方正仿宋_GBK" w:hint="eastAsia"/>
          <w:sz w:val="32"/>
          <w:szCs w:val="32"/>
        </w:rPr>
        <w:t>894</w:t>
      </w:r>
      <w:r>
        <w:rPr>
          <w:rFonts w:eastAsia="方正仿宋_GBK"/>
          <w:sz w:val="32"/>
          <w:szCs w:val="32"/>
        </w:rPr>
        <w:t>.</w:t>
      </w:r>
      <w:r>
        <w:rPr>
          <w:rFonts w:eastAsia="方正仿宋_GBK" w:hint="eastAsia"/>
          <w:sz w:val="32"/>
          <w:szCs w:val="32"/>
        </w:rPr>
        <w:t>43</w:t>
      </w:r>
      <w:r>
        <w:rPr>
          <w:rFonts w:eastAsia="方正仿宋_GBK"/>
          <w:sz w:val="32"/>
          <w:szCs w:val="32"/>
        </w:rPr>
        <w:t>万元，支出决算为1</w:t>
      </w:r>
      <w:r>
        <w:rPr>
          <w:rFonts w:eastAsia="方正仿宋_GBK" w:hint="eastAsia"/>
          <w:sz w:val="32"/>
          <w:szCs w:val="32"/>
        </w:rPr>
        <w:t>7,369.21</w:t>
      </w:r>
      <w:r>
        <w:rPr>
          <w:rFonts w:eastAsia="方正仿宋_GBK"/>
          <w:sz w:val="32"/>
          <w:szCs w:val="32"/>
        </w:rPr>
        <w:t>万元，完成年初预算的</w:t>
      </w:r>
      <w:r>
        <w:rPr>
          <w:rFonts w:eastAsia="方正仿宋_GBK" w:hint="eastAsia"/>
          <w:sz w:val="32"/>
          <w:szCs w:val="32"/>
        </w:rPr>
        <w:t>116</w:t>
      </w:r>
      <w:r>
        <w:rPr>
          <w:rFonts w:eastAsia="方正仿宋_GBK"/>
          <w:sz w:val="32"/>
          <w:szCs w:val="32"/>
        </w:rPr>
        <w:t>.</w:t>
      </w:r>
      <w:r>
        <w:rPr>
          <w:rFonts w:eastAsia="方正仿宋_GBK" w:hint="eastAsia"/>
          <w:sz w:val="32"/>
          <w:szCs w:val="32"/>
        </w:rPr>
        <w:t>62</w:t>
      </w:r>
      <w:r>
        <w:rPr>
          <w:rFonts w:eastAsia="方正仿宋_GBK"/>
          <w:sz w:val="32"/>
          <w:szCs w:val="32"/>
        </w:rPr>
        <w:t>%。决算数大于预算数的主要原因是年内有追加的公务员财政拨款预算。</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2.一般公共服务支出（类）海关事务（款）机关服务（项）。</w:t>
      </w:r>
    </w:p>
    <w:p>
      <w:pPr>
        <w:pStyle w:val="24"/>
        <w:tabs>
          <w:tab w:val="left" w:pos="4157"/>
        </w:tabs>
        <w:spacing w:line="576" w:lineRule="exact"/>
        <w:ind w:firstLineChars="200" w:firstLine="640"/>
        <w:rPr>
          <w:rFonts w:ascii="Times New Roman" w:eastAsia="方正仿宋_GBK" w:hAnsi="Times New Roman"/>
          <w:kern w:val="0"/>
          <w:szCs w:val="32"/>
        </w:rPr>
      </w:pPr>
      <w:r>
        <w:rPr>
          <w:rFonts w:ascii="Times New Roman" w:eastAsia="方正仿宋_GBK" w:hAnsi="Times New Roman"/>
          <w:szCs w:val="32"/>
        </w:rPr>
        <w:t>年初预算为</w:t>
      </w:r>
      <w:r>
        <w:rPr>
          <w:rFonts w:ascii="Times New Roman" w:eastAsia="方正仿宋_GBK" w:hAnsi="Times New Roman" w:hint="eastAsia"/>
          <w:szCs w:val="32"/>
        </w:rPr>
        <w:t>628.21</w:t>
      </w:r>
      <w:r>
        <w:rPr>
          <w:rFonts w:ascii="Times New Roman" w:eastAsia="方正仿宋_GBK" w:hAnsi="Times New Roman"/>
          <w:szCs w:val="32"/>
        </w:rPr>
        <w:t>万元，支出决算为3</w:t>
      </w:r>
      <w:r>
        <w:rPr>
          <w:rFonts w:ascii="Times New Roman" w:eastAsia="方正仿宋_GBK" w:hAnsi="Times New Roman" w:hint="eastAsia"/>
          <w:szCs w:val="32"/>
        </w:rPr>
        <w:t>42</w:t>
      </w:r>
      <w:r>
        <w:rPr>
          <w:rFonts w:ascii="Times New Roman" w:eastAsia="方正仿宋_GBK" w:hAnsi="Times New Roman"/>
          <w:szCs w:val="32"/>
        </w:rPr>
        <w:t>.</w:t>
      </w:r>
      <w:r>
        <w:rPr>
          <w:rFonts w:ascii="Times New Roman" w:eastAsia="方正仿宋_GBK" w:hAnsi="Times New Roman" w:hint="eastAsia"/>
          <w:szCs w:val="32"/>
        </w:rPr>
        <w:t>3</w:t>
      </w:r>
      <w:r>
        <w:rPr>
          <w:rFonts w:ascii="Times New Roman" w:eastAsia="方正仿宋_GBK" w:hAnsi="Times New Roman"/>
          <w:szCs w:val="32"/>
        </w:rPr>
        <w:t>3万元，完成年初预算的</w:t>
      </w:r>
      <w:r>
        <w:rPr>
          <w:rFonts w:ascii="Times New Roman" w:eastAsia="方正仿宋_GBK" w:hAnsi="Times New Roman" w:hint="eastAsia"/>
          <w:szCs w:val="32"/>
        </w:rPr>
        <w:t>54</w:t>
      </w:r>
      <w:r>
        <w:rPr>
          <w:rFonts w:ascii="Times New Roman" w:eastAsia="方正仿宋_GBK" w:hAnsi="Times New Roman"/>
          <w:szCs w:val="32"/>
        </w:rPr>
        <w:t>.</w:t>
      </w:r>
      <w:r>
        <w:rPr>
          <w:rFonts w:ascii="Times New Roman" w:eastAsia="方正仿宋_GBK" w:hAnsi="Times New Roman" w:hint="eastAsia"/>
          <w:szCs w:val="32"/>
        </w:rPr>
        <w:t>48</w:t>
      </w:r>
      <w:r>
        <w:rPr>
          <w:rFonts w:ascii="Times New Roman" w:eastAsia="方正仿宋_GBK" w:hAnsi="Times New Roman"/>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3.一般公共服务支出（类）海关事务（款）缉私办案（项）。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386.00</w:t>
      </w:r>
      <w:r>
        <w:rPr>
          <w:rFonts w:eastAsia="方正仿宋_GBK"/>
          <w:sz w:val="32"/>
          <w:szCs w:val="32"/>
        </w:rPr>
        <w:t>万元，支出决算为</w:t>
      </w:r>
      <w:r>
        <w:rPr>
          <w:rFonts w:eastAsia="方正仿宋_GBK" w:hint="eastAsia"/>
          <w:sz w:val="32"/>
          <w:szCs w:val="32"/>
        </w:rPr>
        <w:t>358</w:t>
      </w:r>
      <w:r>
        <w:rPr>
          <w:rFonts w:eastAsia="方正仿宋_GBK"/>
          <w:sz w:val="32"/>
          <w:szCs w:val="32"/>
        </w:rPr>
        <w:t>.</w:t>
      </w:r>
      <w:r>
        <w:rPr>
          <w:rFonts w:eastAsia="方正仿宋_GBK" w:hint="eastAsia"/>
          <w:sz w:val="32"/>
          <w:szCs w:val="32"/>
        </w:rPr>
        <w:t>94</w:t>
      </w:r>
      <w:r>
        <w:rPr>
          <w:rFonts w:eastAsia="方正仿宋_GBK"/>
          <w:sz w:val="32"/>
          <w:szCs w:val="32"/>
        </w:rPr>
        <w:t>万元，完成年初预算的</w:t>
      </w:r>
      <w:r>
        <w:rPr>
          <w:rFonts w:eastAsia="方正仿宋_GBK" w:hint="eastAsia"/>
          <w:sz w:val="32"/>
          <w:szCs w:val="32"/>
        </w:rPr>
        <w:t>92.99</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4.一般公共服务支出（类）海关事务（款）口岸管理（项）。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年初预算为4</w:t>
      </w:r>
      <w:r>
        <w:rPr>
          <w:rFonts w:eastAsia="方正仿宋_GBK" w:hint="eastAsia"/>
          <w:sz w:val="32"/>
          <w:szCs w:val="32"/>
        </w:rPr>
        <w:t>6</w:t>
      </w:r>
      <w:r>
        <w:rPr>
          <w:rFonts w:eastAsia="方正仿宋_GBK"/>
          <w:sz w:val="32"/>
          <w:szCs w:val="32"/>
        </w:rPr>
        <w:t>.20万元，支出决算为</w:t>
      </w:r>
      <w:r>
        <w:rPr>
          <w:rFonts w:eastAsia="方正仿宋_GBK" w:hint="eastAsia"/>
          <w:sz w:val="32"/>
          <w:szCs w:val="32"/>
        </w:rPr>
        <w:t>0</w:t>
      </w:r>
      <w:r>
        <w:rPr>
          <w:rFonts w:eastAsia="方正仿宋_GBK"/>
          <w:sz w:val="32"/>
          <w:szCs w:val="32"/>
        </w:rPr>
        <w:t>万元，完成年初预算的</w:t>
      </w:r>
      <w:r>
        <w:rPr>
          <w:rFonts w:eastAsia="方正仿宋_GBK" w:hint="eastAsia"/>
          <w:sz w:val="32"/>
          <w:szCs w:val="32"/>
        </w:rPr>
        <w:t>0</w:t>
      </w:r>
      <w:r>
        <w:rPr>
          <w:rFonts w:eastAsia="方正仿宋_GBK"/>
          <w:sz w:val="32"/>
          <w:szCs w:val="32"/>
        </w:rPr>
        <w:t>%</w:t>
      </w:r>
      <w:r>
        <w:rPr>
          <w:rFonts w:eastAsia="方正仿宋_GBK" w:hint="eastAsia"/>
          <w:sz w:val="32"/>
          <w:szCs w:val="32"/>
        </w:rPr>
        <w:t>，主要原因是改变了原来拨款形式相关业务处室暂未明确相应处理方式</w:t>
      </w:r>
      <w:r>
        <w:rPr>
          <w:rFonts w:eastAsia="方正仿宋_GBK"/>
          <w:sz w:val="32"/>
          <w:szCs w:val="32"/>
        </w:rPr>
        <w:t>。</w:t>
      </w:r>
    </w:p>
    <w:p>
      <w:pPr>
        <w:pStyle w:val="21"/>
        <w:tabs>
          <w:tab w:val="clear" w:pos="720"/>
        </w:tabs>
        <w:spacing w:line="576" w:lineRule="exact"/>
        <w:ind w:left="0" w:firstLineChars="200" w:firstLine="640"/>
        <w:rPr>
          <w:rFonts w:eastAsia="方正仿宋_GBK"/>
          <w:sz w:val="32"/>
          <w:szCs w:val="32"/>
        </w:rPr>
      </w:pPr>
      <w:r>
        <w:rPr>
          <w:rFonts w:eastAsia="方正仿宋_GBK"/>
          <w:b/>
          <w:sz w:val="32"/>
          <w:szCs w:val="32"/>
        </w:rPr>
        <w:t>5.一般公共服务支出（类）海关事务（款）信息化建设（项）。</w:t>
      </w:r>
      <w:r>
        <w:rPr>
          <w:rFonts w:eastAsia="方正仿宋_GBK"/>
          <w:sz w:val="32"/>
          <w:szCs w:val="32"/>
        </w:rPr>
        <w:t>年初预算为</w:t>
      </w:r>
      <w:r>
        <w:rPr>
          <w:rFonts w:eastAsia="方正仿宋_GBK" w:hint="eastAsia"/>
          <w:sz w:val="32"/>
          <w:szCs w:val="32"/>
        </w:rPr>
        <w:t>285</w:t>
      </w:r>
      <w:r>
        <w:rPr>
          <w:rFonts w:eastAsia="方正仿宋_GBK"/>
          <w:sz w:val="32"/>
          <w:szCs w:val="32"/>
        </w:rPr>
        <w:t>.00万元，支出决算为</w:t>
      </w:r>
      <w:r>
        <w:rPr>
          <w:rFonts w:eastAsia="方正仿宋_GBK" w:hint="eastAsia"/>
          <w:sz w:val="32"/>
          <w:szCs w:val="32"/>
        </w:rPr>
        <w:t>285</w:t>
      </w:r>
      <w:r>
        <w:rPr>
          <w:rFonts w:eastAsia="方正仿宋_GBK"/>
          <w:sz w:val="32"/>
          <w:szCs w:val="32"/>
        </w:rPr>
        <w:t>.00万元，完成年初预算的100%。</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6.一般公共服务支出（类）海关事务（款）海关关务（项）。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年初预算为2,</w:t>
      </w:r>
      <w:r>
        <w:rPr>
          <w:rFonts w:eastAsia="方正仿宋_GBK" w:hint="eastAsia"/>
          <w:sz w:val="32"/>
          <w:szCs w:val="32"/>
        </w:rPr>
        <w:t>771</w:t>
      </w:r>
      <w:r>
        <w:rPr>
          <w:rFonts w:eastAsia="方正仿宋_GBK"/>
          <w:sz w:val="32"/>
          <w:szCs w:val="32"/>
        </w:rPr>
        <w:t>.</w:t>
      </w:r>
      <w:r>
        <w:rPr>
          <w:rFonts w:eastAsia="方正仿宋_GBK" w:hint="eastAsia"/>
          <w:sz w:val="32"/>
          <w:szCs w:val="32"/>
        </w:rPr>
        <w:t>89</w:t>
      </w:r>
      <w:r>
        <w:rPr>
          <w:rFonts w:eastAsia="方正仿宋_GBK"/>
          <w:sz w:val="32"/>
          <w:szCs w:val="32"/>
        </w:rPr>
        <w:t>万元，支出决算为</w:t>
      </w:r>
      <w:r>
        <w:rPr>
          <w:rFonts w:eastAsia="方正仿宋_GBK" w:hint="eastAsia"/>
          <w:sz w:val="32"/>
          <w:szCs w:val="32"/>
        </w:rPr>
        <w:t>1</w:t>
      </w:r>
      <w:r>
        <w:rPr>
          <w:rFonts w:eastAsia="方正仿宋_GBK"/>
          <w:sz w:val="32"/>
          <w:szCs w:val="32"/>
        </w:rPr>
        <w:t>,</w:t>
      </w:r>
      <w:r>
        <w:rPr>
          <w:rFonts w:eastAsia="方正仿宋_GBK" w:hint="eastAsia"/>
          <w:sz w:val="32"/>
          <w:szCs w:val="32"/>
        </w:rPr>
        <w:t>199.80</w:t>
      </w:r>
      <w:r>
        <w:rPr>
          <w:rFonts w:eastAsia="方正仿宋_GBK"/>
          <w:sz w:val="32"/>
          <w:szCs w:val="32"/>
        </w:rPr>
        <w:t>万元，完成年初预算的</w:t>
      </w:r>
      <w:r>
        <w:rPr>
          <w:rFonts w:eastAsia="方正仿宋_GBK" w:hint="eastAsia"/>
          <w:sz w:val="32"/>
          <w:szCs w:val="32"/>
        </w:rPr>
        <w:t>43.28</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7.一般公共服务支出（类）海关事务（款）关税征管（项）。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年初预算为5万元，支出决算为5万元，完成年初预算的100%。</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8.一般公共服务支出（类）海关事务（款）海关监管（项）。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69</w:t>
      </w:r>
      <w:r>
        <w:rPr>
          <w:rFonts w:eastAsia="方正仿宋_GBK"/>
          <w:sz w:val="32"/>
          <w:szCs w:val="32"/>
        </w:rPr>
        <w:t>.</w:t>
      </w:r>
      <w:r>
        <w:rPr>
          <w:rFonts w:eastAsia="方正仿宋_GBK" w:hint="eastAsia"/>
          <w:sz w:val="32"/>
          <w:szCs w:val="32"/>
        </w:rPr>
        <w:t>51</w:t>
      </w:r>
      <w:r>
        <w:rPr>
          <w:rFonts w:eastAsia="方正仿宋_GBK"/>
          <w:sz w:val="32"/>
          <w:szCs w:val="32"/>
        </w:rPr>
        <w:t>万元，支出决算为</w:t>
      </w:r>
      <w:r>
        <w:rPr>
          <w:rFonts w:eastAsia="方正仿宋_GBK" w:hint="eastAsia"/>
          <w:sz w:val="32"/>
          <w:szCs w:val="32"/>
        </w:rPr>
        <w:t>69</w:t>
      </w:r>
      <w:r>
        <w:rPr>
          <w:rFonts w:eastAsia="方正仿宋_GBK"/>
          <w:sz w:val="32"/>
          <w:szCs w:val="32"/>
        </w:rPr>
        <w:t>.</w:t>
      </w:r>
      <w:r>
        <w:rPr>
          <w:rFonts w:eastAsia="方正仿宋_GBK" w:hint="eastAsia"/>
          <w:sz w:val="32"/>
          <w:szCs w:val="32"/>
        </w:rPr>
        <w:t>51</w:t>
      </w:r>
      <w:r>
        <w:rPr>
          <w:rFonts w:eastAsia="方正仿宋_GBK"/>
          <w:sz w:val="32"/>
          <w:szCs w:val="32"/>
        </w:rPr>
        <w:t>万元，完成年初预算的</w:t>
      </w:r>
      <w:r>
        <w:rPr>
          <w:rFonts w:eastAsia="方正仿宋_GBK" w:hint="eastAsia"/>
          <w:sz w:val="32"/>
          <w:szCs w:val="32"/>
        </w:rPr>
        <w:t>100</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9.一般公共服务支出（类）海关事务（款）检验检疫（项）。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236.23</w:t>
      </w:r>
      <w:r>
        <w:rPr>
          <w:rFonts w:eastAsia="方正仿宋_GBK"/>
          <w:sz w:val="32"/>
          <w:szCs w:val="32"/>
        </w:rPr>
        <w:t>万元，支出决算为</w:t>
      </w:r>
      <w:r>
        <w:rPr>
          <w:rFonts w:eastAsia="方正仿宋_GBK" w:hint="eastAsia"/>
          <w:sz w:val="32"/>
          <w:szCs w:val="32"/>
        </w:rPr>
        <w:t>458</w:t>
      </w:r>
      <w:r>
        <w:rPr>
          <w:rFonts w:eastAsia="方正仿宋_GBK"/>
          <w:sz w:val="32"/>
          <w:szCs w:val="32"/>
        </w:rPr>
        <w:t>.</w:t>
      </w:r>
      <w:r>
        <w:rPr>
          <w:rFonts w:eastAsia="方正仿宋_GBK" w:hint="eastAsia"/>
          <w:sz w:val="32"/>
          <w:szCs w:val="32"/>
        </w:rPr>
        <w:t>94</w:t>
      </w:r>
      <w:r>
        <w:rPr>
          <w:rFonts w:eastAsia="方正仿宋_GBK"/>
          <w:sz w:val="32"/>
          <w:szCs w:val="32"/>
        </w:rPr>
        <w:t>万元，完成年初预算的</w:t>
      </w:r>
      <w:r>
        <w:rPr>
          <w:rFonts w:eastAsia="方正仿宋_GBK" w:hint="eastAsia"/>
          <w:sz w:val="32"/>
          <w:szCs w:val="32"/>
        </w:rPr>
        <w:t>194</w:t>
      </w:r>
      <w:r>
        <w:rPr>
          <w:rFonts w:eastAsia="方正仿宋_GBK"/>
          <w:sz w:val="32"/>
          <w:szCs w:val="32"/>
        </w:rPr>
        <w:t>.</w:t>
      </w:r>
      <w:r>
        <w:rPr>
          <w:rFonts w:eastAsia="方正仿宋_GBK" w:hint="eastAsia"/>
          <w:sz w:val="32"/>
          <w:szCs w:val="32"/>
        </w:rPr>
        <w:t>28</w:t>
      </w:r>
      <w:r>
        <w:rPr>
          <w:rFonts w:eastAsia="方正仿宋_GBK"/>
          <w:sz w:val="32"/>
          <w:szCs w:val="32"/>
        </w:rPr>
        <w:t>%。决算数大于预算数的主要原因是</w:t>
      </w:r>
      <w:r>
        <w:rPr>
          <w:rFonts w:eastAsia="方正仿宋_GBK" w:hint="eastAsia"/>
          <w:sz w:val="32"/>
          <w:szCs w:val="32"/>
        </w:rPr>
        <w:t>年内有追加的财政拨款预算</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10.一般公共服务支出（类）海关事务（款） 事业运行（项）。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683.10</w:t>
      </w:r>
      <w:r>
        <w:rPr>
          <w:rFonts w:eastAsia="方正仿宋_GBK"/>
          <w:sz w:val="32"/>
          <w:szCs w:val="32"/>
        </w:rPr>
        <w:t>万元，支出决算为</w:t>
      </w:r>
      <w:r>
        <w:rPr>
          <w:rFonts w:eastAsia="方正仿宋_GBK" w:hint="eastAsia"/>
          <w:sz w:val="32"/>
          <w:szCs w:val="32"/>
        </w:rPr>
        <w:t>622.40</w:t>
      </w:r>
      <w:r>
        <w:rPr>
          <w:rFonts w:eastAsia="方正仿宋_GBK"/>
          <w:sz w:val="32"/>
          <w:szCs w:val="32"/>
        </w:rPr>
        <w:t>万元，完成年初预算的</w:t>
      </w:r>
      <w:r>
        <w:rPr>
          <w:rFonts w:eastAsia="方正仿宋_GBK" w:hint="eastAsia"/>
          <w:sz w:val="32"/>
          <w:szCs w:val="32"/>
        </w:rPr>
        <w:t>91.11</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11.公共安全支出（类）缉私警察（款）行政运行（项）。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1,618.45</w:t>
      </w:r>
      <w:r>
        <w:rPr>
          <w:rFonts w:eastAsia="方正仿宋_GBK"/>
          <w:sz w:val="32"/>
          <w:szCs w:val="32"/>
        </w:rPr>
        <w:t>万元，支出决算为</w:t>
      </w:r>
      <w:r>
        <w:rPr>
          <w:rFonts w:eastAsia="方正仿宋_GBK" w:hint="eastAsia"/>
          <w:sz w:val="32"/>
          <w:szCs w:val="32"/>
        </w:rPr>
        <w:t>1,592.52</w:t>
      </w:r>
      <w:r>
        <w:rPr>
          <w:rFonts w:eastAsia="方正仿宋_GBK"/>
          <w:sz w:val="32"/>
          <w:szCs w:val="32"/>
        </w:rPr>
        <w:t>万元，完成年初预算的</w:t>
      </w:r>
      <w:r>
        <w:rPr>
          <w:rFonts w:eastAsia="方正仿宋_GBK" w:hint="eastAsia"/>
          <w:sz w:val="32"/>
          <w:szCs w:val="32"/>
        </w:rPr>
        <w:t>98</w:t>
      </w:r>
      <w:r>
        <w:rPr>
          <w:rFonts w:eastAsia="方正仿宋_GBK"/>
          <w:sz w:val="32"/>
          <w:szCs w:val="32"/>
        </w:rPr>
        <w:t>.</w:t>
      </w:r>
      <w:r>
        <w:rPr>
          <w:rFonts w:eastAsia="方正仿宋_GBK" w:hint="eastAsia"/>
          <w:sz w:val="32"/>
          <w:szCs w:val="32"/>
        </w:rPr>
        <w:t>40</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12.公共安全支出（类）缉私警察（款）信息化建设（项）。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102.40</w:t>
      </w:r>
      <w:r>
        <w:rPr>
          <w:rFonts w:eastAsia="方正仿宋_GBK"/>
          <w:sz w:val="32"/>
          <w:szCs w:val="32"/>
        </w:rPr>
        <w:t>万元，支出决算为</w:t>
      </w:r>
      <w:r>
        <w:rPr>
          <w:rFonts w:eastAsia="方正仿宋_GBK" w:hint="eastAsia"/>
          <w:sz w:val="32"/>
          <w:szCs w:val="32"/>
        </w:rPr>
        <w:t>102.40</w:t>
      </w:r>
      <w:r>
        <w:rPr>
          <w:rFonts w:eastAsia="方正仿宋_GBK"/>
          <w:sz w:val="32"/>
          <w:szCs w:val="32"/>
        </w:rPr>
        <w:t>万元，完成年初预算的100%。</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13.公共安全支出（类）缉私警察（款）缉私业务（项）。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140.86</w:t>
      </w:r>
      <w:r>
        <w:rPr>
          <w:rFonts w:eastAsia="方正仿宋_GBK"/>
          <w:sz w:val="32"/>
          <w:szCs w:val="32"/>
        </w:rPr>
        <w:t>万元，支出决算为</w:t>
      </w:r>
      <w:r>
        <w:rPr>
          <w:rFonts w:eastAsia="方正仿宋_GBK" w:hint="eastAsia"/>
          <w:sz w:val="32"/>
          <w:szCs w:val="32"/>
        </w:rPr>
        <w:t>140.86</w:t>
      </w:r>
      <w:r>
        <w:rPr>
          <w:rFonts w:eastAsia="方正仿宋_GBK"/>
          <w:sz w:val="32"/>
          <w:szCs w:val="32"/>
        </w:rPr>
        <w:t>万元，完成年初预算的100%。</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14.社会保障和就业支出（类）行政事业单位养老支出（款）行政单位离退休（项）。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12</w:t>
      </w:r>
      <w:r>
        <w:rPr>
          <w:rFonts w:eastAsia="方正仿宋_GBK"/>
          <w:sz w:val="32"/>
          <w:szCs w:val="32"/>
        </w:rPr>
        <w:t>万元，支出决算为1</w:t>
      </w:r>
      <w:r>
        <w:rPr>
          <w:rFonts w:eastAsia="方正仿宋_GBK" w:hint="eastAsia"/>
          <w:sz w:val="32"/>
          <w:szCs w:val="32"/>
        </w:rPr>
        <w:t>2</w:t>
      </w:r>
      <w:r>
        <w:rPr>
          <w:rFonts w:eastAsia="方正仿宋_GBK"/>
          <w:sz w:val="32"/>
          <w:szCs w:val="32"/>
        </w:rPr>
        <w:t>万元，完成年初预算的100%。</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5</w:t>
      </w:r>
      <w:r>
        <w:rPr>
          <w:rFonts w:eastAsia="方正仿宋_GBK"/>
          <w:b/>
          <w:sz w:val="32"/>
          <w:szCs w:val="32"/>
        </w:rPr>
        <w:t>.社会保障和就业支出（类）行政事业单位养老支出（款）机关事业单位基本养老保险缴费支出（项）。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2,101.92</w:t>
      </w:r>
      <w:r>
        <w:rPr>
          <w:rFonts w:eastAsia="方正仿宋_GBK"/>
          <w:sz w:val="32"/>
          <w:szCs w:val="32"/>
        </w:rPr>
        <w:t>万元，支出决算为</w:t>
      </w:r>
      <w:r>
        <w:rPr>
          <w:rFonts w:eastAsia="方正仿宋_GBK" w:hint="eastAsia"/>
          <w:sz w:val="32"/>
          <w:szCs w:val="32"/>
        </w:rPr>
        <w:t>1,225.49</w:t>
      </w:r>
      <w:r>
        <w:rPr>
          <w:rFonts w:eastAsia="方正仿宋_GBK"/>
          <w:sz w:val="32"/>
          <w:szCs w:val="32"/>
        </w:rPr>
        <w:t>万元，完成年初预算的</w:t>
      </w:r>
      <w:r>
        <w:rPr>
          <w:rFonts w:eastAsia="方正仿宋_GBK" w:hint="eastAsia"/>
          <w:sz w:val="32"/>
          <w:szCs w:val="32"/>
        </w:rPr>
        <w:t>58.30</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6</w:t>
      </w:r>
      <w:r>
        <w:rPr>
          <w:rFonts w:eastAsia="方正仿宋_GBK"/>
          <w:b/>
          <w:sz w:val="32"/>
          <w:szCs w:val="32"/>
        </w:rPr>
        <w:t>.社会保障和就业支出（类）行政事业单位养老支出（款）机关事业单位职业年金缴费支出（项）。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695.84</w:t>
      </w:r>
      <w:r>
        <w:rPr>
          <w:rFonts w:eastAsia="方正仿宋_GBK"/>
          <w:sz w:val="32"/>
          <w:szCs w:val="32"/>
        </w:rPr>
        <w:t>万元，支出决算为</w:t>
      </w:r>
      <w:r>
        <w:rPr>
          <w:rFonts w:eastAsia="方正仿宋_GBK" w:hint="eastAsia"/>
          <w:sz w:val="32"/>
          <w:szCs w:val="32"/>
        </w:rPr>
        <w:t>550.39</w:t>
      </w:r>
      <w:r>
        <w:rPr>
          <w:rFonts w:eastAsia="方正仿宋_GBK"/>
          <w:sz w:val="32"/>
          <w:szCs w:val="32"/>
        </w:rPr>
        <w:t>万元，完成年初预算的</w:t>
      </w:r>
      <w:r>
        <w:rPr>
          <w:rFonts w:eastAsia="方正仿宋_GBK" w:hint="eastAsia"/>
          <w:sz w:val="32"/>
          <w:szCs w:val="32"/>
        </w:rPr>
        <w:t>79.10</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7</w:t>
      </w:r>
      <w:r>
        <w:rPr>
          <w:rFonts w:eastAsia="方正仿宋_GBK"/>
          <w:b/>
          <w:sz w:val="32"/>
          <w:szCs w:val="32"/>
        </w:rPr>
        <w:t>.卫生健康支出（类）行政事业单位医疗（款）行政单位医疗（项）。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884.22</w:t>
      </w:r>
      <w:r>
        <w:rPr>
          <w:rFonts w:eastAsia="方正仿宋_GBK"/>
          <w:sz w:val="32"/>
          <w:szCs w:val="32"/>
        </w:rPr>
        <w:t>万元，支出决算为</w:t>
      </w:r>
      <w:r>
        <w:rPr>
          <w:rFonts w:eastAsia="方正仿宋_GBK" w:hint="eastAsia"/>
          <w:sz w:val="32"/>
          <w:szCs w:val="32"/>
        </w:rPr>
        <w:t>740.79</w:t>
      </w:r>
      <w:r>
        <w:rPr>
          <w:rFonts w:eastAsia="方正仿宋_GBK"/>
          <w:sz w:val="32"/>
          <w:szCs w:val="32"/>
        </w:rPr>
        <w:t>万元，完成年初预算的</w:t>
      </w:r>
      <w:r>
        <w:rPr>
          <w:rFonts w:eastAsia="方正仿宋_GBK" w:hint="eastAsia"/>
          <w:sz w:val="32"/>
          <w:szCs w:val="32"/>
        </w:rPr>
        <w:t>83.78</w:t>
      </w:r>
      <w:r>
        <w:rPr>
          <w:rFonts w:eastAsia="方正仿宋_GBK"/>
          <w:sz w:val="32"/>
          <w:szCs w:val="32"/>
        </w:rPr>
        <w:t>%。</w:t>
      </w:r>
    </w:p>
    <w:p>
      <w:pPr>
        <w:pStyle w:val="21"/>
        <w:tabs>
          <w:tab w:val="clear" w:pos="720"/>
        </w:tabs>
        <w:spacing w:line="576" w:lineRule="exact"/>
        <w:ind w:left="0" w:firstLineChars="200" w:firstLine="640"/>
        <w:rPr>
          <w:rFonts w:eastAsia="方正仿宋_GBK"/>
          <w:b/>
          <w:sz w:val="32"/>
          <w:szCs w:val="32"/>
        </w:rPr>
      </w:pPr>
      <w:r>
        <w:rPr>
          <w:rFonts w:eastAsia="方正仿宋_GBK"/>
          <w:b/>
          <w:sz w:val="32"/>
          <w:szCs w:val="32"/>
        </w:rPr>
        <w:t>1</w:t>
      </w:r>
      <w:r>
        <w:rPr>
          <w:rFonts w:eastAsia="方正仿宋_GBK" w:hint="eastAsia"/>
          <w:b/>
          <w:sz w:val="32"/>
          <w:szCs w:val="32"/>
        </w:rPr>
        <w:t>8</w:t>
      </w:r>
      <w:r>
        <w:rPr>
          <w:rFonts w:eastAsia="方正仿宋_GBK"/>
          <w:b/>
          <w:sz w:val="32"/>
          <w:szCs w:val="32"/>
        </w:rPr>
        <w:t>.住房保障支出（类） 住房改革支出（款） 住房公积金（项）。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1,341.91</w:t>
      </w:r>
      <w:r>
        <w:rPr>
          <w:rFonts w:eastAsia="方正仿宋_GBK"/>
          <w:sz w:val="32"/>
          <w:szCs w:val="32"/>
        </w:rPr>
        <w:t>万元，支出决算为</w:t>
      </w:r>
      <w:r>
        <w:rPr>
          <w:rFonts w:eastAsia="方正仿宋_GBK" w:hint="eastAsia"/>
          <w:sz w:val="32"/>
          <w:szCs w:val="32"/>
        </w:rPr>
        <w:t>1,341.91</w:t>
      </w:r>
      <w:r>
        <w:rPr>
          <w:rFonts w:eastAsia="方正仿宋_GBK"/>
          <w:sz w:val="32"/>
          <w:szCs w:val="32"/>
        </w:rPr>
        <w:t>万元，完成年初预算的</w:t>
      </w:r>
      <w:r>
        <w:rPr>
          <w:rFonts w:eastAsia="方正仿宋_GBK" w:hint="eastAsia"/>
          <w:sz w:val="32"/>
          <w:szCs w:val="32"/>
        </w:rPr>
        <w:t>100</w:t>
      </w:r>
      <w:r>
        <w:rPr>
          <w:rFonts w:eastAsia="方正仿宋_GBK"/>
          <w:sz w:val="32"/>
          <w:szCs w:val="32"/>
        </w:rPr>
        <w:t>%。</w:t>
      </w:r>
    </w:p>
    <w:p>
      <w:pPr>
        <w:pStyle w:val="25"/>
        <w:tabs>
          <w:tab w:val="clear" w:pos="720"/>
        </w:tabs>
        <w:spacing w:line="576" w:lineRule="exact"/>
        <w:ind w:left="0" w:firstLineChars="200" w:firstLine="640"/>
        <w:rPr>
          <w:rFonts w:eastAsia="方正仿宋_GBK"/>
          <w:b/>
          <w:sz w:val="32"/>
          <w:szCs w:val="32"/>
        </w:rPr>
      </w:pPr>
      <w:r>
        <w:rPr>
          <w:rFonts w:eastAsia="方正仿宋_GBK" w:hint="eastAsia"/>
          <w:b/>
          <w:sz w:val="32"/>
          <w:szCs w:val="32"/>
        </w:rPr>
        <w:t>19</w:t>
      </w:r>
      <w:r>
        <w:rPr>
          <w:rFonts w:eastAsia="方正仿宋_GBK"/>
          <w:b/>
          <w:sz w:val="32"/>
          <w:szCs w:val="32"/>
        </w:rPr>
        <w:t>.住房保障支出（类） 住房改革支出（款） 购房补助</w:t>
      </w:r>
      <w:r>
        <w:rPr>
          <w:rFonts w:eastAsia="方正仿宋_GBK" w:hint="eastAsia"/>
          <w:b/>
          <w:sz w:val="32"/>
          <w:szCs w:val="32"/>
        </w:rPr>
        <w:t>（项）</w:t>
      </w:r>
      <w:r>
        <w:rPr>
          <w:rFonts w:eastAsia="方正仿宋_GBK"/>
          <w:b/>
          <w:sz w:val="32"/>
          <w:szCs w:val="32"/>
        </w:rPr>
        <w:t>。</w:t>
      </w:r>
    </w:p>
    <w:p>
      <w:pPr>
        <w:tabs>
          <w:tab w:val="left" w:pos="4157"/>
        </w:tabs>
        <w:autoSpaceDN w:val="0"/>
        <w:spacing w:line="560" w:lineRule="exact"/>
        <w:ind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543</w:t>
      </w:r>
      <w:r>
        <w:rPr>
          <w:rFonts w:eastAsia="方正仿宋_GBK"/>
          <w:sz w:val="32"/>
          <w:szCs w:val="32"/>
        </w:rPr>
        <w:t>万元，支出决算为</w:t>
      </w:r>
      <w:r>
        <w:rPr>
          <w:rFonts w:eastAsia="方正仿宋_GBK" w:hint="eastAsia"/>
          <w:sz w:val="32"/>
          <w:szCs w:val="32"/>
        </w:rPr>
        <w:t>543</w:t>
      </w:r>
      <w:r>
        <w:rPr>
          <w:rFonts w:eastAsia="方正仿宋_GBK"/>
          <w:sz w:val="32"/>
          <w:szCs w:val="32"/>
        </w:rPr>
        <w:t>万元，完成年初预算的100%。</w:t>
      </w:r>
    </w:p>
    <w:p>
      <w:pPr>
        <w:tabs>
          <w:tab w:val="left" w:pos="4157"/>
        </w:tabs>
        <w:autoSpaceDN w:val="0"/>
        <w:spacing w:line="560" w:lineRule="exact"/>
        <w:ind w:firstLineChars="200" w:firstLine="640"/>
        <w:rPr>
          <w:rFonts w:eastAsia="方正仿宋_GBK"/>
          <w:b/>
          <w:sz w:val="32"/>
          <w:szCs w:val="32"/>
        </w:rPr>
      </w:pPr>
      <w:r>
        <w:rPr>
          <w:rFonts w:eastAsia="方正仿宋_GBK"/>
          <w:b/>
          <w:sz w:val="32"/>
          <w:szCs w:val="32"/>
        </w:rPr>
        <w:t>2</w:t>
      </w:r>
      <w:r>
        <w:rPr>
          <w:rFonts w:eastAsia="方正仿宋_GBK" w:hint="eastAsia"/>
          <w:b/>
          <w:sz w:val="32"/>
          <w:szCs w:val="32"/>
        </w:rPr>
        <w:t>0</w:t>
      </w:r>
      <w:r>
        <w:rPr>
          <w:rFonts w:eastAsia="方正仿宋_GBK"/>
          <w:b/>
          <w:sz w:val="32"/>
          <w:szCs w:val="32"/>
        </w:rPr>
        <w:t>.</w:t>
      </w:r>
      <w:r>
        <w:rPr>
          <w:rFonts w:eastAsia="方正仿宋_GBK" w:hint="eastAsia"/>
          <w:b/>
          <w:sz w:val="32"/>
          <w:szCs w:val="32"/>
        </w:rPr>
        <w:t>一般公共服务支出（类）海关事务（款）一般行政管理事务（项）</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年初预算为</w:t>
      </w:r>
      <w:r>
        <w:rPr>
          <w:rFonts w:eastAsia="方正仿宋_GBK" w:hint="eastAsia"/>
          <w:sz w:val="32"/>
          <w:szCs w:val="32"/>
        </w:rPr>
        <w:t>15.88</w:t>
      </w:r>
      <w:r>
        <w:rPr>
          <w:rFonts w:eastAsia="方正仿宋_GBK"/>
          <w:sz w:val="32"/>
          <w:szCs w:val="32"/>
        </w:rPr>
        <w:t>万元，支出决算为</w:t>
      </w:r>
      <w:r>
        <w:rPr>
          <w:rFonts w:eastAsia="方正仿宋_GBK" w:hint="eastAsia"/>
          <w:sz w:val="32"/>
          <w:szCs w:val="32"/>
        </w:rPr>
        <w:t>17.21</w:t>
      </w:r>
      <w:r>
        <w:rPr>
          <w:rFonts w:eastAsia="方正仿宋_GBK"/>
          <w:sz w:val="32"/>
          <w:szCs w:val="32"/>
        </w:rPr>
        <w:t>万元，完成年初预算的</w:t>
      </w:r>
      <w:r>
        <w:rPr>
          <w:rFonts w:eastAsia="方正仿宋_GBK" w:hint="eastAsia"/>
          <w:sz w:val="32"/>
          <w:szCs w:val="32"/>
        </w:rPr>
        <w:t>108.38</w:t>
      </w:r>
      <w:r>
        <w:rPr>
          <w:rFonts w:eastAsia="方正仿宋_GBK"/>
          <w:sz w:val="32"/>
          <w:szCs w:val="32"/>
        </w:rPr>
        <w:t>%。决算数大于预算数的主要原因是年内有追加的</w:t>
      </w:r>
      <w:r>
        <w:rPr>
          <w:rFonts w:eastAsia="方正仿宋_GBK" w:hint="eastAsia"/>
          <w:sz w:val="32"/>
          <w:szCs w:val="32"/>
        </w:rPr>
        <w:t>基本建设</w:t>
      </w:r>
      <w:r>
        <w:rPr>
          <w:rFonts w:eastAsia="方正仿宋_GBK"/>
          <w:sz w:val="32"/>
          <w:szCs w:val="32"/>
        </w:rPr>
        <w:t>财政拨款预算。</w:t>
      </w:r>
    </w:p>
    <w:p>
      <w:pPr>
        <w:pStyle w:val="20"/>
        <w:spacing w:line="576" w:lineRule="exact"/>
        <w:ind w:right="-1260"/>
        <w:rPr>
          <w:rFonts w:ascii="方正黑体_GBK" w:eastAsia="方正黑体_GBK"/>
          <w:bCs/>
          <w:sz w:val="32"/>
          <w:szCs w:val="32"/>
        </w:rPr>
      </w:pPr>
      <w:r>
        <w:rPr>
          <w:rFonts w:ascii="方正黑体_GBK" w:eastAsia="方正黑体_GBK" w:hint="eastAsia"/>
          <w:sz w:val="32"/>
          <w:szCs w:val="32"/>
        </w:rPr>
        <w:t>六、一般公共预算财政拨款基本支出决算情况说明</w:t>
      </w:r>
    </w:p>
    <w:p>
      <w:pPr>
        <w:pStyle w:val="21"/>
        <w:tabs>
          <w:tab w:val="clear" w:pos="720"/>
        </w:tabs>
        <w:spacing w:line="576" w:lineRule="exact"/>
        <w:ind w:left="0" w:firstLineChars="200" w:firstLine="640"/>
        <w:rPr>
          <w:rFonts w:eastAsia="方正楷体_GBK"/>
          <w:sz w:val="32"/>
          <w:szCs w:val="32"/>
        </w:rPr>
      </w:pPr>
      <w:r>
        <w:rPr>
          <w:rFonts w:eastAsia="方正楷体_GBK"/>
          <w:b/>
          <w:bCs/>
          <w:sz w:val="32"/>
          <w:szCs w:val="32"/>
        </w:rPr>
        <w:t>202</w:t>
      </w:r>
      <w:r>
        <w:rPr>
          <w:rFonts w:eastAsia="方正楷体_GBK" w:hint="eastAsia"/>
          <w:b/>
          <w:bCs/>
          <w:sz w:val="32"/>
          <w:szCs w:val="32"/>
        </w:rPr>
        <w:t>2</w:t>
      </w:r>
      <w:r>
        <w:rPr>
          <w:rFonts w:eastAsia="方正楷体_GBK"/>
          <w:b/>
          <w:bCs/>
          <w:sz w:val="32"/>
          <w:szCs w:val="32"/>
        </w:rPr>
        <w:t>年度财政拨款基本支出2</w:t>
      </w:r>
      <w:r>
        <w:rPr>
          <w:rFonts w:eastAsia="方正楷体_GBK" w:hint="eastAsia"/>
          <w:b/>
          <w:bCs/>
          <w:sz w:val="32"/>
          <w:szCs w:val="32"/>
        </w:rPr>
        <w:t>4</w:t>
      </w:r>
      <w:r>
        <w:rPr>
          <w:rFonts w:eastAsia="方正楷体_GBK"/>
          <w:b/>
          <w:bCs/>
          <w:sz w:val="32"/>
          <w:szCs w:val="32"/>
        </w:rPr>
        <w:t>,</w:t>
      </w:r>
      <w:r>
        <w:rPr>
          <w:rFonts w:eastAsia="方正楷体_GBK" w:hint="eastAsia"/>
          <w:b/>
          <w:bCs/>
          <w:sz w:val="32"/>
          <w:szCs w:val="32"/>
        </w:rPr>
        <w:t>340.04</w:t>
      </w:r>
      <w:r>
        <w:rPr>
          <w:rFonts w:eastAsia="方正楷体_GBK"/>
          <w:b/>
          <w:bCs/>
          <w:sz w:val="32"/>
          <w:szCs w:val="32"/>
        </w:rPr>
        <w:t>万元，其中：</w:t>
      </w:r>
    </w:p>
    <w:p>
      <w:pPr>
        <w:pStyle w:val="21"/>
        <w:tabs>
          <w:tab w:val="clear" w:pos="720"/>
        </w:tabs>
        <w:spacing w:line="576" w:lineRule="exact"/>
        <w:ind w:left="0" w:firstLineChars="200" w:firstLine="640"/>
        <w:rPr>
          <w:rFonts w:eastAsia="方正仿宋_GBK"/>
          <w:sz w:val="32"/>
          <w:szCs w:val="32"/>
        </w:rPr>
      </w:pPr>
      <w:r>
        <w:rPr>
          <w:rFonts w:eastAsia="方正仿宋_GBK"/>
          <w:b/>
          <w:bCs/>
          <w:sz w:val="32"/>
          <w:szCs w:val="32"/>
        </w:rPr>
        <w:t>人员经费</w:t>
      </w:r>
      <w:r>
        <w:rPr>
          <w:rFonts w:eastAsia="方正仿宋_GBK" w:hint="eastAsia"/>
          <w:b/>
          <w:bCs/>
          <w:sz w:val="32"/>
          <w:szCs w:val="32"/>
        </w:rPr>
        <w:t>20</w:t>
      </w:r>
      <w:r>
        <w:rPr>
          <w:rFonts w:eastAsia="方正仿宋_GBK"/>
          <w:b/>
          <w:bCs/>
          <w:sz w:val="32"/>
          <w:szCs w:val="32"/>
        </w:rPr>
        <w:t>,</w:t>
      </w:r>
      <w:r>
        <w:rPr>
          <w:rFonts w:eastAsia="方正仿宋_GBK" w:hint="eastAsia"/>
          <w:b/>
          <w:bCs/>
          <w:sz w:val="32"/>
          <w:szCs w:val="32"/>
        </w:rPr>
        <w:t>293.34</w:t>
      </w:r>
      <w:r>
        <w:rPr>
          <w:rFonts w:eastAsia="方正仿宋_GBK"/>
          <w:b/>
          <w:bCs/>
          <w:sz w:val="32"/>
          <w:szCs w:val="32"/>
        </w:rPr>
        <w:t>万元，</w:t>
      </w:r>
      <w:r>
        <w:rPr>
          <w:rFonts w:eastAsia="方正仿宋_GBK"/>
          <w:sz w:val="32"/>
          <w:szCs w:val="32"/>
        </w:rPr>
        <w:t>主要包括基本工资、津贴补贴、奖金、机关事业单位基本养老保险缴费、职业年金缴费、职工基本医疗保险缴费、其他社会保障缴费、住房公积金、其他对个人和家庭的补助</w:t>
      </w:r>
      <w:r>
        <w:rPr>
          <w:rFonts w:eastAsia="方正仿宋_GBK" w:hint="eastAsia"/>
          <w:sz w:val="32"/>
          <w:szCs w:val="32"/>
        </w:rPr>
        <w:t>、抚恤金、生活补助、其他对个人和家庭的补助</w:t>
      </w:r>
      <w:r>
        <w:rPr>
          <w:rFonts w:eastAsia="方正仿宋_GBK"/>
          <w:sz w:val="32"/>
          <w:szCs w:val="32"/>
        </w:rPr>
        <w:t>。</w:t>
      </w:r>
    </w:p>
    <w:p>
      <w:pPr>
        <w:pStyle w:val="21"/>
        <w:tabs>
          <w:tab w:val="clear" w:pos="720"/>
        </w:tabs>
        <w:spacing w:line="576" w:lineRule="exact"/>
        <w:ind w:left="0" w:firstLineChars="200" w:firstLine="640"/>
        <w:rPr>
          <w:rFonts w:eastAsia="方正仿宋_GBK"/>
          <w:sz w:val="32"/>
          <w:szCs w:val="32"/>
        </w:rPr>
      </w:pPr>
      <w:r>
        <w:rPr>
          <w:rFonts w:eastAsia="方正仿宋_GBK"/>
          <w:b/>
          <w:bCs/>
          <w:sz w:val="32"/>
          <w:szCs w:val="32"/>
        </w:rPr>
        <w:t>公用经费4,</w:t>
      </w:r>
      <w:r>
        <w:rPr>
          <w:rFonts w:eastAsia="方正仿宋_GBK" w:hint="eastAsia"/>
          <w:b/>
          <w:bCs/>
          <w:sz w:val="32"/>
          <w:szCs w:val="32"/>
        </w:rPr>
        <w:t>046</w:t>
      </w:r>
      <w:r>
        <w:rPr>
          <w:rFonts w:eastAsia="方正仿宋_GBK"/>
          <w:b/>
          <w:bCs/>
          <w:sz w:val="32"/>
          <w:szCs w:val="32"/>
        </w:rPr>
        <w:t>.7</w:t>
      </w:r>
      <w:r>
        <w:rPr>
          <w:rFonts w:eastAsia="方正仿宋_GBK" w:hint="eastAsia"/>
          <w:b/>
          <w:bCs/>
          <w:sz w:val="32"/>
          <w:szCs w:val="32"/>
        </w:rPr>
        <w:t>0</w:t>
      </w:r>
      <w:r>
        <w:rPr>
          <w:rFonts w:eastAsia="方正仿宋_GBK"/>
          <w:b/>
          <w:bCs/>
          <w:sz w:val="32"/>
          <w:szCs w:val="32"/>
        </w:rPr>
        <w:t>万元，</w:t>
      </w:r>
      <w:r>
        <w:rPr>
          <w:rFonts w:eastAsia="方正仿宋_GBK"/>
          <w:sz w:val="32"/>
          <w:szCs w:val="32"/>
        </w:rPr>
        <w:t>主要包括办公费、印刷费、手续费、水费、电费、邮电费、取暖费、物业管理费、差旅费、维修（护）费、租赁费、</w:t>
      </w:r>
      <w:r>
        <w:rPr>
          <w:rFonts w:eastAsia="方正仿宋_GBK" w:hint="eastAsia"/>
          <w:sz w:val="32"/>
          <w:szCs w:val="32"/>
        </w:rPr>
        <w:t>会议费、</w:t>
      </w:r>
      <w:r>
        <w:rPr>
          <w:rFonts w:eastAsia="方正仿宋_GBK"/>
          <w:sz w:val="32"/>
          <w:szCs w:val="32"/>
        </w:rPr>
        <w:t>培训费、专用材料费、</w:t>
      </w:r>
      <w:r>
        <w:rPr>
          <w:rFonts w:eastAsia="方正仿宋_GBK" w:hint="eastAsia"/>
          <w:sz w:val="32"/>
          <w:szCs w:val="32"/>
        </w:rPr>
        <w:t>专用燃料费、</w:t>
      </w:r>
      <w:r>
        <w:rPr>
          <w:rFonts w:eastAsia="方正仿宋_GBK"/>
          <w:sz w:val="32"/>
          <w:szCs w:val="32"/>
        </w:rPr>
        <w:t>劳务费、委托业务费、工会经费、公务用车运行维护费、其他商品和服务支出、办公设备购置、专用设备购置、无形资产购置。</w:t>
      </w:r>
    </w:p>
    <w:p>
      <w:pPr>
        <w:pStyle w:val="19"/>
        <w:spacing w:line="576" w:lineRule="exact"/>
        <w:ind w:firstLineChars="200" w:firstLine="640"/>
        <w:rPr>
          <w:rFonts w:ascii="方正黑体_GBK" w:eastAsia="方正黑体_GBK"/>
          <w:bCs/>
          <w:szCs w:val="32"/>
        </w:rPr>
      </w:pPr>
      <w:r>
        <w:rPr>
          <w:rFonts w:ascii="方正黑体_GBK" w:eastAsia="方正黑体_GBK" w:hint="eastAsia"/>
          <w:bCs/>
          <w:szCs w:val="32"/>
        </w:rPr>
        <w:t>七、一般公共预算财政拨款“三公”经费支出决算情况说明</w:t>
      </w:r>
    </w:p>
    <w:p>
      <w:pPr>
        <w:pStyle w:val="19"/>
        <w:spacing w:line="576" w:lineRule="exact"/>
        <w:ind w:firstLineChars="200" w:firstLine="640"/>
        <w:rPr>
          <w:rFonts w:ascii="方正楷体_GBK" w:eastAsia="方正楷体_GBK"/>
          <w:b/>
          <w:bCs/>
          <w:szCs w:val="32"/>
        </w:rPr>
      </w:pPr>
      <w:r>
        <w:rPr>
          <w:rFonts w:ascii="方正楷体_GBK" w:eastAsia="方正楷体_GBK" w:hint="eastAsia"/>
          <w:b/>
          <w:bCs/>
          <w:szCs w:val="32"/>
        </w:rPr>
        <w:t>（一）“三公”经费财政拨款支出决算总体情况说明。</w:t>
      </w:r>
    </w:p>
    <w:p>
      <w:pPr>
        <w:pStyle w:val="21"/>
        <w:tabs>
          <w:tab w:val="clear" w:pos="720"/>
        </w:tabs>
        <w:spacing w:line="576" w:lineRule="exact"/>
        <w:ind w:left="0" w:firstLineChars="200" w:firstLine="640"/>
        <w:rPr>
          <w:rFonts w:eastAsia="方正仿宋_GBK"/>
          <w:sz w:val="32"/>
          <w:szCs w:val="32"/>
        </w:rPr>
      </w:pPr>
      <w:r>
        <w:rPr>
          <w:rFonts w:eastAsia="方正仿宋_GBK" w:hint="eastAsia"/>
          <w:sz w:val="32"/>
          <w:szCs w:val="32"/>
        </w:rPr>
        <w:t>2022年度“三公”经费财政拨款支出预算为</w:t>
      </w:r>
      <w:r>
        <w:rPr>
          <w:rFonts w:eastAsia="方正仿宋_GBK"/>
          <w:sz w:val="32"/>
          <w:szCs w:val="32"/>
        </w:rPr>
        <w:t>4</w:t>
      </w:r>
      <w:r>
        <w:rPr>
          <w:rFonts w:eastAsia="方正仿宋_GBK" w:hint="eastAsia"/>
          <w:sz w:val="32"/>
          <w:szCs w:val="32"/>
        </w:rPr>
        <w:t>35</w:t>
      </w:r>
      <w:r>
        <w:rPr>
          <w:rFonts w:eastAsia="方正仿宋_GBK"/>
          <w:sz w:val="32"/>
          <w:szCs w:val="32"/>
        </w:rPr>
        <w:t>.51</w:t>
      </w:r>
      <w:r>
        <w:rPr>
          <w:rFonts w:eastAsia="方正仿宋_GBK" w:hint="eastAsia"/>
          <w:sz w:val="32"/>
          <w:szCs w:val="32"/>
        </w:rPr>
        <w:t>万元，支出决算为414</w:t>
      </w:r>
      <w:r>
        <w:rPr>
          <w:rFonts w:eastAsia="方正仿宋_GBK"/>
          <w:sz w:val="32"/>
          <w:szCs w:val="32"/>
        </w:rPr>
        <w:t>.</w:t>
      </w:r>
      <w:r>
        <w:rPr>
          <w:rFonts w:eastAsia="方正仿宋_GBK" w:hint="eastAsia"/>
          <w:sz w:val="32"/>
          <w:szCs w:val="32"/>
        </w:rPr>
        <w:t>44万元，完成预算的95.16%。决算数小于预算数的主要原因：一是海关系统继续认真贯彻落实“党政机关要坚持过紧日子”要求，厉行节约，从严控制“三公”经费开支，未开展公务接待活动；二是受疫情影响，车辆购置未完成上户手续。</w:t>
      </w:r>
    </w:p>
    <w:p>
      <w:pPr>
        <w:pStyle w:val="21"/>
        <w:tabs>
          <w:tab w:val="clear" w:pos="720"/>
        </w:tabs>
        <w:spacing w:line="576" w:lineRule="exact"/>
        <w:ind w:left="0" w:firstLineChars="200" w:firstLine="640"/>
        <w:rPr>
          <w:rFonts w:eastAsia="方正仿宋_GBK"/>
          <w:b/>
          <w:sz w:val="32"/>
          <w:szCs w:val="32"/>
        </w:rPr>
      </w:pPr>
      <w:r>
        <w:rPr>
          <w:rFonts w:ascii="方正楷体_GBK" w:eastAsia="方正楷体_GBK" w:hint="eastAsia"/>
          <w:b/>
          <w:bCs/>
          <w:sz w:val="32"/>
          <w:szCs w:val="32"/>
        </w:rPr>
        <w:t>（二）“三公”经费财政拨款支出决算具体情况说明。</w:t>
      </w:r>
    </w:p>
    <w:p>
      <w:pPr>
        <w:pStyle w:val="21"/>
        <w:tabs>
          <w:tab w:val="clear" w:pos="720"/>
        </w:tabs>
        <w:spacing w:line="576" w:lineRule="exact"/>
        <w:ind w:left="0" w:firstLineChars="200" w:firstLine="640"/>
        <w:rPr>
          <w:rFonts w:eastAsia="方正仿宋_GBK"/>
          <w:sz w:val="32"/>
          <w:szCs w:val="32"/>
        </w:rPr>
      </w:pPr>
      <w:r>
        <w:rPr>
          <w:rFonts w:eastAsia="方正仿宋_GBK" w:hint="eastAsia"/>
          <w:b/>
          <w:bCs/>
          <w:sz w:val="32"/>
          <w:szCs w:val="32"/>
        </w:rPr>
        <w:t>1.公务用车购置及运行费。</w:t>
      </w:r>
      <w:r>
        <w:rPr>
          <w:rFonts w:eastAsia="方正仿宋_GBK" w:hint="eastAsia"/>
          <w:sz w:val="32"/>
          <w:szCs w:val="32"/>
        </w:rPr>
        <w:t>预算为</w:t>
      </w:r>
      <w:r>
        <w:rPr>
          <w:rFonts w:eastAsia="方正仿宋_GBK"/>
          <w:sz w:val="32"/>
          <w:szCs w:val="32"/>
        </w:rPr>
        <w:t>4</w:t>
      </w:r>
      <w:r>
        <w:rPr>
          <w:rFonts w:eastAsia="方正仿宋_GBK" w:hint="eastAsia"/>
          <w:sz w:val="32"/>
          <w:szCs w:val="32"/>
        </w:rPr>
        <w:t>29</w:t>
      </w:r>
      <w:r>
        <w:rPr>
          <w:rFonts w:eastAsia="方正仿宋_GBK"/>
          <w:sz w:val="32"/>
          <w:szCs w:val="32"/>
        </w:rPr>
        <w:t>.72</w:t>
      </w:r>
      <w:r>
        <w:rPr>
          <w:rFonts w:eastAsia="方正仿宋_GBK" w:hint="eastAsia"/>
          <w:sz w:val="32"/>
          <w:szCs w:val="32"/>
        </w:rPr>
        <w:t>万元，支出决算414.44万元，完成年初预算的96</w:t>
      </w:r>
      <w:r>
        <w:rPr>
          <w:rFonts w:eastAsia="方正仿宋_GBK"/>
          <w:sz w:val="32"/>
          <w:szCs w:val="32"/>
        </w:rPr>
        <w:t>.</w:t>
      </w:r>
      <w:r>
        <w:rPr>
          <w:rFonts w:eastAsia="方正仿宋_GBK" w:hint="eastAsia"/>
          <w:sz w:val="32"/>
          <w:szCs w:val="32"/>
        </w:rPr>
        <w:t>44%。</w:t>
      </w:r>
    </w:p>
    <w:p>
      <w:pPr>
        <w:pStyle w:val="21"/>
        <w:tabs>
          <w:tab w:val="clear" w:pos="720"/>
        </w:tabs>
        <w:spacing w:line="576" w:lineRule="exact"/>
        <w:ind w:left="0" w:firstLineChars="200" w:firstLine="640"/>
        <w:rPr>
          <w:rFonts w:eastAsia="方正仿宋_GBK"/>
          <w:sz w:val="32"/>
          <w:szCs w:val="32"/>
        </w:rPr>
      </w:pPr>
      <w:r>
        <w:rPr>
          <w:rFonts w:eastAsia="方正仿宋_GBK" w:hint="eastAsia"/>
          <w:b/>
          <w:bCs/>
          <w:sz w:val="32"/>
          <w:szCs w:val="32"/>
        </w:rPr>
        <w:t>公务用车购置费。</w:t>
      </w:r>
      <w:r>
        <w:rPr>
          <w:rFonts w:eastAsia="方正仿宋_GBK" w:hint="eastAsia"/>
          <w:sz w:val="32"/>
          <w:szCs w:val="32"/>
        </w:rPr>
        <w:t>预算为106万元，支出96.38万元。主要是受疫情影响，车辆购置未完成上户手续。</w:t>
      </w:r>
    </w:p>
    <w:p>
      <w:pPr>
        <w:pStyle w:val="21"/>
        <w:tabs>
          <w:tab w:val="clear" w:pos="720"/>
        </w:tabs>
        <w:spacing w:line="576" w:lineRule="exact"/>
        <w:ind w:left="0" w:firstLineChars="200" w:firstLine="640"/>
        <w:rPr>
          <w:rFonts w:eastAsia="方正仿宋_GBK"/>
          <w:sz w:val="32"/>
          <w:szCs w:val="32"/>
        </w:rPr>
      </w:pPr>
      <w:r>
        <w:rPr>
          <w:rFonts w:eastAsia="方正仿宋_GBK"/>
          <w:b/>
          <w:bCs/>
          <w:sz w:val="32"/>
          <w:szCs w:val="32"/>
        </w:rPr>
        <w:t>公务用车运行维护费。</w:t>
      </w:r>
      <w:r>
        <w:rPr>
          <w:rFonts w:eastAsia="方正仿宋_GBK"/>
          <w:sz w:val="32"/>
          <w:szCs w:val="32"/>
        </w:rPr>
        <w:t>包括海关系统按规定保留的公务用车车辆燃料费、维修费、过桥过路费、保险费、安全奖励费用等支出。截至202</w:t>
      </w:r>
      <w:r>
        <w:rPr>
          <w:rFonts w:eastAsia="方正仿宋_GBK" w:hint="eastAsia"/>
          <w:sz w:val="32"/>
          <w:szCs w:val="32"/>
        </w:rPr>
        <w:t>2</w:t>
      </w:r>
      <w:r>
        <w:rPr>
          <w:rFonts w:eastAsia="方正仿宋_GBK"/>
          <w:sz w:val="32"/>
          <w:szCs w:val="32"/>
        </w:rPr>
        <w:t>年12月31日，海关系统开支财政拨款的公务用车保有量为105辆，公务用车运行维护费31</w:t>
      </w:r>
      <w:r>
        <w:rPr>
          <w:rFonts w:eastAsia="方正仿宋_GBK" w:hint="eastAsia"/>
          <w:sz w:val="32"/>
          <w:szCs w:val="32"/>
        </w:rPr>
        <w:t>8</w:t>
      </w:r>
      <w:r>
        <w:rPr>
          <w:rFonts w:eastAsia="方正仿宋_GBK"/>
          <w:sz w:val="32"/>
          <w:szCs w:val="32"/>
        </w:rPr>
        <w:t>.</w:t>
      </w:r>
      <w:r>
        <w:rPr>
          <w:rFonts w:eastAsia="方正仿宋_GBK" w:hint="eastAsia"/>
          <w:sz w:val="32"/>
          <w:szCs w:val="32"/>
        </w:rPr>
        <w:t>06</w:t>
      </w:r>
      <w:r>
        <w:rPr>
          <w:rFonts w:eastAsia="方正仿宋_GBK"/>
          <w:sz w:val="32"/>
          <w:szCs w:val="32"/>
        </w:rPr>
        <w:t>万元。海关系统承担着国家赋予的税收征管、贸易监管、打击走私、维护国家政治经济安全任务，并且实行垂直管理，下辖机构多，监管区域大，大多机构设在沿海、沿边等边境地区，点多、线长、面广。海关车辆大部分为执法执勤用车，是海关执法执勤装备，为海关系统正常开展执法执勤工作的必要保障。</w:t>
      </w:r>
    </w:p>
    <w:p>
      <w:pPr>
        <w:pStyle w:val="21"/>
        <w:tabs>
          <w:tab w:val="clear" w:pos="720"/>
        </w:tabs>
        <w:spacing w:line="576" w:lineRule="exact"/>
        <w:ind w:left="0" w:firstLineChars="200" w:firstLine="640"/>
        <w:rPr>
          <w:rFonts w:eastAsia="方正仿宋_GBK"/>
          <w:sz w:val="32"/>
          <w:szCs w:val="32"/>
        </w:rPr>
      </w:pPr>
      <w:r>
        <w:rPr>
          <w:rFonts w:eastAsia="方正仿宋_GBK"/>
          <w:b/>
          <w:bCs/>
          <w:sz w:val="32"/>
          <w:szCs w:val="32"/>
        </w:rPr>
        <w:t>2.公务接待费。</w:t>
      </w:r>
      <w:r>
        <w:rPr>
          <w:rFonts w:eastAsia="方正仿宋_GBK"/>
          <w:sz w:val="32"/>
          <w:szCs w:val="32"/>
        </w:rPr>
        <w:t>预算为5.79万元，支出决算为</w:t>
      </w:r>
      <w:r>
        <w:rPr>
          <w:rFonts w:eastAsia="方正仿宋_GBK" w:hint="eastAsia"/>
          <w:sz w:val="32"/>
          <w:szCs w:val="32"/>
        </w:rPr>
        <w:t>0</w:t>
      </w:r>
      <w:r>
        <w:rPr>
          <w:rFonts w:eastAsia="方正仿宋_GBK"/>
          <w:sz w:val="32"/>
          <w:szCs w:val="32"/>
        </w:rPr>
        <w:t>万元，主要是受疫情影响，接待任务有所减少。</w:t>
      </w:r>
    </w:p>
    <w:p>
      <w:pPr>
        <w:pStyle w:val="19"/>
        <w:spacing w:line="576" w:lineRule="exact"/>
        <w:ind w:firstLineChars="200" w:firstLine="640"/>
        <w:rPr>
          <w:rFonts w:ascii="方正黑体_GBK" w:eastAsia="方正黑体_GBK"/>
          <w:bCs/>
          <w:szCs w:val="32"/>
        </w:rPr>
      </w:pPr>
      <w:r>
        <w:rPr>
          <w:rFonts w:ascii="方正黑体_GBK" w:eastAsia="方正黑体_GBK" w:hint="eastAsia"/>
          <w:bCs/>
          <w:szCs w:val="32"/>
        </w:rPr>
        <w:t>八、机关运行经费支出说明</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海关总署202</w:t>
      </w:r>
      <w:r>
        <w:rPr>
          <w:rFonts w:eastAsia="方正仿宋_GBK" w:hint="eastAsia"/>
          <w:sz w:val="32"/>
          <w:szCs w:val="32"/>
        </w:rPr>
        <w:t>2</w:t>
      </w:r>
      <w:r>
        <w:rPr>
          <w:rFonts w:eastAsia="方正仿宋_GBK"/>
          <w:sz w:val="32"/>
          <w:szCs w:val="32"/>
        </w:rPr>
        <w:t>年度机关运行经费支出</w:t>
      </w:r>
      <w:r>
        <w:rPr>
          <w:rFonts w:eastAsia="方正仿宋_GBK" w:hint="eastAsia"/>
          <w:sz w:val="32"/>
          <w:szCs w:val="32"/>
        </w:rPr>
        <w:t>3</w:t>
      </w:r>
      <w:r>
        <w:rPr>
          <w:rFonts w:eastAsia="方正仿宋_GBK"/>
          <w:sz w:val="32"/>
          <w:szCs w:val="32"/>
        </w:rPr>
        <w:t>,</w:t>
      </w:r>
      <w:r>
        <w:rPr>
          <w:rFonts w:eastAsia="方正仿宋_GBK" w:hint="eastAsia"/>
          <w:sz w:val="32"/>
          <w:szCs w:val="32"/>
        </w:rPr>
        <w:t>997</w:t>
      </w:r>
      <w:r>
        <w:rPr>
          <w:rFonts w:eastAsia="方正仿宋_GBK"/>
          <w:sz w:val="32"/>
          <w:szCs w:val="32"/>
        </w:rPr>
        <w:t>.</w:t>
      </w:r>
      <w:r>
        <w:rPr>
          <w:rFonts w:eastAsia="方正仿宋_GBK" w:hint="eastAsia"/>
          <w:sz w:val="32"/>
          <w:szCs w:val="32"/>
        </w:rPr>
        <w:t>53</w:t>
      </w:r>
      <w:r>
        <w:rPr>
          <w:rFonts w:eastAsia="方正仿宋_GBK"/>
          <w:sz w:val="32"/>
          <w:szCs w:val="32"/>
        </w:rPr>
        <w:t>万元，比202</w:t>
      </w:r>
      <w:r>
        <w:rPr>
          <w:rFonts w:eastAsia="方正仿宋_GBK" w:hint="eastAsia"/>
          <w:sz w:val="32"/>
          <w:szCs w:val="32"/>
        </w:rPr>
        <w:t>1</w:t>
      </w:r>
      <w:r>
        <w:rPr>
          <w:rFonts w:eastAsia="方正仿宋_GBK"/>
          <w:sz w:val="32"/>
          <w:szCs w:val="32"/>
        </w:rPr>
        <w:t>年减少36</w:t>
      </w:r>
      <w:r>
        <w:rPr>
          <w:rFonts w:eastAsia="方正仿宋_GBK" w:hint="eastAsia"/>
          <w:sz w:val="32"/>
          <w:szCs w:val="32"/>
        </w:rPr>
        <w:t>7</w:t>
      </w:r>
      <w:r>
        <w:rPr>
          <w:rFonts w:eastAsia="方正仿宋_GBK"/>
          <w:sz w:val="32"/>
          <w:szCs w:val="32"/>
        </w:rPr>
        <w:t>.</w:t>
      </w:r>
      <w:r>
        <w:rPr>
          <w:rFonts w:eastAsia="方正仿宋_GBK" w:hint="eastAsia"/>
          <w:sz w:val="32"/>
          <w:szCs w:val="32"/>
        </w:rPr>
        <w:t>17</w:t>
      </w:r>
      <w:r>
        <w:rPr>
          <w:rFonts w:eastAsia="方正仿宋_GBK"/>
          <w:sz w:val="32"/>
          <w:szCs w:val="32"/>
        </w:rPr>
        <w:t>万元，下降</w:t>
      </w:r>
      <w:r>
        <w:rPr>
          <w:rFonts w:eastAsia="方正仿宋_GBK" w:hint="eastAsia"/>
          <w:sz w:val="32"/>
          <w:szCs w:val="32"/>
        </w:rPr>
        <w:t>8.41</w:t>
      </w:r>
      <w:r>
        <w:rPr>
          <w:rFonts w:eastAsia="方正仿宋_GBK"/>
          <w:sz w:val="32"/>
          <w:szCs w:val="32"/>
        </w:rPr>
        <w:t>%，主要原因是落实过紧日子要求，压减机关运行经费开支。</w:t>
      </w:r>
    </w:p>
    <w:p>
      <w:pPr>
        <w:pStyle w:val="19"/>
        <w:spacing w:line="576" w:lineRule="exact"/>
        <w:ind w:firstLineChars="200" w:firstLine="640"/>
        <w:rPr>
          <w:rFonts w:ascii="方正黑体_GBK" w:eastAsia="方正黑体_GBK"/>
          <w:bCs/>
          <w:szCs w:val="32"/>
        </w:rPr>
      </w:pPr>
      <w:r>
        <w:rPr>
          <w:rFonts w:ascii="方正黑体_GBK" w:eastAsia="方正黑体_GBK" w:hint="eastAsia"/>
          <w:bCs/>
          <w:szCs w:val="32"/>
        </w:rPr>
        <w:t>九、政府采购支出说明</w:t>
      </w:r>
    </w:p>
    <w:p>
      <w:pPr>
        <w:pStyle w:val="21"/>
        <w:tabs>
          <w:tab w:val="clear" w:pos="720"/>
        </w:tabs>
        <w:spacing w:line="576" w:lineRule="exact"/>
        <w:ind w:left="0" w:firstLineChars="200" w:firstLine="640"/>
        <w:rPr>
          <w:rFonts w:eastAsia="方正仿宋_GBK"/>
          <w:sz w:val="32"/>
          <w:szCs w:val="32"/>
        </w:rPr>
      </w:pPr>
      <w:r>
        <w:rPr>
          <w:rFonts w:eastAsia="方正仿宋_GBK" w:hint="eastAsia"/>
          <w:sz w:val="32"/>
          <w:szCs w:val="32"/>
        </w:rPr>
        <w:t>拉萨</w:t>
      </w:r>
      <w:r>
        <w:rPr>
          <w:rFonts w:eastAsia="方正仿宋_GBK"/>
          <w:sz w:val="32"/>
          <w:szCs w:val="32"/>
        </w:rPr>
        <w:t>海关202</w:t>
      </w:r>
      <w:r>
        <w:rPr>
          <w:rFonts w:eastAsia="方正仿宋_GBK" w:hint="eastAsia"/>
          <w:sz w:val="32"/>
          <w:szCs w:val="32"/>
        </w:rPr>
        <w:t>2</w:t>
      </w:r>
      <w:r>
        <w:rPr>
          <w:rFonts w:eastAsia="方正仿宋_GBK"/>
          <w:sz w:val="32"/>
          <w:szCs w:val="32"/>
        </w:rPr>
        <w:t>年度政府支出总额</w:t>
      </w:r>
      <w:r>
        <w:rPr>
          <w:rFonts w:eastAsia="方正仿宋_GBK" w:hint="eastAsia"/>
          <w:sz w:val="32"/>
          <w:szCs w:val="32"/>
        </w:rPr>
        <w:t>3</w:t>
      </w:r>
      <w:r>
        <w:rPr>
          <w:rFonts w:eastAsia="方正仿宋_GBK"/>
          <w:sz w:val="32"/>
          <w:szCs w:val="32"/>
        </w:rPr>
        <w:t>,</w:t>
      </w:r>
      <w:r>
        <w:rPr>
          <w:rFonts w:eastAsia="方正仿宋_GBK" w:hint="eastAsia"/>
          <w:sz w:val="32"/>
          <w:szCs w:val="32"/>
        </w:rPr>
        <w:t>644</w:t>
      </w:r>
      <w:r>
        <w:rPr>
          <w:rFonts w:eastAsia="方正仿宋_GBK"/>
          <w:sz w:val="32"/>
          <w:szCs w:val="32"/>
        </w:rPr>
        <w:t>.</w:t>
      </w:r>
      <w:r>
        <w:rPr>
          <w:rFonts w:eastAsia="方正仿宋_GBK" w:hint="eastAsia"/>
          <w:sz w:val="32"/>
          <w:szCs w:val="32"/>
        </w:rPr>
        <w:t>35</w:t>
      </w:r>
      <w:r>
        <w:rPr>
          <w:rFonts w:eastAsia="方正仿宋_GBK"/>
          <w:sz w:val="32"/>
          <w:szCs w:val="32"/>
        </w:rPr>
        <w:t>万元，其中：政府采购货物支出</w:t>
      </w:r>
      <w:r>
        <w:rPr>
          <w:rFonts w:eastAsia="方正仿宋_GBK" w:hint="eastAsia"/>
          <w:sz w:val="32"/>
          <w:szCs w:val="32"/>
        </w:rPr>
        <w:t>96</w:t>
      </w:r>
      <w:r>
        <w:rPr>
          <w:rFonts w:eastAsia="方正仿宋_GBK"/>
          <w:sz w:val="32"/>
          <w:szCs w:val="32"/>
        </w:rPr>
        <w:t>.</w:t>
      </w:r>
      <w:r>
        <w:rPr>
          <w:rFonts w:eastAsia="方正仿宋_GBK" w:hint="eastAsia"/>
          <w:sz w:val="32"/>
          <w:szCs w:val="32"/>
        </w:rPr>
        <w:t>3</w:t>
      </w:r>
      <w:r>
        <w:rPr>
          <w:rFonts w:eastAsia="方正仿宋_GBK"/>
          <w:sz w:val="32"/>
          <w:szCs w:val="32"/>
        </w:rPr>
        <w:t>8万元、政府采购工程支出2,</w:t>
      </w:r>
      <w:r>
        <w:rPr>
          <w:rFonts w:eastAsia="方正仿宋_GBK" w:hint="eastAsia"/>
          <w:sz w:val="32"/>
          <w:szCs w:val="32"/>
        </w:rPr>
        <w:t>928</w:t>
      </w:r>
      <w:r>
        <w:rPr>
          <w:rFonts w:eastAsia="方正仿宋_GBK"/>
          <w:sz w:val="32"/>
          <w:szCs w:val="32"/>
        </w:rPr>
        <w:t>.</w:t>
      </w:r>
      <w:r>
        <w:rPr>
          <w:rFonts w:eastAsia="方正仿宋_GBK" w:hint="eastAsia"/>
          <w:sz w:val="32"/>
          <w:szCs w:val="32"/>
        </w:rPr>
        <w:t>42</w:t>
      </w:r>
      <w:r>
        <w:rPr>
          <w:rFonts w:eastAsia="方正仿宋_GBK"/>
          <w:sz w:val="32"/>
          <w:szCs w:val="32"/>
        </w:rPr>
        <w:t>万元、政府采购服务支出</w:t>
      </w:r>
      <w:r>
        <w:rPr>
          <w:rFonts w:eastAsia="方正仿宋_GBK" w:hint="eastAsia"/>
          <w:sz w:val="32"/>
          <w:szCs w:val="32"/>
        </w:rPr>
        <w:t>6</w:t>
      </w:r>
      <w:r>
        <w:rPr>
          <w:rFonts w:eastAsia="方正仿宋_GBK"/>
          <w:sz w:val="32"/>
          <w:szCs w:val="32"/>
        </w:rPr>
        <w:t>1</w:t>
      </w:r>
      <w:r>
        <w:rPr>
          <w:rFonts w:eastAsia="方正仿宋_GBK" w:hint="eastAsia"/>
          <w:sz w:val="32"/>
          <w:szCs w:val="32"/>
        </w:rPr>
        <w:t>9</w:t>
      </w:r>
      <w:r>
        <w:rPr>
          <w:rFonts w:eastAsia="方正仿宋_GBK"/>
          <w:sz w:val="32"/>
          <w:szCs w:val="32"/>
        </w:rPr>
        <w:t>.</w:t>
      </w:r>
      <w:r>
        <w:rPr>
          <w:rFonts w:eastAsia="方正仿宋_GBK" w:hint="eastAsia"/>
          <w:sz w:val="32"/>
          <w:szCs w:val="32"/>
        </w:rPr>
        <w:t>55</w:t>
      </w:r>
      <w:r>
        <w:rPr>
          <w:rFonts w:eastAsia="方正仿宋_GBK"/>
          <w:sz w:val="32"/>
          <w:szCs w:val="32"/>
        </w:rPr>
        <w:t>万元。授予中小企业合同金额</w:t>
      </w:r>
      <w:r>
        <w:rPr>
          <w:rFonts w:eastAsia="方正仿宋_GBK" w:hint="eastAsia"/>
          <w:sz w:val="32"/>
          <w:szCs w:val="32"/>
        </w:rPr>
        <w:t>3</w:t>
      </w:r>
      <w:r>
        <w:rPr>
          <w:rFonts w:eastAsia="方正仿宋_GBK"/>
          <w:sz w:val="32"/>
          <w:szCs w:val="32"/>
        </w:rPr>
        <w:t>,</w:t>
      </w:r>
      <w:r>
        <w:rPr>
          <w:rFonts w:eastAsia="方正仿宋_GBK" w:hint="eastAsia"/>
          <w:sz w:val="32"/>
          <w:szCs w:val="32"/>
        </w:rPr>
        <w:t>341</w:t>
      </w:r>
      <w:r>
        <w:rPr>
          <w:rFonts w:eastAsia="方正仿宋_GBK"/>
          <w:sz w:val="32"/>
          <w:szCs w:val="32"/>
        </w:rPr>
        <w:t>.</w:t>
      </w:r>
      <w:r>
        <w:rPr>
          <w:rFonts w:eastAsia="方正仿宋_GBK" w:hint="eastAsia"/>
          <w:sz w:val="32"/>
          <w:szCs w:val="32"/>
        </w:rPr>
        <w:t>97</w:t>
      </w:r>
      <w:r>
        <w:rPr>
          <w:rFonts w:eastAsia="方正仿宋_GBK"/>
          <w:sz w:val="32"/>
          <w:szCs w:val="32"/>
        </w:rPr>
        <w:t>万元，占政府采购支出总额的100%，其中：授予小微企业合同金额</w:t>
      </w:r>
      <w:r>
        <w:rPr>
          <w:rFonts w:eastAsia="方正仿宋_GBK" w:hint="eastAsia"/>
          <w:sz w:val="32"/>
          <w:szCs w:val="32"/>
        </w:rPr>
        <w:t>3</w:t>
      </w:r>
      <w:r>
        <w:rPr>
          <w:rFonts w:eastAsia="方正仿宋_GBK"/>
          <w:sz w:val="32"/>
          <w:szCs w:val="32"/>
        </w:rPr>
        <w:t>,</w:t>
      </w:r>
      <w:r>
        <w:rPr>
          <w:rFonts w:eastAsia="方正仿宋_GBK" w:hint="eastAsia"/>
          <w:sz w:val="32"/>
          <w:szCs w:val="32"/>
        </w:rPr>
        <w:t>341</w:t>
      </w:r>
      <w:r>
        <w:rPr>
          <w:rFonts w:eastAsia="方正仿宋_GBK"/>
          <w:sz w:val="32"/>
          <w:szCs w:val="32"/>
        </w:rPr>
        <w:t>.</w:t>
      </w:r>
      <w:r>
        <w:rPr>
          <w:rFonts w:eastAsia="方正仿宋_GBK" w:hint="eastAsia"/>
          <w:sz w:val="32"/>
          <w:szCs w:val="32"/>
        </w:rPr>
        <w:t>97</w:t>
      </w:r>
      <w:r>
        <w:rPr>
          <w:rFonts w:eastAsia="方正仿宋_GBK"/>
          <w:sz w:val="32"/>
          <w:szCs w:val="32"/>
        </w:rPr>
        <w:t>万元，占授予中小企业合同金额的</w:t>
      </w:r>
      <w:r>
        <w:rPr>
          <w:rFonts w:eastAsia="方正仿宋_GBK" w:hint="eastAsia"/>
          <w:sz w:val="32"/>
          <w:szCs w:val="32"/>
        </w:rPr>
        <w:t>100</w:t>
      </w:r>
      <w:r>
        <w:rPr>
          <w:rFonts w:eastAsia="方正仿宋_GBK"/>
          <w:sz w:val="32"/>
          <w:szCs w:val="32"/>
        </w:rPr>
        <w:t>%；货物采购授予中小企业合同金额占货物支出金额的</w:t>
      </w:r>
      <w:r>
        <w:rPr>
          <w:rFonts w:eastAsia="方正仿宋_GBK" w:hint="eastAsia"/>
          <w:sz w:val="32"/>
          <w:szCs w:val="32"/>
        </w:rPr>
        <w:t>0</w:t>
      </w:r>
      <w:r>
        <w:rPr>
          <w:rFonts w:eastAsia="方正仿宋_GBK"/>
          <w:sz w:val="32"/>
          <w:szCs w:val="32"/>
        </w:rPr>
        <w:t>%，工程采购授予中小企业合同金额占工程支出金额的</w:t>
      </w:r>
      <w:r>
        <w:rPr>
          <w:rFonts w:eastAsia="方正仿宋_GBK" w:hint="eastAsia"/>
          <w:sz w:val="32"/>
          <w:szCs w:val="32"/>
        </w:rPr>
        <w:t>81.46</w:t>
      </w:r>
      <w:r>
        <w:rPr>
          <w:rFonts w:eastAsia="方正仿宋_GBK"/>
          <w:sz w:val="32"/>
          <w:szCs w:val="32"/>
        </w:rPr>
        <w:t>%，服务采购授予中小企业合同金额占服务支出金额的</w:t>
      </w:r>
      <w:r>
        <w:rPr>
          <w:rFonts w:eastAsia="方正仿宋_GBK" w:hint="eastAsia"/>
          <w:sz w:val="32"/>
          <w:szCs w:val="32"/>
        </w:rPr>
        <w:t>18.53</w:t>
      </w:r>
      <w:r>
        <w:rPr>
          <w:rFonts w:eastAsia="方正仿宋_GBK"/>
          <w:sz w:val="32"/>
          <w:szCs w:val="32"/>
        </w:rPr>
        <w:t>%。</w:t>
      </w:r>
    </w:p>
    <w:p>
      <w:pPr>
        <w:pStyle w:val="19"/>
        <w:spacing w:line="576" w:lineRule="exact"/>
        <w:ind w:firstLineChars="200" w:firstLine="640"/>
        <w:rPr>
          <w:rFonts w:ascii="方正黑体_GBK" w:eastAsia="方正黑体_GBK"/>
          <w:bCs/>
          <w:szCs w:val="32"/>
        </w:rPr>
      </w:pPr>
      <w:r>
        <w:rPr>
          <w:rFonts w:ascii="方正黑体_GBK" w:eastAsia="方正黑体_GBK" w:hint="eastAsia"/>
          <w:bCs/>
          <w:szCs w:val="32"/>
        </w:rPr>
        <w:t>十、国有资产占用情况说明</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截至202</w:t>
      </w:r>
      <w:r>
        <w:rPr>
          <w:rFonts w:eastAsia="方正仿宋_GBK" w:hint="eastAsia"/>
          <w:sz w:val="32"/>
          <w:szCs w:val="32"/>
        </w:rPr>
        <w:t>2</w:t>
      </w:r>
      <w:r>
        <w:rPr>
          <w:rFonts w:eastAsia="方正仿宋_GBK"/>
          <w:sz w:val="32"/>
          <w:szCs w:val="32"/>
        </w:rPr>
        <w:t>年12月31日，拉萨海关共有车辆105辆（台），其中：执法执勤用车94辆、特种专业技术用车2辆、其他用车9辆，其他用车主要是各海关单位用于机要通信、应急保障和执法执勤之外公务用途的车辆。单价100万元（含）以上的设备</w:t>
      </w:r>
      <w:r>
        <w:rPr>
          <w:rFonts w:eastAsia="方正仿宋_GBK" w:hint="eastAsia"/>
          <w:sz w:val="32"/>
          <w:szCs w:val="32"/>
        </w:rPr>
        <w:t>44</w:t>
      </w:r>
      <w:r>
        <w:rPr>
          <w:rFonts w:eastAsia="方正仿宋_GBK"/>
          <w:sz w:val="32"/>
          <w:szCs w:val="32"/>
        </w:rPr>
        <w:t>台（套）。</w:t>
      </w:r>
    </w:p>
    <w:p>
      <w:pPr>
        <w:pStyle w:val="19"/>
        <w:spacing w:line="576" w:lineRule="exact"/>
        <w:ind w:firstLineChars="200" w:firstLine="640"/>
        <w:rPr>
          <w:rFonts w:ascii="方正黑体_GBK" w:eastAsia="方正黑体_GBK"/>
          <w:bCs/>
          <w:szCs w:val="32"/>
        </w:rPr>
      </w:pPr>
      <w:r>
        <w:rPr>
          <w:rFonts w:ascii="方正黑体_GBK" w:eastAsia="方正黑体_GBK" w:hint="eastAsia"/>
          <w:bCs/>
          <w:szCs w:val="32"/>
        </w:rPr>
        <w:t>十一、预算绩效情况说明</w:t>
      </w:r>
    </w:p>
    <w:p>
      <w:pPr>
        <w:pStyle w:val="21"/>
        <w:tabs>
          <w:tab w:val="clear" w:pos="720"/>
        </w:tabs>
        <w:spacing w:line="576" w:lineRule="exact"/>
        <w:ind w:left="0" w:firstLineChars="200" w:firstLine="640"/>
        <w:rPr>
          <w:rFonts w:ascii="方正楷体_GBK" w:eastAsia="方正楷体_GBK"/>
          <w:b/>
          <w:bCs/>
          <w:sz w:val="32"/>
          <w:szCs w:val="32"/>
        </w:rPr>
      </w:pPr>
      <w:r>
        <w:rPr>
          <w:rFonts w:ascii="方正楷体_GBK" w:eastAsia="方正楷体_GBK" w:hint="eastAsia"/>
          <w:b/>
          <w:bCs/>
          <w:sz w:val="32"/>
          <w:szCs w:val="32"/>
        </w:rPr>
        <w:t>（一）绩效管理评价工作开展情况。</w:t>
      </w:r>
    </w:p>
    <w:p>
      <w:pPr>
        <w:pStyle w:val="21"/>
        <w:tabs>
          <w:tab w:val="clear" w:pos="720"/>
        </w:tabs>
        <w:spacing w:line="576" w:lineRule="exact"/>
        <w:ind w:left="0" w:firstLineChars="200" w:firstLine="640"/>
        <w:rPr>
          <w:rFonts w:eastAsia="方正仿宋_GBK"/>
          <w:sz w:val="32"/>
          <w:szCs w:val="32"/>
        </w:rPr>
      </w:pPr>
      <w:r>
        <w:rPr>
          <w:rFonts w:eastAsia="方正仿宋_GBK"/>
          <w:sz w:val="32"/>
          <w:szCs w:val="32"/>
        </w:rPr>
        <w:t>根据预算绩效管理要求，我关组织对202</w:t>
      </w:r>
      <w:r>
        <w:rPr>
          <w:rFonts w:eastAsia="方正仿宋_GBK" w:hint="eastAsia"/>
          <w:sz w:val="32"/>
          <w:szCs w:val="32"/>
        </w:rPr>
        <w:t>2</w:t>
      </w:r>
      <w:r>
        <w:rPr>
          <w:rFonts w:eastAsia="方正仿宋_GBK"/>
          <w:sz w:val="32"/>
          <w:szCs w:val="32"/>
        </w:rPr>
        <w:t>年度一般公共预算项目支出全面开展绩效自评，其中，一级项目13个，二级项目</w:t>
      </w:r>
      <w:r>
        <w:rPr>
          <w:rFonts w:eastAsia="方正仿宋_GBK" w:hint="eastAsia"/>
          <w:sz w:val="32"/>
          <w:szCs w:val="32"/>
        </w:rPr>
        <w:t>66</w:t>
      </w:r>
      <w:r>
        <w:rPr>
          <w:rFonts w:eastAsia="方正仿宋_GBK"/>
          <w:sz w:val="32"/>
          <w:szCs w:val="32"/>
        </w:rPr>
        <w:t>个，共涉及资金</w:t>
      </w:r>
      <w:r>
        <w:rPr>
          <w:rFonts w:eastAsia="方正仿宋_GBK" w:hint="eastAsia"/>
          <w:sz w:val="32"/>
          <w:szCs w:val="32"/>
        </w:rPr>
        <w:t>12</w:t>
      </w:r>
      <w:r>
        <w:rPr>
          <w:rFonts w:eastAsia="方正仿宋_GBK"/>
          <w:sz w:val="32"/>
          <w:szCs w:val="32"/>
        </w:rPr>
        <w:t>,</w:t>
      </w:r>
      <w:r>
        <w:rPr>
          <w:rFonts w:eastAsia="方正仿宋_GBK" w:hint="eastAsia"/>
          <w:sz w:val="32"/>
          <w:szCs w:val="32"/>
        </w:rPr>
        <w:t>841</w:t>
      </w:r>
      <w:r>
        <w:rPr>
          <w:rFonts w:eastAsia="方正仿宋_GBK"/>
          <w:sz w:val="32"/>
          <w:szCs w:val="32"/>
        </w:rPr>
        <w:t>.</w:t>
      </w:r>
      <w:r>
        <w:rPr>
          <w:rFonts w:eastAsia="方正仿宋_GBK" w:hint="eastAsia"/>
          <w:sz w:val="32"/>
          <w:szCs w:val="32"/>
        </w:rPr>
        <w:t>83</w:t>
      </w:r>
      <w:r>
        <w:rPr>
          <w:rFonts w:eastAsia="方正仿宋_GBK"/>
          <w:sz w:val="32"/>
          <w:szCs w:val="32"/>
        </w:rPr>
        <w:t>万元，占一般公共预算项目支出总额的100.0%。</w:t>
      </w:r>
    </w:p>
    <w:p>
      <w:pPr>
        <w:pStyle w:val="21"/>
        <w:tabs>
          <w:tab w:val="clear" w:pos="720"/>
        </w:tabs>
        <w:spacing w:line="576" w:lineRule="exact"/>
        <w:ind w:left="0" w:firstLineChars="200" w:firstLine="640"/>
        <w:rPr>
          <w:rFonts w:ascii="方正楷体_GBK" w:eastAsia="方正楷体_GBK"/>
          <w:b/>
          <w:bCs/>
          <w:sz w:val="32"/>
          <w:szCs w:val="32"/>
        </w:rPr>
      </w:pPr>
      <w:r>
        <w:rPr>
          <w:rFonts w:ascii="方正楷体_GBK" w:eastAsia="方正楷体_GBK" w:hint="eastAsia"/>
          <w:b/>
          <w:bCs/>
          <w:sz w:val="32"/>
          <w:szCs w:val="32"/>
        </w:rPr>
        <w:t>（二）部门评价项目绩效评价结果。</w:t>
      </w:r>
    </w:p>
    <w:tbl>
      <w:tblPr>
        <w:jc w:val="left"/>
        <w:tblInd w:w="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11"/>
        <w:gridCol w:w="865"/>
        <w:gridCol w:w="865"/>
        <w:gridCol w:w="865"/>
        <w:gridCol w:w="865"/>
        <w:gridCol w:w="865"/>
        <w:gridCol w:w="826"/>
        <w:gridCol w:w="826"/>
        <w:gridCol w:w="826"/>
        <w:gridCol w:w="826"/>
        <w:gridCol w:w="826"/>
      </w:tblGrid>
      <w:tr>
        <w:trPr>
          <w:trHeight w:val="702"/>
        </w:trPr>
        <w:tc>
          <w:tcPr>
            <w:gridSpan w:val="11"/>
            <w:tcBorders>
              <w:top w:val="nil"/>
              <w:left w:val="nil"/>
              <w:bottom w:val="nil"/>
              <w:right w:val="nil"/>
            </w:tcBorders>
            <w:shd w:val="clear" w:color="auto" w:fill="auto"/>
            <w:noWrap/>
            <w:vAlign w:val="center"/>
          </w:tcPr>
          <w:p>
            <w:pPr>
              <w:widowControl/>
              <w:jc w:val="center"/>
              <w:rPr>
                <w:rFonts w:ascii="黑体" w:eastAsia="黑体" w:cs="Arial"/>
                <w:kern w:val="0"/>
                <w:sz w:val="32"/>
                <w:szCs w:val="32"/>
              </w:rPr>
            </w:pPr>
            <w:r>
              <w:rPr>
                <w:rFonts w:ascii="黑体" w:eastAsia="黑体" w:cs="Arial" w:hint="eastAsia"/>
                <w:kern w:val="0"/>
                <w:sz w:val="32"/>
                <w:szCs w:val="32"/>
              </w:rPr>
              <w:t>项目支出绩效自评表</w:t>
            </w:r>
          </w:p>
        </w:tc>
      </w:tr>
      <w:tr>
        <w:trPr>
          <w:trHeight w:val="499"/>
        </w:trPr>
        <w:tc>
          <w:tcPr>
            <w:gridSpan w:val="11"/>
            <w:tcBorders>
              <w:top w:val="nil"/>
              <w:left w:val="nil"/>
              <w:bottom w:val="nil"/>
              <w:right w:val="nil"/>
            </w:tcBorders>
            <w:shd w:val="clear" w:color="auto" w:fill="auto"/>
            <w:noWrap/>
            <w:vAlign w:val="center"/>
          </w:tcPr>
          <w:p>
            <w:pPr>
              <w:widowControl/>
              <w:jc w:val="center"/>
              <w:rPr>
                <w:rFonts w:ascii="宋体" w:eastAsia="宋体" w:cs="Arial"/>
                <w:kern w:val="0"/>
                <w:sz w:val="24"/>
                <w:szCs w:val="24"/>
              </w:rPr>
            </w:pPr>
            <w:r>
              <w:rPr>
                <w:rFonts w:ascii="宋体" w:eastAsia="宋体" w:cs="Arial" w:hint="eastAsia"/>
                <w:kern w:val="0"/>
                <w:sz w:val="24"/>
                <w:szCs w:val="24"/>
              </w:rPr>
              <w:t>(2022年度)</w:t>
            </w:r>
          </w:p>
        </w:tc>
      </w:tr>
      <w:tr>
        <w:trPr>
          <w:trHeight w:val="255"/>
        </w:trPr>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r>
      <w:tr>
        <w:trPr>
          <w:trHeight w:val="379"/>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项目名称</w:t>
            </w:r>
          </w:p>
        </w:tc>
        <w:tc>
          <w:tcPr>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海关缉私办案费</w:t>
            </w:r>
          </w:p>
        </w:tc>
      </w:tr>
      <w:tr>
        <w:trPr>
          <w:trHeight w:val="379"/>
        </w:trPr>
        <w:tc>
          <w:tcPr>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主管部门</w:t>
            </w:r>
          </w:p>
        </w:tc>
        <w:tc>
          <w:tcPr>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海关总署</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实施单位</w:t>
            </w:r>
          </w:p>
        </w:tc>
        <w:tc>
          <w:tcPr>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中华人民共和国拉萨海关本级</w:t>
            </w:r>
          </w:p>
        </w:tc>
      </w:tr>
      <w:tr>
        <w:trPr>
          <w:trHeight w:val="379"/>
        </w:trPr>
        <w:tc>
          <w:tcPr>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项目资金（万元）</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年初预算数</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全年预算数</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全年执行数</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分值</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执行率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得分</w:t>
            </w:r>
          </w:p>
        </w:tc>
      </w:tr>
      <w:tr>
        <w:trPr>
          <w:trHeight w:val="379"/>
        </w:trPr>
        <w:tc>
          <w:tcPr>
            <w:gridSpan w:val="2"/>
            <w:vMerge/>
            <w:tcBorders>
              <w:top w:val="single" w:sz="4" w:space="0" w:color="000000"/>
              <w:left w:val="single" w:sz="4" w:space="0" w:color="000000"/>
              <w:bottom w:val="single" w:sz="4" w:space="0" w:color="000000"/>
              <w:right w:val="single" w:sz="4" w:space="0" w:color="000000"/>
            </w:tcBorders>
            <w:vAlign w:val="center"/>
          </w:tcP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年度资金总额：</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327.00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810.56</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510.03</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62.92%</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6.29</w:t>
            </w:r>
          </w:p>
        </w:tc>
      </w:tr>
      <w:tr>
        <w:trPr>
          <w:trHeight w:val="379"/>
        </w:trPr>
        <w:tc>
          <w:tcPr>
            <w:gridSpan w:val="2"/>
            <w:vMerge/>
            <w:tcBorders>
              <w:top w:val="single" w:sz="4" w:space="0" w:color="000000"/>
              <w:left w:val="single" w:sz="4" w:space="0" w:color="000000"/>
              <w:bottom w:val="single" w:sz="4" w:space="0" w:color="000000"/>
              <w:right w:val="single" w:sz="4" w:space="0" w:color="000000"/>
            </w:tcBorders>
            <w:vAlign w:val="center"/>
          </w:tcP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其中：财政拨款</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327.00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327.00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299.94</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91.72%</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gridSpan w:val="2"/>
            <w:vMerge/>
            <w:tcBorders>
              <w:top w:val="single" w:sz="4" w:space="0" w:color="000000"/>
              <w:left w:val="single" w:sz="4" w:space="0" w:color="000000"/>
              <w:bottom w:val="single" w:sz="4" w:space="0" w:color="000000"/>
              <w:right w:val="single" w:sz="4" w:space="0" w:color="000000"/>
            </w:tcBorders>
            <w:vAlign w:val="center"/>
          </w:tcP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上年结转资金</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gridSpan w:val="2"/>
            <w:vMerge/>
            <w:tcBorders>
              <w:top w:val="single" w:sz="4" w:space="0" w:color="000000"/>
              <w:left w:val="single" w:sz="4" w:space="0" w:color="000000"/>
              <w:bottom w:val="single" w:sz="4" w:space="0" w:color="000000"/>
              <w:right w:val="single" w:sz="4" w:space="0" w:color="000000"/>
            </w:tcBorders>
            <w:vAlign w:val="center"/>
          </w:tcP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其他资金</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483.56</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210.09</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46.45%</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年度总体目标</w:t>
            </w:r>
          </w:p>
        </w:tc>
        <w:tc>
          <w:tcPr>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预期目标</w:t>
            </w:r>
          </w:p>
        </w:tc>
        <w:tc>
          <w:tcPr>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实际完成情况</w:t>
            </w:r>
          </w:p>
        </w:tc>
      </w:tr>
      <w:tr>
        <w:trPr>
          <w:trHeight w:val="1902"/>
        </w:trPr>
        <w:tc>
          <w:tcPr>
            <w:vMerge/>
            <w:tcBorders>
              <w:top w:val="nil"/>
              <w:left w:val="single" w:sz="4" w:space="0" w:color="000000"/>
              <w:bottom w:val="single" w:sz="4" w:space="0" w:color="000000"/>
              <w:right w:val="single" w:sz="4" w:space="0" w:color="000000"/>
            </w:tcBorders>
            <w:vAlign w:val="center"/>
          </w:tcPr>
          <w:p/>
        </w:tc>
        <w:tc>
          <w:tcPr>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目标1：持续保障拉萨海关打击走私、禁毒缉毒、稽查、风险管理、行政诉讼、复议、知识产权保护等工作正常开展，把好国门安全关；</w:t>
              <w:br/>
              <w:t xml:space="preserve">目标2：持续深化综合治理，拓展合作渠道，进一步做好缉私大要案侦办工作，维持打击走私高压态势，有效震慑走私犯罪行为。 </w:t>
            </w:r>
          </w:p>
        </w:tc>
        <w:tc>
          <w:tcPr>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1:持续保障拉萨海关打击走私、禁毒缉毒、稽查、风险管理、行政诉讼、复议、知识产权保护等工作正常开展，把好国门安全关；</w:t>
              <w:br/>
              <w:t>2：持续深化综合治理，拓展合作渠道，进一步做好缉私大要案侦办工作，维持打击走私高压态势，有效震慑走私犯罪行为。</w:t>
            </w:r>
          </w:p>
        </w:tc>
      </w:tr>
      <w:tr>
        <w:trPr>
          <w:trHeight w:val="462"/>
        </w:trPr>
        <w:tc>
          <w:tcPr>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一级指标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二级指标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三级指标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年度指标值</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实际完成值</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分值</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得分</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偏差原因分析及改进措施</w:t>
            </w:r>
          </w:p>
        </w:tc>
      </w:tr>
      <w:tr>
        <w:trPr>
          <w:trHeight w:val="480"/>
        </w:trPr>
        <w:tc>
          <w:tcPr>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绩效指标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成本指标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经济成本指标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车辆购置成本</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≤106万元</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96.38万元</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20.00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20"/>
        </w:trPr>
        <w:tc>
          <w:tcPr>
            <w:vMerge/>
            <w:tcBorders>
              <w:top w:val="nil"/>
              <w:left w:val="single" w:sz="4" w:space="0" w:color="000000"/>
              <w:bottom w:val="single" w:sz="4" w:space="0" w:color="000000"/>
              <w:right w:val="single" w:sz="4" w:space="0" w:color="000000"/>
            </w:tcBorders>
            <w:vAlign w:val="center"/>
          </w:tcPr>
          <w:p/>
        </w:tc>
        <w:tc>
          <w:tcPr>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产出指标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保障关警员数量（人）</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≥100人</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108人</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保障办案单位数量（个）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保障执法执勤车辆数量（辆）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保障海关单位数量（个）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3个</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质量指标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办案场所维修改造质量</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达到使用标准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达到使用标准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时效指标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对执法执勤工作保障及时率（%）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≥90百分比</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95%</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效益指标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社会效益指标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打击毒品、武器、洋垃圾等走私行为</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20.00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720"/>
        </w:trPr>
        <w:tc>
          <w:tcPr>
            <w:vMerge/>
            <w:tcBorders>
              <w:top w:val="nil"/>
              <w:left w:val="single" w:sz="4" w:space="0" w:color="000000"/>
              <w:bottom w:val="single" w:sz="4" w:space="0" w:color="000000"/>
              <w:right w:val="single" w:sz="4" w:space="0" w:color="000000"/>
            </w:tcBorders>
            <w:vAlign w:val="center"/>
          </w:tcP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满意度指标</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服务对象满意度指标</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对打私工作的满意度</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较满意</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较满意</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379"/>
        </w:trPr>
        <w:tc>
          <w:tcPr>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总分</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96.29</w:t>
            </w:r>
          </w:p>
        </w:tc>
        <w:tc>
          <w:tcPr>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1140"/>
        </w:trPr>
        <w:tc>
          <w:tcPr>
            <w:gridSpan w:val="11"/>
            <w:tcBorders>
              <w:top w:val="single" w:sz="4" w:space="0" w:color="000000"/>
              <w:left w:val="single" w:sz="4" w:space="0" w:color="000000"/>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说明：</w:t>
            </w:r>
          </w:p>
        </w:tc>
      </w:tr>
    </w:tbl>
    <w:p>
      <w:pPr>
        <w:pStyle w:val="21"/>
        <w:tabs>
          <w:tab w:val="clear" w:pos="720"/>
        </w:tabs>
        <w:spacing w:line="576" w:lineRule="exact"/>
        <w:ind w:left="0" w:firstLineChars="200" w:firstLine="640"/>
        <w:rPr>
          <w:rFonts w:ascii="方正楷体_GBK" w:eastAsia="方正楷体_GBK"/>
          <w:b/>
          <w:bCs/>
          <w:sz w:val="32"/>
          <w:szCs w:val="32"/>
        </w:rPr>
      </w:pPr>
    </w:p>
    <w:tbl>
      <w:tblPr>
        <w:jc w:val="left"/>
        <w:tblInd w:w="93" w:type="dxa"/>
        <w:tblW w:w="926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0"/>
        <w:gridCol w:w="840"/>
        <w:gridCol w:w="840"/>
        <w:gridCol w:w="940"/>
        <w:gridCol w:w="1060"/>
        <w:gridCol w:w="1060"/>
        <w:gridCol w:w="1680"/>
        <w:gridCol w:w="520"/>
        <w:gridCol w:w="520"/>
        <w:gridCol w:w="640"/>
        <w:gridCol w:w="740"/>
      </w:tblGrid>
      <w:tr>
        <w:trPr>
          <w:trHeight w:val="702"/>
        </w:trPr>
        <w:tc>
          <w:tcPr>
            <w:tcW w:w="9260" w:type="dxa"/>
            <w:gridSpan w:val="11"/>
            <w:tcBorders>
              <w:top w:val="nil"/>
              <w:left w:val="nil"/>
              <w:bottom w:val="nil"/>
              <w:right w:val="nil"/>
            </w:tcBorders>
            <w:shd w:val="clear" w:color="auto" w:fill="auto"/>
            <w:noWrap/>
            <w:vAlign w:val="center"/>
          </w:tcPr>
          <w:p>
            <w:pPr>
              <w:widowControl/>
              <w:jc w:val="center"/>
              <w:rPr>
                <w:rFonts w:ascii="黑体" w:eastAsia="黑体" w:cs="Arial"/>
                <w:kern w:val="0"/>
                <w:sz w:val="32"/>
                <w:szCs w:val="32"/>
              </w:rPr>
            </w:pPr>
            <w:r>
              <w:rPr>
                <w:rFonts w:ascii="黑体" w:eastAsia="黑体" w:cs="Arial" w:hint="eastAsia"/>
                <w:kern w:val="0"/>
                <w:sz w:val="32"/>
                <w:szCs w:val="32"/>
              </w:rPr>
              <w:t>项目支出绩效自评表</w:t>
            </w:r>
          </w:p>
        </w:tc>
      </w:tr>
      <w:tr>
        <w:trPr>
          <w:trHeight w:val="499"/>
        </w:trPr>
        <w:tc>
          <w:tcPr>
            <w:tcW w:w="9260" w:type="dxa"/>
            <w:gridSpan w:val="11"/>
            <w:tcBorders>
              <w:top w:val="nil"/>
              <w:left w:val="nil"/>
              <w:bottom w:val="nil"/>
              <w:right w:val="nil"/>
            </w:tcBorders>
            <w:shd w:val="clear" w:color="auto" w:fill="auto"/>
            <w:noWrap/>
            <w:vAlign w:val="center"/>
          </w:tcPr>
          <w:p>
            <w:pPr>
              <w:widowControl/>
              <w:jc w:val="center"/>
              <w:rPr>
                <w:rFonts w:ascii="宋体" w:eastAsia="宋体" w:cs="Arial"/>
                <w:kern w:val="0"/>
                <w:sz w:val="24"/>
                <w:szCs w:val="24"/>
              </w:rPr>
            </w:pPr>
            <w:r>
              <w:rPr>
                <w:rFonts w:ascii="宋体" w:eastAsia="宋体" w:cs="Arial" w:hint="eastAsia"/>
                <w:kern w:val="0"/>
                <w:sz w:val="24"/>
                <w:szCs w:val="24"/>
              </w:rPr>
              <w:t>(2022年度)</w:t>
            </w:r>
          </w:p>
        </w:tc>
      </w:tr>
      <w:tr>
        <w:trPr>
          <w:trHeight w:val="255"/>
        </w:trPr>
        <w:tc>
          <w:tcPr>
            <w:tcW w:w="42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84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84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94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106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106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52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52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64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c>
          <w:tcPr>
            <w:tcW w:w="740" w:type="dxa"/>
            <w:tcBorders>
              <w:top w:val="nil"/>
              <w:left w:val="nil"/>
              <w:bottom w:val="nil"/>
              <w:right w:val="nil"/>
            </w:tcBorders>
            <w:shd w:val="clear" w:color="auto" w:fill="auto"/>
            <w:noWrap/>
            <w:vAlign w:val="bottom"/>
          </w:tcPr>
          <w:p>
            <w:pPr>
              <w:widowControl/>
              <w:jc w:val="left"/>
              <w:rPr>
                <w:rFonts w:ascii="Arial" w:eastAsia="宋体" w:cs="Arial" w:hAnsi="Arial"/>
                <w:kern w:val="0"/>
                <w:sz w:val="20"/>
                <w:szCs w:val="20"/>
              </w:rPr>
            </w:pPr>
          </w:p>
        </w:tc>
      </w:tr>
      <w:tr>
        <w:trPr>
          <w:trHeight w:val="379"/>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项目名称</w:t>
            </w:r>
          </w:p>
        </w:tc>
        <w:tc>
          <w:tcPr>
            <w:tcW w:w="800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进出口商品质量安全检验监管专项</w:t>
            </w:r>
          </w:p>
        </w:tc>
      </w:tr>
      <w:tr>
        <w:trPr>
          <w:trHeight w:val="379"/>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主管部门</w:t>
            </w:r>
          </w:p>
        </w:tc>
        <w:tc>
          <w:tcPr>
            <w:tcW w:w="284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海关总署</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实施单位</w:t>
            </w:r>
          </w:p>
        </w:tc>
        <w:tc>
          <w:tcPr>
            <w:tcW w:w="410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中华人民共和国拉萨海关本级</w:t>
            </w:r>
          </w:p>
        </w:tc>
      </w:tr>
      <w:tr>
        <w:trPr>
          <w:trHeight w:val="379"/>
        </w:trPr>
        <w:tc>
          <w:tcPr>
            <w:tcW w:w="12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项目资金（万元）</w:t>
            </w:r>
          </w:p>
        </w:tc>
        <w:tc>
          <w:tcPr>
            <w:tcW w:w="17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年初预算数</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全年预算数</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分值</w:t>
            </w:r>
          </w:p>
        </w:tc>
        <w:tc>
          <w:tcPr>
            <w:tcW w:w="11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执行率</w:t>
            </w:r>
          </w:p>
        </w:tc>
        <w:tc>
          <w:tcPr>
            <w:tcW w:w="7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得分</w:t>
            </w:r>
          </w:p>
        </w:tc>
      </w:tr>
      <w:tr>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年度资金总额：</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10.80</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tcW w:w="11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tcW w:w="7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r>
      <w:tr>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其中：财政拨款</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10.80</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10.8</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tcW w:w="11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tcW w:w="7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上年结转资金</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tcW w:w="11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w:t>
            </w:r>
          </w:p>
        </w:tc>
        <w:tc>
          <w:tcPr>
            <w:tcW w:w="7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tcW w:w="12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7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 xml:space="preserve">         其他资金</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c>
          <w:tcPr>
            <w:tcW w:w="116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0.0%</w:t>
            </w:r>
          </w:p>
        </w:tc>
        <w:tc>
          <w:tcPr>
            <w:tcW w:w="7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w:t>
            </w:r>
          </w:p>
        </w:tc>
      </w:tr>
      <w:tr>
        <w:trPr>
          <w:trHeight w:val="379"/>
        </w:trPr>
        <w:tc>
          <w:tcPr>
            <w:tcW w:w="4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年度总体目标</w:t>
            </w:r>
          </w:p>
        </w:tc>
        <w:tc>
          <w:tcPr>
            <w:tcW w:w="474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预期目标</w:t>
            </w:r>
          </w:p>
        </w:tc>
        <w:tc>
          <w:tcPr>
            <w:tcW w:w="410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实际完成情况</w:t>
            </w:r>
          </w:p>
        </w:tc>
      </w:tr>
      <w:tr>
        <w:trPr>
          <w:trHeight w:val="1902"/>
        </w:trPr>
        <w:tc>
          <w:tcPr>
            <w:tcW w:w="420" w:type="dxa"/>
            <w:vMerge/>
            <w:tcBorders>
              <w:top w:val="nil"/>
              <w:left w:val="single" w:sz="4" w:space="0" w:color="000000"/>
              <w:bottom w:val="single" w:sz="4" w:space="0" w:color="000000"/>
              <w:right w:val="single" w:sz="4" w:space="0" w:color="000000"/>
            </w:tcBorders>
            <w:vAlign w:val="center"/>
          </w:tcPr>
          <w:p/>
        </w:tc>
        <w:tc>
          <w:tcPr>
            <w:tcW w:w="474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依据《中华人民共和国进出口</w:t>
            </w:r>
            <w:r>
              <w:rPr>
                <w:rFonts w:ascii="宋体" w:eastAsia="宋体" w:cs="Arial"/>
                <w:kern w:val="0"/>
                <w:sz w:val="18"/>
                <w:szCs w:val="18"/>
              </w:rPr>
              <w:t>商品检验</w:t>
            </w:r>
            <w:r>
              <w:rPr>
                <w:rFonts w:ascii="宋体" w:eastAsia="宋体" w:cs="Arial" w:hint="eastAsia"/>
                <w:kern w:val="0"/>
                <w:sz w:val="18"/>
                <w:szCs w:val="18"/>
              </w:rPr>
              <w:t>法》及其实施条例等法律法规，保障全国各级海关履行进出口商品检验监管职能，有效开展进出口商品质量安全检验监管工作，严守质量安全底线，维护国门安全，促进</w:t>
            </w:r>
            <w:bookmarkStart w:id="0" w:name="_GoBack"/>
            <w:bookmarkEnd w:id="0"/>
            <w:r>
              <w:rPr>
                <w:rFonts w:ascii="宋体" w:eastAsia="宋体" w:cs="Arial" w:hint="eastAsia"/>
                <w:kern w:val="0"/>
                <w:sz w:val="18"/>
                <w:szCs w:val="18"/>
              </w:rPr>
              <w:t>跨境贸易便利化。</w:t>
            </w:r>
          </w:p>
        </w:tc>
        <w:tc>
          <w:tcPr>
            <w:tcW w:w="410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保障了海关履行进出口商品检验监管职能，有效开展进出口商品质量安全检验监管工作，严守质量安全底线，维护国门安全。</w:t>
            </w:r>
          </w:p>
        </w:tc>
      </w:tr>
      <w:tr>
        <w:trPr>
          <w:trHeight w:val="462"/>
        </w:trPr>
        <w:tc>
          <w:tcPr>
            <w:tcW w:w="42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一级指标</w:t>
            </w: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二级指标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三级指标</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年度指标值</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得分</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偏差原因分析及改进措施</w:t>
            </w:r>
          </w:p>
        </w:tc>
      </w:tr>
      <w:tr>
        <w:trPr>
          <w:trHeight w:val="480"/>
        </w:trPr>
        <w:tc>
          <w:tcPr>
            <w:tcW w:w="4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绩效指标</w:t>
            </w: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成本指标</w:t>
            </w: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经济成本指标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样品单项检测费</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≤2000元</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0元</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经济成本指标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采购样品单价</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≤1000元</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0元</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产出指标</w:t>
            </w: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优化进出口商品检验模式及指令次数</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≥1次</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实施进出口商品法定检验批次数量</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≥1批次</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0批</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0</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因疫情原因无法检产品；措施：按照规定进行监督抽查</w:t>
            </w:r>
          </w:p>
        </w:tc>
      </w:tr>
      <w:tr>
        <w:trPr>
          <w:trHeight w:val="72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数量指标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实施进出口商品法定检验目录外监督抽查批次数量</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≥3批次</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1批</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1.7</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因疫情原因无法检产品；措施：按照规定进行监督抽查</w:t>
            </w:r>
          </w:p>
        </w:tc>
      </w:tr>
      <w:tr>
        <w:trPr>
          <w:trHeight w:val="96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质量指标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不发生因海关商检职能管理原因导致的系统性、区域性进出口商品质量安全事故</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255"/>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质量指标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建立采信检验机构目录</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＝2个</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2个</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720"/>
        </w:trPr>
        <w:tc>
          <w:tcPr>
            <w:tcW w:w="420" w:type="dxa"/>
            <w:vMerge/>
            <w:tcBorders>
              <w:top w:val="nil"/>
              <w:left w:val="single" w:sz="4" w:space="0" w:color="000000"/>
              <w:bottom w:val="single" w:sz="4" w:space="0" w:color="000000"/>
              <w:right w:val="single" w:sz="4" w:space="0" w:color="000000"/>
            </w:tcBorders>
            <w:vAlign w:val="center"/>
          </w:tcPr>
          <w:p/>
        </w:tc>
        <w:tc>
          <w:tcPr>
            <w:tcW w:w="84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质量指标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本年度通过危化品检验监管资质考核的人员数量</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≥10人</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≥10人</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5</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480"/>
        </w:trPr>
        <w:tc>
          <w:tcPr>
            <w:tcW w:w="420" w:type="dxa"/>
            <w:vMerge/>
            <w:tcBorders>
              <w:top w:val="nil"/>
              <w:left w:val="single" w:sz="4" w:space="0" w:color="000000"/>
              <w:bottom w:val="single" w:sz="4" w:space="0" w:color="000000"/>
              <w:right w:val="single" w:sz="4" w:space="0" w:color="000000"/>
            </w:tcBorders>
            <w:vAlign w:val="center"/>
          </w:tcP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效益指标</w:t>
            </w:r>
          </w:p>
        </w:tc>
        <w:tc>
          <w:tcPr>
            <w:tcW w:w="84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社会效益指标</w:t>
            </w:r>
          </w:p>
        </w:tc>
        <w:tc>
          <w:tcPr>
            <w:tcW w:w="20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left"/>
              <w:rPr>
                <w:rFonts w:ascii="宋体" w:eastAsia="宋体" w:cs="Arial"/>
                <w:kern w:val="0"/>
                <w:sz w:val="18"/>
                <w:szCs w:val="18"/>
              </w:rPr>
            </w:pPr>
            <w:r>
              <w:rPr>
                <w:rFonts w:ascii="宋体" w:eastAsia="宋体" w:cs="Arial" w:hint="eastAsia"/>
                <w:kern w:val="0"/>
                <w:sz w:val="18"/>
                <w:szCs w:val="18"/>
              </w:rPr>
              <w:t>进出口商品检验模式改革为企业节约成本</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W w:w="168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有效</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30</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379"/>
        </w:trPr>
        <w:tc>
          <w:tcPr>
            <w:tcW w:w="6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86.7</w:t>
            </w:r>
          </w:p>
        </w:tc>
        <w:tc>
          <w:tcPr>
            <w:tcW w:w="138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eastAsia="宋体" w:cs="Arial"/>
                <w:kern w:val="0"/>
                <w:sz w:val="18"/>
                <w:szCs w:val="18"/>
              </w:rPr>
            </w:pPr>
            <w:r>
              <w:rPr>
                <w:rFonts w:ascii="宋体" w:eastAsia="宋体" w:cs="Arial" w:hint="eastAsia"/>
                <w:kern w:val="0"/>
                <w:sz w:val="18"/>
                <w:szCs w:val="18"/>
              </w:rPr>
              <w:t>　</w:t>
            </w:r>
          </w:p>
        </w:tc>
      </w:tr>
      <w:tr>
        <w:trPr>
          <w:trHeight w:val="1140"/>
        </w:trPr>
        <w:tc>
          <w:tcPr>
            <w:tcW w:w="9260" w:type="dxa"/>
            <w:gridSpan w:val="11"/>
            <w:tcBorders>
              <w:top w:val="single" w:sz="4" w:space="0" w:color="000000"/>
              <w:left w:val="single" w:sz="4" w:space="0" w:color="000000"/>
              <w:bottom w:val="single" w:sz="4" w:space="0" w:color="000000"/>
              <w:right w:val="single" w:sz="4" w:space="0" w:color="000000"/>
            </w:tcBorders>
            <w:shd w:val="clear" w:color="auto" w:fill="auto"/>
          </w:tcPr>
          <w:p>
            <w:pPr>
              <w:widowControl/>
              <w:jc w:val="left"/>
              <w:rPr>
                <w:rFonts w:ascii="宋体" w:eastAsia="宋体" w:cs="Arial"/>
                <w:kern w:val="0"/>
                <w:sz w:val="18"/>
                <w:szCs w:val="18"/>
              </w:rPr>
            </w:pPr>
            <w:r>
              <w:rPr>
                <w:rFonts w:ascii="宋体" w:eastAsia="宋体" w:cs="Arial" w:hint="eastAsia"/>
                <w:kern w:val="0"/>
                <w:sz w:val="18"/>
                <w:szCs w:val="18"/>
              </w:rPr>
              <w:t>说明：</w:t>
            </w:r>
          </w:p>
        </w:tc>
      </w:tr>
    </w:tbl>
    <w:p>
      <w:pPr>
        <w:pStyle w:val="21"/>
        <w:tabs>
          <w:tab w:val="clear" w:pos="720"/>
        </w:tabs>
        <w:spacing w:line="576" w:lineRule="exact"/>
        <w:ind w:left="355" w:hangingChars="111" w:hanging="355"/>
        <w:rPr>
          <w:rFonts w:ascii="方正楷体_GBK" w:eastAsia="方正楷体_GBK"/>
          <w:b/>
          <w:bCs/>
          <w:sz w:val="32"/>
          <w:szCs w:val="32"/>
        </w:rPr>
      </w:pPr>
    </w:p>
    <w:p>
      <w:pPr>
        <w:pStyle w:val="26"/>
        <w:rPr>
          <w:sz w:val="84"/>
          <w:szCs w:val="84"/>
        </w:rPr>
        <w:sectPr>
          <w:pgSz w:w="11907" w:h="16840"/>
          <w:pgMar w:top="2098" w:right="1474" w:bottom="1985" w:left="1588" w:header="851" w:footer="992" w:gutter="0"/>
          <w:docGrid w:type="lines" w:linePitch="312" w:charSpace="0"/>
        </w:sectPr>
      </w:pPr>
    </w:p>
    <w:p>
      <w:pPr>
        <w:jc w:val="center"/>
        <w:rPr>
          <w:rFonts w:ascii="方正小标宋_GBK" w:eastAsia="方正小标宋_GBK"/>
          <w:sz w:val="84"/>
          <w:szCs w:val="84"/>
        </w:rPr>
      </w:pPr>
      <w:r>
        <w:rPr>
          <w:rFonts w:ascii="方正小标宋_GBK" w:eastAsia="方正小标宋_GBK" w:hint="eastAsia"/>
          <w:sz w:val="84"/>
          <w:szCs w:val="84"/>
        </w:rPr>
        <w:t>第四部分</w:t>
      </w:r>
    </w:p>
    <w:p>
      <w:pPr>
        <w:jc w:val="center"/>
        <w:rPr>
          <w:rFonts w:ascii="方正小标宋_GBK" w:eastAsia="方正小标宋_GBK"/>
          <w:sz w:val="84"/>
          <w:szCs w:val="84"/>
        </w:rPr>
      </w:pPr>
      <w:r>
        <w:rPr>
          <w:rFonts w:ascii="方正小标宋_GBK" w:eastAsia="方正小标宋_GBK" w:hint="eastAsia"/>
          <w:sz w:val="84"/>
          <w:szCs w:val="84"/>
        </w:rPr>
        <w:t>名词解释</w:t>
      </w:r>
    </w:p>
    <w:p>
      <w:pPr>
        <w:pStyle w:val="1"/>
        <w:rPr>
          <w:rFonts w:ascii="方正小标宋_GBK" w:eastAsia="方正小标宋_GBK"/>
          <w:b w:val="0"/>
          <w:bCs w:val="0"/>
          <w:sz w:val="84"/>
          <w:szCs w:val="84"/>
        </w:rPr>
        <w:sectPr>
          <w:pgSz w:w="11907" w:h="16840"/>
          <w:pgMar w:top="2098" w:right="1474" w:bottom="1985" w:left="1588" w:header="851" w:footer="992" w:gutter="0"/>
          <w:vAlign w:val="center"/>
          <w:docGrid w:type="linesAndChars" w:linePitch="312" w:charSpace="0"/>
        </w:sectPr>
      </w:pPr>
    </w:p>
    <w:p>
      <w:pPr>
        <w:pStyle w:val="199"/>
        <w:spacing w:line="576" w:lineRule="exact"/>
        <w:ind w:firstLineChars="196" w:firstLine="627"/>
        <w:rPr>
          <w:rFonts w:eastAsia="方正仿宋_GBK"/>
          <w:szCs w:val="32"/>
        </w:rPr>
      </w:pPr>
      <w:r>
        <w:rPr>
          <w:rFonts w:ascii="方正楷体_GBK" w:eastAsia="方正楷体_GBK" w:hint="eastAsia"/>
          <w:b/>
          <w:bCs/>
          <w:szCs w:val="32"/>
        </w:rPr>
        <w:t>一、一般公共预算财政拨款收入：</w:t>
      </w:r>
      <w:r>
        <w:rPr>
          <w:rFonts w:eastAsia="方正仿宋_GBK" w:hint="eastAsia"/>
          <w:szCs w:val="32"/>
        </w:rPr>
        <w:t>指中央财政当年拨付的资金。</w:t>
      </w:r>
    </w:p>
    <w:p>
      <w:pPr>
        <w:pStyle w:val="199"/>
        <w:spacing w:line="576" w:lineRule="exact"/>
        <w:ind w:firstLineChars="200" w:firstLine="640"/>
        <w:rPr>
          <w:rFonts w:eastAsia="方正仿宋_GBK"/>
          <w:szCs w:val="32"/>
        </w:rPr>
      </w:pPr>
      <w:r>
        <w:rPr>
          <w:rFonts w:ascii="方正楷体_GBK" w:eastAsia="方正楷体_GBK" w:hint="eastAsia"/>
          <w:b/>
          <w:bCs/>
          <w:szCs w:val="32"/>
        </w:rPr>
        <w:t>二、事业收入：</w:t>
      </w:r>
      <w:r>
        <w:rPr>
          <w:rFonts w:eastAsia="方正仿宋_GBK" w:hint="eastAsia"/>
          <w:szCs w:val="32"/>
        </w:rPr>
        <w:t>指事业单位开展专业业务活动及辅助活动所取得的收入。</w:t>
      </w:r>
    </w:p>
    <w:p>
      <w:pPr>
        <w:pStyle w:val="199"/>
        <w:spacing w:line="576" w:lineRule="exact"/>
        <w:ind w:firstLineChars="200" w:firstLine="640"/>
        <w:rPr>
          <w:rFonts w:eastAsia="方正仿宋_GBK"/>
          <w:szCs w:val="32"/>
        </w:rPr>
      </w:pPr>
      <w:r>
        <w:rPr>
          <w:rFonts w:ascii="方正楷体_GBK" w:eastAsia="方正楷体_GBK" w:hint="eastAsia"/>
          <w:b/>
          <w:bCs/>
          <w:szCs w:val="32"/>
        </w:rPr>
        <w:t>三、经营收入：</w:t>
      </w:r>
      <w:r>
        <w:rPr>
          <w:rFonts w:eastAsia="方正仿宋_GBK" w:hint="eastAsia"/>
          <w:szCs w:val="32"/>
        </w:rPr>
        <w:t>指事业单位在专业业务活动及其辅助活动之外开展非独立核算经营活动取得的收入。</w:t>
      </w:r>
    </w:p>
    <w:p>
      <w:pPr>
        <w:pStyle w:val="199"/>
        <w:spacing w:line="576" w:lineRule="exact"/>
        <w:ind w:firstLineChars="200" w:firstLine="640"/>
        <w:rPr>
          <w:rFonts w:eastAsia="方正仿宋_GBK"/>
          <w:szCs w:val="32"/>
        </w:rPr>
      </w:pPr>
      <w:r>
        <w:rPr>
          <w:rFonts w:ascii="方正楷体_GBK" w:eastAsia="方正楷体_GBK" w:hint="eastAsia"/>
          <w:b/>
          <w:bCs/>
          <w:szCs w:val="32"/>
        </w:rPr>
        <w:t>四、其他收入：</w:t>
      </w:r>
      <w:r>
        <w:rPr>
          <w:rFonts w:eastAsia="方正仿宋_GBK" w:hint="eastAsia"/>
          <w:szCs w:val="32"/>
        </w:rPr>
        <w:t>指除上述一般公共预算财政拨款收入、事业收入、事业单位经营收入等以外的收入。主要是非同级财政拨款收入、存款利息收入等。</w:t>
      </w:r>
    </w:p>
    <w:p>
      <w:pPr>
        <w:pStyle w:val="199"/>
        <w:spacing w:line="576" w:lineRule="exact"/>
        <w:ind w:firstLineChars="200" w:firstLine="640"/>
        <w:rPr>
          <w:rFonts w:eastAsia="方正仿宋_GBK"/>
          <w:b/>
          <w:bCs/>
          <w:szCs w:val="32"/>
        </w:rPr>
      </w:pPr>
      <w:r>
        <w:rPr>
          <w:rFonts w:ascii="方正楷体_GBK" w:eastAsia="方正楷体_GBK" w:hint="eastAsia"/>
          <w:b/>
          <w:bCs/>
          <w:szCs w:val="32"/>
        </w:rPr>
        <w:t>五、使用非财政拨款结余：</w:t>
      </w:r>
      <w:r>
        <w:rPr>
          <w:rFonts w:eastAsia="方正仿宋_GBK" w:hint="eastAsia"/>
          <w:szCs w:val="32"/>
        </w:rPr>
        <w:t>指事业单位使用以前年度积累的非财政拨款结余弥补当年收支差额的金额。</w:t>
      </w:r>
    </w:p>
    <w:p>
      <w:pPr>
        <w:pStyle w:val="199"/>
        <w:spacing w:line="576" w:lineRule="exact"/>
        <w:ind w:firstLineChars="200" w:firstLine="640"/>
        <w:rPr>
          <w:rFonts w:eastAsia="方正仿宋_GBK"/>
          <w:szCs w:val="32"/>
        </w:rPr>
      </w:pPr>
      <w:r>
        <w:rPr>
          <w:rFonts w:ascii="方正楷体_GBK" w:eastAsia="方正楷体_GBK" w:hint="eastAsia"/>
          <w:b/>
          <w:bCs/>
          <w:szCs w:val="32"/>
        </w:rPr>
        <w:t>六、年初结转和结余：</w:t>
      </w:r>
      <w:r>
        <w:rPr>
          <w:rFonts w:eastAsia="方正仿宋_GBK" w:hint="eastAsia"/>
          <w:szCs w:val="32"/>
        </w:rPr>
        <w:t>指单位以前年度尚未完成、结转到本年仍按原规定用途继续使用的资金，或项目已完成等产生的结余资金。</w:t>
      </w:r>
    </w:p>
    <w:p>
      <w:pPr>
        <w:pStyle w:val="199"/>
        <w:spacing w:line="576" w:lineRule="exact"/>
        <w:ind w:firstLineChars="200" w:firstLine="640"/>
      </w:pPr>
      <w:r>
        <w:rPr>
          <w:rFonts w:ascii="方正楷体_GBK" w:eastAsia="方正楷体_GBK" w:hint="eastAsia"/>
          <w:b/>
          <w:bCs/>
          <w:szCs w:val="32"/>
        </w:rPr>
        <w:t>七、一般公共服务（类）海关事务（款）：</w:t>
      </w:r>
      <w:r>
        <w:rPr>
          <w:rFonts w:eastAsia="方正仿宋_GBK" w:hint="eastAsia"/>
          <w:szCs w:val="32"/>
        </w:rPr>
        <w:t>反映海关用于系统行政和事业单位的基本支出及完成专项业务工作的项目支出。</w:t>
      </w:r>
    </w:p>
    <w:p>
      <w:pPr>
        <w:pStyle w:val="199"/>
        <w:spacing w:line="576" w:lineRule="exact"/>
        <w:ind w:firstLineChars="200" w:firstLine="640"/>
        <w:rPr>
          <w:rFonts w:ascii="方正仿宋_GBK" w:eastAsia="方正仿宋_GBK"/>
          <w:b/>
          <w:bCs/>
          <w:szCs w:val="32"/>
        </w:rPr>
      </w:pPr>
      <w:r>
        <w:rPr>
          <w:rFonts w:ascii="方正仿宋_GBK" w:eastAsia="方正仿宋_GBK" w:hint="eastAsia"/>
          <w:b/>
          <w:bCs/>
          <w:szCs w:val="32"/>
        </w:rPr>
        <w:t>行政运行（项）</w:t>
      </w:r>
      <w:r>
        <w:rPr>
          <w:rFonts w:ascii="方正仿宋_GBK" w:eastAsia="方正仿宋_GBK" w:hint="eastAsia"/>
          <w:szCs w:val="32"/>
        </w:rPr>
        <w:t>反映海关系统（包括参照公务员管理的事业单位）的基本支出。</w:t>
      </w:r>
    </w:p>
    <w:p>
      <w:pPr>
        <w:pStyle w:val="199"/>
        <w:spacing w:line="576" w:lineRule="exact"/>
        <w:ind w:firstLineChars="200" w:firstLine="640"/>
        <w:rPr>
          <w:rFonts w:eastAsia="方正仿宋_GBK"/>
          <w:b/>
          <w:bCs/>
          <w:szCs w:val="32"/>
        </w:rPr>
      </w:pPr>
      <w:r>
        <w:rPr>
          <w:rFonts w:eastAsia="方正仿宋_GBK" w:hint="eastAsia"/>
          <w:b/>
          <w:bCs/>
          <w:szCs w:val="32"/>
        </w:rPr>
        <w:t>一般行政管理事务（项）</w:t>
      </w:r>
      <w:r>
        <w:rPr>
          <w:rFonts w:eastAsia="方正仿宋_GBK" w:hint="eastAsia"/>
          <w:szCs w:val="32"/>
        </w:rPr>
        <w:t>反映海关系统（包括参照公务员管理的事业单位）未单独设置项级科目的其他项目支出。</w:t>
      </w:r>
    </w:p>
    <w:p>
      <w:pPr>
        <w:pStyle w:val="199"/>
        <w:spacing w:line="576" w:lineRule="exact"/>
        <w:ind w:firstLineChars="200" w:firstLine="640"/>
      </w:pPr>
      <w:r>
        <w:rPr>
          <w:rFonts w:eastAsia="方正仿宋_GBK" w:hint="eastAsia"/>
          <w:b/>
          <w:bCs/>
          <w:szCs w:val="32"/>
        </w:rPr>
        <w:t>机关服务（项）</w:t>
      </w:r>
      <w:r>
        <w:rPr>
          <w:rFonts w:eastAsia="方正仿宋_GBK" w:hint="eastAsia"/>
          <w:szCs w:val="32"/>
        </w:rPr>
        <w:t>反映海关系统为行政单位（包括参照公务员管理的事业单位）提供后勤服务的各类后勤服务中心等附属事业单位的支出。</w:t>
      </w:r>
    </w:p>
    <w:p>
      <w:pPr>
        <w:pStyle w:val="199"/>
        <w:spacing w:line="576" w:lineRule="exact"/>
        <w:ind w:firstLineChars="200" w:firstLine="640"/>
        <w:rPr>
          <w:rFonts w:eastAsia="方正仿宋_GBK"/>
          <w:szCs w:val="32"/>
        </w:rPr>
      </w:pPr>
      <w:r>
        <w:rPr>
          <w:rFonts w:eastAsia="方正仿宋_GBK" w:hint="eastAsia"/>
          <w:b/>
          <w:bCs/>
          <w:szCs w:val="32"/>
        </w:rPr>
        <w:t>缉私办案（项）</w:t>
      </w:r>
      <w:r>
        <w:rPr>
          <w:rFonts w:eastAsia="方正仿宋_GBK" w:hint="eastAsia"/>
          <w:szCs w:val="32"/>
        </w:rPr>
        <w:t>反映海关系统用于缉私办案方面的支出。</w:t>
      </w:r>
    </w:p>
    <w:p>
      <w:pPr>
        <w:pStyle w:val="199"/>
        <w:spacing w:line="576" w:lineRule="exact"/>
        <w:ind w:firstLineChars="200" w:firstLine="640"/>
      </w:pPr>
      <w:r>
        <w:rPr>
          <w:rFonts w:eastAsia="方正仿宋_GBK" w:hint="eastAsia"/>
          <w:b/>
          <w:bCs/>
          <w:szCs w:val="32"/>
        </w:rPr>
        <w:t>口岸管理（项）</w:t>
      </w:r>
      <w:r>
        <w:rPr>
          <w:rFonts w:eastAsia="方正仿宋_GBK" w:hint="eastAsia"/>
          <w:szCs w:val="32"/>
        </w:rPr>
        <w:t>反映口岸工作经费及中国电子口岸建设运维支出。</w:t>
      </w:r>
    </w:p>
    <w:p>
      <w:pPr>
        <w:pStyle w:val="199"/>
        <w:spacing w:line="576" w:lineRule="exact"/>
        <w:ind w:firstLineChars="200" w:firstLine="640"/>
        <w:rPr>
          <w:rFonts w:eastAsia="方正仿宋_GBK"/>
          <w:szCs w:val="32"/>
        </w:rPr>
      </w:pPr>
      <w:r>
        <w:rPr>
          <w:rFonts w:eastAsia="方正仿宋_GBK" w:hint="eastAsia"/>
          <w:b/>
          <w:bCs/>
          <w:szCs w:val="32"/>
        </w:rPr>
        <w:t>信息化建设（项）</w:t>
      </w:r>
      <w:r>
        <w:rPr>
          <w:rFonts w:eastAsia="方正仿宋_GBK" w:hint="eastAsia"/>
          <w:szCs w:val="32"/>
        </w:rPr>
        <w:t>反映海关系统用于海关科技信息化建设、海关信息系统运行维护等方面的支出。</w:t>
      </w:r>
    </w:p>
    <w:p>
      <w:pPr>
        <w:pStyle w:val="199"/>
        <w:spacing w:line="576" w:lineRule="exact"/>
        <w:ind w:firstLineChars="200" w:firstLine="640"/>
        <w:rPr>
          <w:rFonts w:eastAsia="方正仿宋_GBK"/>
          <w:szCs w:val="32"/>
        </w:rPr>
      </w:pPr>
      <w:r>
        <w:rPr>
          <w:rFonts w:eastAsia="方正仿宋_GBK" w:hint="eastAsia"/>
          <w:b/>
          <w:bCs/>
          <w:szCs w:val="32"/>
        </w:rPr>
        <w:t>海关关务（项）：</w:t>
      </w:r>
      <w:r>
        <w:rPr>
          <w:rFonts w:eastAsia="方正仿宋_GBK" w:hint="eastAsia"/>
          <w:szCs w:val="32"/>
        </w:rPr>
        <w:t>反映海关现场综合业务费、基本建设和资产运行维护方面的支出。</w:t>
      </w:r>
    </w:p>
    <w:p>
      <w:pPr>
        <w:pStyle w:val="199"/>
        <w:spacing w:line="576" w:lineRule="exact"/>
        <w:ind w:firstLineChars="200" w:firstLine="640"/>
        <w:rPr>
          <w:rFonts w:eastAsia="方正仿宋_GBK"/>
          <w:szCs w:val="32"/>
        </w:rPr>
      </w:pPr>
      <w:r>
        <w:rPr>
          <w:rFonts w:eastAsia="方正仿宋_GBK" w:hint="eastAsia"/>
          <w:b/>
          <w:bCs/>
          <w:szCs w:val="32"/>
        </w:rPr>
        <w:t>关税征管（项）：</w:t>
      </w:r>
      <w:r>
        <w:rPr>
          <w:rFonts w:eastAsia="方正仿宋_GBK" w:hint="eastAsia"/>
          <w:szCs w:val="32"/>
        </w:rPr>
        <w:t>反映海关系统用于海关关税征管业务的支出。</w:t>
      </w:r>
    </w:p>
    <w:p>
      <w:pPr>
        <w:pStyle w:val="199"/>
        <w:spacing w:line="576" w:lineRule="exact"/>
        <w:ind w:firstLineChars="200" w:firstLine="640"/>
        <w:rPr>
          <w:rFonts w:eastAsia="方正仿宋_GBK"/>
          <w:szCs w:val="32"/>
        </w:rPr>
      </w:pPr>
      <w:r>
        <w:rPr>
          <w:rFonts w:eastAsia="方正仿宋_GBK" w:hint="eastAsia"/>
          <w:b/>
          <w:bCs/>
          <w:szCs w:val="32"/>
        </w:rPr>
        <w:t>海关监管（项）：</w:t>
      </w:r>
      <w:r>
        <w:rPr>
          <w:rFonts w:eastAsia="方正仿宋_GBK" w:hint="eastAsia"/>
          <w:szCs w:val="32"/>
        </w:rPr>
        <w:t>反映海关系统用于海关监管查验技术设备购建及运维的支出。</w:t>
      </w:r>
    </w:p>
    <w:p>
      <w:pPr>
        <w:pStyle w:val="199"/>
        <w:spacing w:line="576" w:lineRule="exact"/>
        <w:ind w:firstLineChars="200" w:firstLine="640"/>
        <w:rPr>
          <w:rFonts w:eastAsia="方正仿宋_GBK"/>
          <w:szCs w:val="32"/>
        </w:rPr>
      </w:pPr>
      <w:r>
        <w:rPr>
          <w:rFonts w:eastAsia="方正仿宋_GBK" w:hint="eastAsia"/>
          <w:b/>
          <w:bCs/>
          <w:szCs w:val="32"/>
        </w:rPr>
        <w:t>检验检疫（项）：</w:t>
      </w:r>
      <w:r>
        <w:rPr>
          <w:rFonts w:eastAsia="方正仿宋_GBK" w:hint="eastAsia"/>
          <w:szCs w:val="32"/>
        </w:rPr>
        <w:t>反映海关系统用于检验检疫执法保障及能力提升、检验检疫安全监管、认证认可监督管理支出。</w:t>
      </w:r>
    </w:p>
    <w:p>
      <w:pPr>
        <w:pStyle w:val="199"/>
        <w:spacing w:line="576" w:lineRule="exact"/>
        <w:ind w:firstLineChars="200" w:firstLine="640"/>
        <w:rPr>
          <w:rFonts w:eastAsia="方正仿宋_GBK"/>
          <w:szCs w:val="32"/>
        </w:rPr>
      </w:pPr>
      <w:r>
        <w:rPr>
          <w:rFonts w:eastAsia="方正仿宋_GBK" w:hint="eastAsia"/>
          <w:b/>
          <w:bCs/>
          <w:szCs w:val="32"/>
        </w:rPr>
        <w:t>事业运行（项）</w:t>
      </w:r>
      <w:r>
        <w:rPr>
          <w:rFonts w:eastAsia="方正仿宋_GBK" w:hint="eastAsia"/>
          <w:szCs w:val="32"/>
        </w:rPr>
        <w:t>反映海关事业单位的基本支出，不包括行政单位（包括参照公务员管理的事业单位）后勤服务中心等附属事业单位。</w:t>
      </w:r>
    </w:p>
    <w:p>
      <w:pPr>
        <w:pStyle w:val="199"/>
        <w:spacing w:line="576" w:lineRule="exact"/>
        <w:ind w:firstLineChars="200" w:firstLine="640"/>
        <w:rPr>
          <w:rFonts w:eastAsia="方正仿宋_GBK"/>
          <w:szCs w:val="32"/>
        </w:rPr>
      </w:pPr>
      <w:r>
        <w:rPr>
          <w:rFonts w:eastAsia="方正仿宋_GBK" w:hint="eastAsia"/>
          <w:b/>
          <w:bCs/>
          <w:szCs w:val="32"/>
        </w:rPr>
        <w:t>其他海关事务支出（项）</w:t>
      </w:r>
      <w:r>
        <w:rPr>
          <w:rFonts w:eastAsia="方正仿宋_GBK" w:hint="eastAsia"/>
          <w:szCs w:val="32"/>
        </w:rPr>
        <w:t>反映除上述项目以外其他海关事务方面的支出。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八、一般公共服务（类）纪检监察事务（款）派驻派出机构（项）：</w:t>
      </w:r>
      <w:r>
        <w:rPr>
          <w:rFonts w:eastAsia="方正仿宋_GBK" w:hint="eastAsia"/>
          <w:szCs w:val="32"/>
        </w:rPr>
        <w:t>反映中央纪委国家监委驻海关总署开展工作的专项业务支出。</w:t>
      </w:r>
    </w:p>
    <w:p>
      <w:pPr>
        <w:pStyle w:val="199"/>
        <w:spacing w:line="576" w:lineRule="exact"/>
        <w:ind w:firstLineChars="200" w:firstLine="640"/>
        <w:rPr>
          <w:rFonts w:ascii="方正楷体_GBK" w:eastAsia="方正楷体_GBK"/>
          <w:b/>
          <w:bCs/>
          <w:szCs w:val="32"/>
        </w:rPr>
      </w:pPr>
      <w:r>
        <w:rPr>
          <w:rFonts w:ascii="方正楷体_GBK" w:eastAsia="方正楷体_GBK" w:hint="eastAsia"/>
          <w:b/>
          <w:bCs/>
          <w:szCs w:val="32"/>
        </w:rPr>
        <w:t>九、外交支出（类）对外援助（款）对外援助（项）：</w:t>
      </w:r>
      <w:r>
        <w:rPr>
          <w:rFonts w:eastAsia="方正仿宋_GBK" w:hint="eastAsia"/>
          <w:szCs w:val="32"/>
        </w:rPr>
        <w:t>反映海关对外国政府（地区）提供的各种援助和技术合作支出。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十、外交支出（类）国际组织（款）国际组织会费（项）：</w:t>
      </w:r>
      <w:r>
        <w:rPr>
          <w:rFonts w:eastAsia="方正仿宋_GBK" w:hint="eastAsia"/>
          <w:szCs w:val="32"/>
        </w:rPr>
        <w:t>反映海关经批准参加国际组织，按国际组织规定缴纳的会费。</w:t>
      </w:r>
    </w:p>
    <w:p>
      <w:pPr>
        <w:pStyle w:val="199"/>
        <w:spacing w:line="576" w:lineRule="exact"/>
        <w:ind w:firstLineChars="200" w:firstLine="640"/>
        <w:rPr>
          <w:rFonts w:eastAsia="方正仿宋_GBK"/>
          <w:szCs w:val="32"/>
        </w:rPr>
      </w:pPr>
      <w:r>
        <w:rPr>
          <w:rFonts w:ascii="方正楷体_GBK" w:eastAsia="方正楷体_GBK" w:hint="eastAsia"/>
          <w:b/>
          <w:bCs/>
          <w:szCs w:val="32"/>
        </w:rPr>
        <w:t>十一、外交支出（类）国际组织（款）国际组织捐赠（项）：</w:t>
      </w:r>
      <w:r>
        <w:rPr>
          <w:rFonts w:eastAsia="方正仿宋_GBK" w:hint="eastAsia"/>
          <w:szCs w:val="32"/>
        </w:rPr>
        <w:t>反映以我国政府或海关总署名义，向国际组织的认捐、救灾、馈赠等支出。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十二、外交支出（类）对外合作与交流（款） 对外合作活动（项）：</w:t>
      </w:r>
      <w:r>
        <w:rPr>
          <w:rFonts w:eastAsia="方正仿宋_GBK"/>
          <w:szCs w:val="32"/>
        </w:rPr>
        <w:t>反映海关总署用于外交目的的对外合作方面的支出。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十三、外交支出（类）其他外交支出（款）其他外交支出（项）：</w:t>
      </w:r>
      <w:r>
        <w:rPr>
          <w:rFonts w:eastAsia="方正仿宋_GBK" w:hint="eastAsia"/>
          <w:szCs w:val="32"/>
        </w:rPr>
        <w:t>反映除上述项目以外其他用于外交方面的支出。</w:t>
      </w:r>
    </w:p>
    <w:p>
      <w:pPr>
        <w:pStyle w:val="199"/>
        <w:spacing w:line="576" w:lineRule="exact"/>
        <w:ind w:firstLineChars="200" w:firstLine="640"/>
      </w:pPr>
      <w:r>
        <w:rPr>
          <w:rFonts w:ascii="方正楷体_GBK" w:eastAsia="方正楷体_GBK" w:hint="eastAsia"/>
          <w:b/>
          <w:bCs/>
          <w:szCs w:val="32"/>
        </w:rPr>
        <w:t>十四、公共安全支出（类）缉私警察（款）：</w:t>
      </w:r>
      <w:r>
        <w:rPr>
          <w:rFonts w:eastAsia="方正仿宋_GBK" w:hint="eastAsia"/>
          <w:szCs w:val="32"/>
        </w:rPr>
        <w:t>反映海关缉私警察的基本支出及完成专项业务工作的项目支出。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十五、教育支出（类）普通教育（款）高等教育（项）：</w:t>
      </w:r>
      <w:r>
        <w:rPr>
          <w:rFonts w:eastAsia="方正仿宋_GBK" w:hint="eastAsia"/>
          <w:szCs w:val="32"/>
        </w:rPr>
        <w:t>反映海关所属院校教学等方面的支出。</w:t>
      </w:r>
    </w:p>
    <w:p>
      <w:pPr>
        <w:pStyle w:val="199"/>
        <w:spacing w:line="576" w:lineRule="exact"/>
        <w:ind w:firstLineChars="200" w:firstLine="640"/>
        <w:rPr>
          <w:rFonts w:ascii="方正仿宋_GBK" w:eastAsia="方正仿宋_GBK"/>
          <w:szCs w:val="32"/>
        </w:rPr>
      </w:pPr>
      <w:r>
        <w:rPr>
          <w:rFonts w:ascii="方正楷体_GBK" w:eastAsia="方正楷体_GBK" w:hint="eastAsia"/>
          <w:b/>
          <w:bCs/>
          <w:szCs w:val="32"/>
        </w:rPr>
        <w:t>十六、社会保障和就业支出（类）人力资源和社会保障管理事务（款）政府特殊津贴（项）：</w:t>
      </w:r>
      <w:r>
        <w:rPr>
          <w:rFonts w:ascii="方正仿宋_GBK" w:eastAsia="方正仿宋_GBK" w:hint="eastAsia"/>
          <w:szCs w:val="32"/>
        </w:rPr>
        <w:t>反映海关与政府特殊津贴相关的支出。</w:t>
      </w:r>
    </w:p>
    <w:p>
      <w:pPr>
        <w:pStyle w:val="199"/>
        <w:spacing w:line="576" w:lineRule="exact"/>
        <w:ind w:firstLineChars="200" w:firstLine="640"/>
        <w:rPr>
          <w:rFonts w:eastAsia="方正仿宋_GBK"/>
          <w:szCs w:val="32"/>
        </w:rPr>
      </w:pPr>
      <w:r>
        <w:rPr>
          <w:rFonts w:ascii="方正楷体_GBK" w:eastAsia="方正楷体_GBK" w:hint="eastAsia"/>
          <w:b/>
          <w:bCs/>
          <w:szCs w:val="32"/>
        </w:rPr>
        <w:t>十七、社会保障和就业支出（类）行政事业单位养老支出（款）：</w:t>
      </w:r>
      <w:r>
        <w:rPr>
          <w:rFonts w:eastAsia="方正仿宋_GBK" w:hint="eastAsia"/>
          <w:szCs w:val="32"/>
        </w:rPr>
        <w:t>反映用于海关行政事业单位离退休方面的支出。</w:t>
      </w:r>
    </w:p>
    <w:p>
      <w:pPr>
        <w:pStyle w:val="199"/>
        <w:spacing w:line="576" w:lineRule="exact"/>
        <w:ind w:firstLineChars="200" w:firstLine="640"/>
        <w:rPr>
          <w:rFonts w:eastAsia="方正仿宋_GBK"/>
          <w:szCs w:val="32"/>
        </w:rPr>
      </w:pPr>
      <w:r>
        <w:rPr>
          <w:rFonts w:eastAsia="方正仿宋_GBK" w:hint="eastAsia"/>
          <w:b/>
          <w:bCs/>
          <w:szCs w:val="32"/>
        </w:rPr>
        <w:t>行政单位离退休（项）：</w:t>
      </w:r>
      <w:r>
        <w:rPr>
          <w:rFonts w:eastAsia="方正仿宋_GBK" w:hint="eastAsia"/>
          <w:szCs w:val="32"/>
        </w:rPr>
        <w:t>反映海关系统行政单位（包括参照公务员管理的事业单位）开支的离退休支出。</w:t>
      </w:r>
    </w:p>
    <w:p>
      <w:pPr>
        <w:pStyle w:val="199"/>
        <w:spacing w:line="576" w:lineRule="exact"/>
        <w:ind w:firstLineChars="200" w:firstLine="640"/>
        <w:rPr>
          <w:rFonts w:eastAsia="方正仿宋_GBK"/>
          <w:szCs w:val="32"/>
        </w:rPr>
      </w:pPr>
      <w:r>
        <w:rPr>
          <w:rFonts w:eastAsia="方正仿宋_GBK" w:hint="eastAsia"/>
          <w:b/>
          <w:bCs/>
          <w:szCs w:val="32"/>
        </w:rPr>
        <w:t>事业单位离退休（项）：</w:t>
      </w:r>
      <w:r>
        <w:rPr>
          <w:rFonts w:eastAsia="方正仿宋_GBK" w:hint="eastAsia"/>
          <w:szCs w:val="32"/>
        </w:rPr>
        <w:t>反映海关系统事业单位开支的离退休经费。</w:t>
      </w:r>
    </w:p>
    <w:p>
      <w:pPr>
        <w:pStyle w:val="199"/>
        <w:spacing w:line="576" w:lineRule="exact"/>
        <w:ind w:firstLineChars="200" w:firstLine="640"/>
        <w:rPr>
          <w:rFonts w:eastAsia="方正仿宋_GBK"/>
          <w:szCs w:val="32"/>
        </w:rPr>
      </w:pPr>
      <w:r>
        <w:rPr>
          <w:rFonts w:eastAsia="方正仿宋_GBK" w:hint="eastAsia"/>
          <w:b/>
          <w:bCs/>
          <w:szCs w:val="32"/>
        </w:rPr>
        <w:t>离退休人员管理机构（项）：</w:t>
      </w:r>
      <w:r>
        <w:rPr>
          <w:rFonts w:eastAsia="方正仿宋_GBK" w:hint="eastAsia"/>
          <w:szCs w:val="32"/>
        </w:rPr>
        <w:t>反映海关系统为离退休人员提供管理服务的离退休管理机构的支出。</w:t>
      </w:r>
    </w:p>
    <w:p>
      <w:pPr>
        <w:pStyle w:val="199"/>
        <w:spacing w:line="576" w:lineRule="exact"/>
        <w:ind w:firstLineChars="200" w:firstLine="640"/>
        <w:rPr>
          <w:rFonts w:eastAsia="方正仿宋_GBK"/>
          <w:szCs w:val="32"/>
        </w:rPr>
      </w:pPr>
      <w:r>
        <w:rPr>
          <w:rFonts w:eastAsia="方正仿宋_GBK" w:hint="eastAsia"/>
          <w:b/>
          <w:bCs/>
          <w:szCs w:val="32"/>
        </w:rPr>
        <w:t>机关事业单位基本养老保险缴费支出（项）：</w:t>
      </w:r>
      <w:r>
        <w:rPr>
          <w:rFonts w:eastAsia="方正仿宋_GBK" w:hint="eastAsia"/>
          <w:szCs w:val="32"/>
        </w:rPr>
        <w:t>反映已参加当地社保的在职人员的基本养老保险支出。</w:t>
      </w:r>
    </w:p>
    <w:p>
      <w:pPr>
        <w:pStyle w:val="199"/>
        <w:spacing w:line="576" w:lineRule="exact"/>
        <w:ind w:firstLineChars="200" w:firstLine="640"/>
        <w:rPr>
          <w:rFonts w:eastAsia="方正仿宋_GBK"/>
          <w:szCs w:val="32"/>
        </w:rPr>
      </w:pPr>
      <w:r>
        <w:rPr>
          <w:rFonts w:eastAsia="方正仿宋_GBK" w:hint="eastAsia"/>
          <w:b/>
          <w:bCs/>
          <w:szCs w:val="32"/>
        </w:rPr>
        <w:t>机关事业单位职业年金缴费支出（项）：</w:t>
      </w:r>
      <w:r>
        <w:rPr>
          <w:rFonts w:eastAsia="方正仿宋_GBK" w:hint="eastAsia"/>
          <w:szCs w:val="32"/>
        </w:rPr>
        <w:t>反映已参加当地社保的在职人员的职业年金支出。</w:t>
      </w:r>
    </w:p>
    <w:p>
      <w:pPr>
        <w:pStyle w:val="199"/>
        <w:spacing w:line="576" w:lineRule="exact"/>
        <w:ind w:firstLineChars="147" w:firstLine="470"/>
        <w:rPr>
          <w:rFonts w:eastAsia="方正仿宋_GBK"/>
          <w:szCs w:val="32"/>
        </w:rPr>
      </w:pPr>
      <w:r>
        <w:rPr>
          <w:rFonts w:ascii="方正楷体_GBK" w:eastAsia="方正楷体_GBK" w:hint="eastAsia"/>
          <w:b/>
          <w:bCs/>
          <w:szCs w:val="32"/>
        </w:rPr>
        <w:t>十八、卫生健康支出（类）行政事业单位医疗（款）：</w:t>
      </w:r>
      <w:r>
        <w:rPr>
          <w:rFonts w:eastAsia="方正仿宋_GBK" w:hint="eastAsia"/>
          <w:szCs w:val="32"/>
        </w:rPr>
        <w:t>反映已参加当地医保的海关单位用于向地方社保部门缴纳的基本医疗保险和公务员医疗补助支出。</w:t>
      </w:r>
    </w:p>
    <w:p>
      <w:pPr>
        <w:pStyle w:val="199"/>
        <w:spacing w:line="576" w:lineRule="exact"/>
        <w:ind w:firstLineChars="200" w:firstLine="640"/>
        <w:rPr>
          <w:rFonts w:eastAsia="方正仿宋_GBK"/>
          <w:szCs w:val="32"/>
        </w:rPr>
      </w:pPr>
      <w:r>
        <w:rPr>
          <w:rFonts w:eastAsia="方正仿宋_GBK" w:hint="eastAsia"/>
          <w:b/>
          <w:bCs/>
          <w:szCs w:val="32"/>
        </w:rPr>
        <w:t>行政单位医疗（项）：</w:t>
      </w:r>
      <w:r>
        <w:rPr>
          <w:rFonts w:eastAsia="方正仿宋_GBK" w:hint="eastAsia"/>
          <w:szCs w:val="32"/>
        </w:rPr>
        <w:t>指中央财政集中安排的驻各地海关单位基本医疗保险缴费经费。</w:t>
      </w:r>
    </w:p>
    <w:p>
      <w:pPr>
        <w:pStyle w:val="199"/>
        <w:spacing w:line="576" w:lineRule="exact"/>
        <w:ind w:firstLineChars="200" w:firstLine="640"/>
      </w:pPr>
      <w:r>
        <w:rPr>
          <w:rFonts w:eastAsia="方正仿宋_GBK" w:hint="eastAsia"/>
          <w:b/>
          <w:bCs/>
          <w:szCs w:val="32"/>
        </w:rPr>
        <w:t>公务员医疗补助（项）：</w:t>
      </w:r>
      <w:r>
        <w:rPr>
          <w:rFonts w:eastAsia="方正仿宋_GBK" w:hint="eastAsia"/>
          <w:szCs w:val="32"/>
        </w:rPr>
        <w:t>指中央财政集中安排的驻各地海关单位公务员医疗补助经费。</w:t>
      </w:r>
    </w:p>
    <w:p>
      <w:pPr>
        <w:pStyle w:val="199"/>
        <w:spacing w:line="576" w:lineRule="exact"/>
        <w:ind w:firstLineChars="200" w:firstLine="640"/>
        <w:rPr>
          <w:rFonts w:eastAsia="方正仿宋_GBK"/>
          <w:szCs w:val="32"/>
        </w:rPr>
      </w:pPr>
      <w:r>
        <w:rPr>
          <w:rFonts w:ascii="方正楷体_GBK" w:eastAsia="方正楷体_GBK" w:hint="eastAsia"/>
          <w:b/>
          <w:bCs/>
          <w:szCs w:val="32"/>
        </w:rPr>
        <w:t>十九、住房保障支出（类）住房改革支出（款）：</w:t>
      </w:r>
      <w:r>
        <w:rPr>
          <w:rFonts w:eastAsia="方正仿宋_GBK" w:hint="eastAsia"/>
          <w:szCs w:val="32"/>
        </w:rPr>
        <w:t>反映海关系统按照国家政策规定为职工发放的住房公积金、提租补贴和购房补贴等支出。住房改革支出包括三项：</w:t>
      </w:r>
    </w:p>
    <w:p>
      <w:pPr>
        <w:pStyle w:val="199"/>
        <w:spacing w:line="576" w:lineRule="exact"/>
        <w:ind w:firstLineChars="200" w:firstLine="640"/>
        <w:rPr>
          <w:rFonts w:eastAsia="方正仿宋_GBK"/>
          <w:szCs w:val="32"/>
        </w:rPr>
      </w:pPr>
      <w:r>
        <w:rPr>
          <w:rFonts w:ascii="Times New Roman" w:eastAsia="方正仿宋_GBK" w:hAnsi="Times New Roman"/>
          <w:b/>
          <w:bCs/>
          <w:szCs w:val="32"/>
        </w:rPr>
        <w:t>住房公积金（项）：</w:t>
      </w:r>
      <w:r>
        <w:rPr>
          <w:rFonts w:ascii="Times New Roman" w:eastAsia="方正仿宋_GBK" w:hAnsi="Times New Roman" w:hint="eastAsia"/>
          <w:szCs w:val="32"/>
        </w:rPr>
        <w:t>反映行政事业单位按人力资源和社会保障部、财政部规定的基本工资和津贴补贴以及规定比例为职工缴纳的住房公积金。</w:t>
      </w:r>
    </w:p>
    <w:p>
      <w:pPr>
        <w:pStyle w:val="199"/>
        <w:spacing w:line="576" w:lineRule="exact"/>
        <w:ind w:firstLineChars="200" w:firstLine="640"/>
        <w:rPr>
          <w:rFonts w:ascii="Times New Roman" w:eastAsia="方正仿宋_GBK" w:hAnsi="Times New Roman"/>
          <w:szCs w:val="32"/>
        </w:rPr>
      </w:pPr>
      <w:r>
        <w:rPr>
          <w:rFonts w:ascii="Times New Roman" w:eastAsia="方正仿宋_GBK" w:hAnsi="Times New Roman"/>
          <w:b/>
          <w:bCs/>
          <w:szCs w:val="32"/>
        </w:rPr>
        <w:t>提租补贴（项）：</w:t>
      </w:r>
      <w:r>
        <w:rPr>
          <w:rFonts w:ascii="Times New Roman" w:eastAsia="方正仿宋_GBK" w:hAnsi="Times New Roman" w:hint="eastAsia"/>
          <w:szCs w:val="32"/>
        </w:rPr>
        <w:t>反映按房改政策规定的标准，行政事业单位向职工（含离退休人员）发放的租金补贴。</w:t>
      </w:r>
    </w:p>
    <w:p>
      <w:pPr>
        <w:pStyle w:val="199"/>
        <w:spacing w:line="576" w:lineRule="exact"/>
        <w:ind w:firstLineChars="200" w:firstLine="640"/>
        <w:rPr>
          <w:rFonts w:ascii="Times New Roman" w:hAnsi="Times New Roman"/>
        </w:rPr>
      </w:pPr>
      <w:r>
        <w:rPr>
          <w:rFonts w:ascii="Times New Roman" w:eastAsia="方正仿宋_GBK" w:hAnsi="Times New Roman"/>
          <w:b/>
          <w:bCs/>
          <w:szCs w:val="32"/>
        </w:rPr>
        <w:t>购房补贴（项）：</w:t>
      </w:r>
      <w:r>
        <w:rPr>
          <w:rFonts w:ascii="Times New Roman" w:eastAsia="方正仿宋_GBK" w:hAnsi="Times New Roman" w:hint="eastAsia"/>
          <w:szCs w:val="32"/>
        </w:rPr>
        <w:t>反映按房改政策规定，行政事业单位向符合条件的职工（含离退休人员）发放的用于购买住房的补贴。</w:t>
      </w:r>
      <w:r>
        <w:rPr>
          <w:rFonts w:ascii="Times New Roman" w:hAnsi="Times New Roman"/>
        </w:rPr>
        <w:t xml:space="preserve"> </w:t>
      </w:r>
    </w:p>
    <w:p>
      <w:pPr>
        <w:pStyle w:val="199"/>
        <w:autoSpaceDE w:val="0"/>
        <w:autoSpaceDN w:val="0"/>
        <w:adjustRightInd w:val="0"/>
        <w:spacing w:line="576" w:lineRule="exact"/>
        <w:ind w:firstLineChars="224" w:firstLine="717"/>
        <w:rPr>
          <w:rFonts w:eastAsia="方正仿宋_GBK"/>
          <w:kern w:val="0"/>
          <w:szCs w:val="32"/>
        </w:rPr>
      </w:pPr>
      <w:r>
        <w:rPr>
          <w:rFonts w:ascii="方正楷体_GBK" w:eastAsia="方正楷体_GBK" w:hint="eastAsia"/>
          <w:b/>
          <w:bCs/>
          <w:szCs w:val="32"/>
        </w:rPr>
        <w:t>二十、结余分配：</w:t>
      </w:r>
      <w:r>
        <w:rPr>
          <w:rFonts w:eastAsia="方正仿宋_GBK" w:hint="eastAsia"/>
          <w:szCs w:val="32"/>
        </w:rPr>
        <w:t>指事业单位按照政府会计制度的规定缴纳的所得税、提取的专用结余以及转入非财政拨款结余的金额等。</w:t>
      </w:r>
    </w:p>
    <w:p>
      <w:pPr>
        <w:pStyle w:val="200"/>
        <w:spacing w:line="576" w:lineRule="exact"/>
        <w:ind w:firstLineChars="224" w:firstLine="717"/>
        <w:rPr>
          <w:rFonts w:eastAsia="方正仿宋_GBK"/>
          <w:color w:val="auto"/>
          <w:kern w:val="2"/>
          <w:sz w:val="32"/>
          <w:szCs w:val="32"/>
        </w:rPr>
      </w:pPr>
      <w:r>
        <w:rPr>
          <w:rFonts w:ascii="方正楷体_GBK" w:eastAsia="方正楷体_GBK" w:hint="eastAsia"/>
          <w:b/>
          <w:bCs/>
          <w:color w:val="auto"/>
          <w:sz w:val="32"/>
          <w:szCs w:val="32"/>
        </w:rPr>
        <w:t>二十一、年末结转和结余：</w:t>
      </w:r>
      <w:r>
        <w:rPr>
          <w:rFonts w:eastAsia="方正仿宋_GBK" w:hint="eastAsia"/>
          <w:color w:val="auto"/>
          <w:kern w:val="2"/>
          <w:sz w:val="32"/>
          <w:szCs w:val="32"/>
        </w:rPr>
        <w:t>指单位按有关规定结转到下年或以后年度继续使用的资金，或项目已完成等产生的结余资金。</w:t>
      </w:r>
    </w:p>
    <w:p>
      <w:pPr>
        <w:pStyle w:val="200"/>
        <w:spacing w:line="576" w:lineRule="exact"/>
        <w:ind w:firstLineChars="224" w:firstLine="717"/>
        <w:rPr>
          <w:rFonts w:eastAsia="方正仿宋_GBK"/>
          <w:color w:val="auto"/>
          <w:sz w:val="32"/>
          <w:szCs w:val="32"/>
        </w:rPr>
      </w:pPr>
      <w:r>
        <w:rPr>
          <w:rFonts w:ascii="方正楷体_GBK" w:eastAsia="方正楷体_GBK" w:hint="eastAsia"/>
          <w:b/>
          <w:bCs/>
          <w:color w:val="auto"/>
          <w:sz w:val="32"/>
          <w:szCs w:val="32"/>
        </w:rPr>
        <w:t>二十二、基本支出：</w:t>
      </w:r>
      <w:r>
        <w:rPr>
          <w:rFonts w:eastAsia="方正仿宋_GBK" w:hint="eastAsia"/>
          <w:color w:val="auto"/>
          <w:sz w:val="32"/>
          <w:szCs w:val="32"/>
        </w:rPr>
        <w:t>指为保障机构正常运转、完成日常工作任务而发生的人员支出和公用支出。</w:t>
      </w:r>
    </w:p>
    <w:p>
      <w:pPr>
        <w:pStyle w:val="199"/>
        <w:autoSpaceDE w:val="0"/>
        <w:autoSpaceDN w:val="0"/>
        <w:adjustRightInd w:val="0"/>
        <w:spacing w:line="576" w:lineRule="exact"/>
        <w:ind w:firstLineChars="224" w:firstLine="717"/>
        <w:rPr>
          <w:rFonts w:eastAsia="方正仿宋_GBK"/>
          <w:kern w:val="0"/>
          <w:szCs w:val="32"/>
        </w:rPr>
      </w:pPr>
      <w:r>
        <w:rPr>
          <w:rFonts w:ascii="方正楷体_GBK" w:eastAsia="方正楷体_GBK" w:hint="eastAsia"/>
          <w:b/>
          <w:bCs/>
          <w:kern w:val="0"/>
          <w:szCs w:val="32"/>
        </w:rPr>
        <w:t>二十三、项目支出：</w:t>
      </w:r>
      <w:r>
        <w:rPr>
          <w:rFonts w:eastAsia="方正仿宋_GBK" w:hint="eastAsia"/>
          <w:kern w:val="0"/>
          <w:szCs w:val="32"/>
        </w:rPr>
        <w:t>指在基本支出之外为完成特定行政任务或事业发展目标所发生的支出。</w:t>
      </w:r>
    </w:p>
    <w:p>
      <w:pPr>
        <w:pStyle w:val="199"/>
        <w:autoSpaceDE w:val="0"/>
        <w:autoSpaceDN w:val="0"/>
        <w:adjustRightInd w:val="0"/>
        <w:spacing w:line="576" w:lineRule="exact"/>
        <w:ind w:firstLineChars="224" w:firstLine="717"/>
        <w:rPr>
          <w:rFonts w:eastAsia="方正仿宋_GBK"/>
          <w:kern w:val="0"/>
          <w:szCs w:val="32"/>
        </w:rPr>
      </w:pPr>
      <w:r>
        <w:rPr>
          <w:rFonts w:ascii="方正楷体_GBK" w:eastAsia="方正楷体_GBK" w:hint="eastAsia"/>
          <w:b/>
          <w:bCs/>
          <w:kern w:val="0"/>
          <w:szCs w:val="32"/>
        </w:rPr>
        <w:t>二十四、经营支出：</w:t>
      </w:r>
      <w:r>
        <w:rPr>
          <w:rFonts w:eastAsia="方正仿宋_GBK" w:hint="eastAsia"/>
          <w:kern w:val="0"/>
          <w:szCs w:val="32"/>
        </w:rPr>
        <w:t>指事业单位在专业业务活动及其辅助活动之外开展非独立核算经营活动发生的支出。</w:t>
      </w:r>
    </w:p>
    <w:p>
      <w:pPr>
        <w:pStyle w:val="199"/>
        <w:spacing w:line="576" w:lineRule="exact"/>
        <w:ind w:firstLineChars="200" w:firstLine="640"/>
        <w:rPr>
          <w:rFonts w:eastAsia="方正仿宋_GBK"/>
          <w:szCs w:val="32"/>
        </w:rPr>
      </w:pPr>
      <w:r>
        <w:rPr>
          <w:rFonts w:ascii="方正楷体_GBK" w:eastAsia="方正楷体_GBK" w:hint="eastAsia"/>
          <w:b/>
          <w:bCs/>
          <w:kern w:val="0"/>
          <w:szCs w:val="32"/>
        </w:rPr>
        <w:t>二十五、“三公经费”：</w:t>
      </w:r>
      <w:r>
        <w:rPr>
          <w:rFonts w:eastAsia="方正仿宋_GBK" w:hint="eastAsia"/>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按规定保留的公务用车车辆燃料费、维修费、过桥过路费、保险费、安全奖励费用等支出；公务接待费反映单位按规定开支的各类公务接待（含外宾接待）支出。</w:t>
      </w:r>
    </w:p>
    <w:p>
      <w:pPr>
        <w:pStyle w:val="199"/>
        <w:spacing w:line="576" w:lineRule="exact"/>
        <w:ind w:firstLineChars="200" w:firstLine="640"/>
        <w:rPr>
          <w:rFonts w:eastAsia="方正仿宋_GBK"/>
          <w:szCs w:val="32"/>
        </w:rPr>
      </w:pPr>
      <w:r>
        <w:rPr>
          <w:rFonts w:ascii="方正楷体_GBK" w:eastAsia="方正楷体_GBK" w:hint="eastAsia"/>
          <w:b/>
          <w:bCs/>
          <w:kern w:val="0"/>
          <w:szCs w:val="32"/>
        </w:rPr>
        <w:t>二十六、</w:t>
      </w:r>
      <w:r>
        <w:rPr>
          <w:rFonts w:ascii="方正楷体_GBK" w:eastAsia="方正楷体_GBK" w:hint="eastAsia"/>
          <w:b/>
          <w:bCs/>
          <w:szCs w:val="32"/>
        </w:rPr>
        <w:t>机关运行经费：</w:t>
      </w:r>
      <w:r>
        <w:rPr>
          <w:rFonts w:eastAsia="方正仿宋_GBK" w:hint="eastAsia"/>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1"/>
        <w:tabs>
          <w:tab w:val="clear" w:pos="720"/>
        </w:tabs>
        <w:spacing w:line="576" w:lineRule="exact"/>
        <w:ind w:left="0" w:firstLineChars="200" w:firstLine="640"/>
        <w:rPr>
          <w:rFonts w:eastAsia="方正仿宋_GBK"/>
          <w:sz w:val="32"/>
          <w:szCs w:val="32"/>
        </w:rPr>
      </w:pPr>
    </w:p>
    <w:p>
      <w:pPr>
        <w:tabs>
          <w:tab w:val="left" w:pos="4157"/>
        </w:tabs>
        <w:autoSpaceDN w:val="0"/>
        <w:spacing w:line="560" w:lineRule="exact"/>
        <w:ind w:firstLineChars="200" w:firstLine="640"/>
        <w:rPr>
          <w:rFonts w:eastAsia="方正仿宋_GBK"/>
          <w:sz w:val="32"/>
          <w:szCs w:val="32"/>
        </w:rPr>
      </w:pPr>
    </w:p>
    <w:p>
      <w:pPr>
        <w:pStyle w:val="21"/>
        <w:tabs>
          <w:tab w:val="clear" w:pos="720"/>
        </w:tabs>
        <w:ind w:left="0" w:firstLine="0"/>
        <w:jc w:val="center"/>
        <w:rPr>
          <w:rFonts w:eastAsia="方正仿宋_GBK"/>
          <w:b/>
          <w:bCs/>
          <w:sz w:val="30"/>
          <w:szCs w:val="30"/>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隶书_GBK">
    <w:panose1 w:val="03000509000000000000"/>
    <w:charset w:val="86"/>
    <w:family w:val="script"/>
    <w:pitch w:val="variable"/>
    <w:sig w:usb0="00000001" w:usb1="080E0000" w:usb2="00000010" w:usb3="00000000" w:csb0="00040000" w:csb1="00000000"/>
  </w:font>
  <w:font w:name="隶书">
    <w:panose1 w:val="02010509060101010101"/>
    <w:charset w:val="86"/>
    <w:family w:val="modern"/>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黑体">
    <w:altName w:val="华文仿宋"/>
    <w:panose1 w:val="02010609060101010101"/>
    <w:charset w:val="86"/>
    <w:family w:val="modern"/>
    <w:pitch w:val="variable"/>
    <w:sig w:usb0="800002BF" w:usb1="38CF7CFA" w:usb2="00000016" w:usb3="00000000" w:csb0="00040001" w:csb1="00000000"/>
  </w:font>
  <w:font w:name="仿宋_GB2312">
    <w:altName w:val="宋体"/>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tabs>
        <w:tab w:val="center" w:pos="4153"/>
        <w:tab w:val="right" w:pos="8306"/>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6"/>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1259" w:hRule="exact" w:h="347" w:wrap="around" w:vAnchor="text" w:hAnchor="margin" w:xAlign="outside" w:yAlign="top" w:anchorLock="0"/>
      <w:tabs>
        <w:tab w:val="center" w:pos="4153"/>
        <w:tab w:val="right" w:pos="8306"/>
      </w:tabs>
      <w:rPr>
        <w:rStyle w:val="17"/>
        <w:rFonts w:ascii="宋体"/>
        <w:sz w:val="28"/>
        <w:szCs w:val="28"/>
      </w:rPr>
    </w:pPr>
    <w:r>
      <w:rPr>
        <w:rStyle w:val="17"/>
        <w:rFonts w:ascii="宋体" w:hint="eastAsia"/>
        <w:sz w:val="28"/>
        <w:szCs w:val="28"/>
      </w:rPr>
      <w:t xml:space="preserve">— </w:t>
    </w:r>
    <w:r>
      <w:rPr>
        <w:rStyle w:val="17"/>
        <w:rFonts w:ascii="宋体" w:hint="eastAsia"/>
        <w:sz w:val="28"/>
        <w:szCs w:val="28"/>
      </w:rPr>
      <w:fldChar w:fldCharType="begin"/>
    </w:r>
    <w:r>
      <w:rPr>
        <w:rStyle w:val="17"/>
        <w:rFonts w:ascii="宋体" w:hint="eastAsia"/>
        <w:sz w:val="28"/>
        <w:szCs w:val="28"/>
      </w:rPr>
      <w:instrText xml:space="preserve">PAGE  </w:instrText>
    </w:r>
    <w:r>
      <w:rPr>
        <w:rStyle w:val="17"/>
        <w:rFonts w:ascii="宋体" w:hint="eastAsia"/>
        <w:sz w:val="28"/>
        <w:szCs w:val="28"/>
      </w:rPr>
      <w:fldChar w:fldCharType="separate"/>
    </w:r>
    <w:r>
      <w:rPr>
        <w:rStyle w:val="17"/>
        <w:rFonts w:ascii="宋体"/>
        <w:sz w:val="28"/>
        <w:szCs w:val="28"/>
      </w:rPr>
      <w:t>37</w:t>
    </w:r>
    <w:r>
      <w:rPr>
        <w:rStyle w:val="17"/>
        <w:rFonts w:ascii="宋体" w:hint="eastAsia"/>
        <w:sz w:val="28"/>
        <w:szCs w:val="28"/>
      </w:rPr>
      <w:fldChar w:fldCharType="end"/>
    </w:r>
    <w:r>
      <w:rPr>
        <w:rStyle w:val="17"/>
        <w:rFonts w:ascii="宋体" w:hint="eastAsia"/>
        <w:sz w:val="28"/>
        <w:szCs w:val="28"/>
      </w:rPr>
      <w:t xml:space="preserve"> —</w:t>
    </w:r>
  </w:p>
  <w:p>
    <w:pPr>
      <w:pStyle w:val="16"/>
      <w:tabs>
        <w:tab w:val="center" w:pos="4153"/>
        <w:tab w:val="right" w:pos="8306"/>
      </w:tabs>
      <w:ind w:right="360" w:firstLine="360"/>
      <w:rPr>
        <w:rFonts w:ascii="宋体"/>
        <w:sz w:val="28"/>
        <w:szCs w:val="28"/>
      </w:rPr>
    </w:pPr>
    <w:r>
      <w:rPr>
        <w:rFonts w:ascii="宋体" w:hint="eastAsia"/>
        <w:kern w:val="0"/>
        <w:sz w:val="28"/>
        <w:szCs w:val="28"/>
      </w:rP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rFonts w:ascii="Times New Roman" w:eastAsia="宋体" w:cs="Times New Roman" w:hAnsi="Times New Roman"/>
      <w:b/>
      <w:bCs/>
      <w:kern w:val="44"/>
      <w:sz w:val="44"/>
      <w:szCs w:val="24"/>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character" w:styleId="17">
    <w:name w:val="page number"/>
    <w:basedOn w:val="10"/>
  </w:style>
  <w:style w:type="paragraph" w:styleId="18">
    <w:name w:val="Balloon Text"/>
    <w:basedOn w:val="0"/>
    <w:rPr>
      <w:sz w:val="18"/>
      <w:szCs w:val="18"/>
    </w:rPr>
  </w:style>
  <w:style w:type="paragraph" w:customStyle="1" w:styleId="19">
    <w:name w:val="样式 三号"/>
    <w:pPr>
      <w:widowControl w:val="0"/>
      <w:jc w:val="both"/>
    </w:pPr>
    <w:rPr>
      <w:rFonts w:ascii="仿宋_GB2312" w:eastAsia="仿宋_GB2312" w:cs="Times New Roman"/>
      <w:kern w:val="2"/>
      <w:sz w:val="32"/>
      <w:szCs w:val="20"/>
      <w:lang w:val="en-US" w:eastAsia="zh-CN" w:bidi="ar-SA"/>
    </w:rPr>
  </w:style>
  <w:style w:type="paragraph" w:customStyle="1" w:styleId="20">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579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22">
    <w:name w:val="样式 1 三号"/>
    <w:pPr>
      <w:widowControl w:val="0"/>
      <w:jc w:val="both"/>
    </w:pPr>
    <w:rPr>
      <w:rFonts w:ascii="仿宋_GB2312" w:eastAsia="仿宋_GB2312" w:cs="Times New Roman"/>
      <w:kern w:val="2"/>
      <w:sz w:val="32"/>
      <w:szCs w:val="20"/>
      <w:lang w:val="en-US" w:eastAsia="zh-CN" w:bidi="ar-SA"/>
    </w:rPr>
  </w:style>
  <w:style w:type="paragraph" w:customStyle="1" w:styleId="23">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3 三号"/>
    <w:pPr>
      <w:widowControl w:val="0"/>
      <w:jc w:val="both"/>
    </w:pPr>
    <w:rPr>
      <w:rFonts w:ascii="仿宋_GB2312" w:eastAsia="仿宋_GB2312" w:cs="Times New Roman"/>
      <w:kern w:val="2"/>
      <w:sz w:val="32"/>
      <w:szCs w:val="20"/>
      <w:lang w:val="en-US" w:eastAsia="zh-CN" w:bidi="ar-SA"/>
    </w:rPr>
  </w:style>
  <w:style w:type="paragraph" w:customStyle="1" w:styleId="25">
    <w:name w:val="样式 586 10 磅"/>
    <w:pPr>
      <w:widowControl w:val="0"/>
      <w:tabs>
        <w:tab w:val="left" w:pos="720"/>
      </w:tabs>
      <w:ind w:left="720" w:hanging="720"/>
      <w:jc w:val="both"/>
    </w:pPr>
    <w:rPr>
      <w:rFonts w:ascii="Times New Roman" w:eastAsia="宋体" w:cs="Times New Roman" w:hAnsi="Times New Roman"/>
      <w:kern w:val="2"/>
      <w:sz w:val="21"/>
      <w:szCs w:val="24"/>
      <w:lang w:val="en-US" w:eastAsia="zh-CN" w:bidi="ar-SA"/>
    </w:rPr>
  </w:style>
  <w:style w:type="paragraph" w:customStyle="1" w:styleId="26">
    <w:name w:val="样式 1 二号"/>
    <w:pPr>
      <w:keepNext/>
      <w:keepLines/>
      <w:spacing w:before="340" w:after="330" w:line="578" w:lineRule="auto"/>
      <w:jc w:val="both"/>
      <w:outlineLvl w:val="0"/>
    </w:pPr>
    <w:rPr>
      <w:rFonts w:ascii="Times New Roman" w:eastAsia="宋体" w:cs="Times New Roman" w:hAnsi="Times New Roman"/>
      <w:b/>
      <w:bCs/>
      <w:kern w:val="44"/>
      <w:sz w:val="44"/>
      <w:szCs w:val="24"/>
      <w:lang w:val="en-US" w:eastAsia="zh-CN" w:bidi="ar-SA"/>
    </w:rPr>
  </w:style>
  <w:style w:type="paragraph" w:customStyle="1" w:styleId="27">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8 三号"/>
    <w:pPr>
      <w:widowControl w:val="0"/>
      <w:jc w:val="both"/>
    </w:pPr>
    <w:rPr>
      <w:rFonts w:ascii="仿宋_GB2312" w:eastAsia="仿宋_GB2312" w:cs="Times New Roman"/>
      <w:kern w:val="2"/>
      <w:sz w:val="32"/>
      <w:szCs w:val="20"/>
      <w:lang w:val="en-US" w:eastAsia="zh-CN" w:bidi="ar-SA"/>
    </w:rPr>
  </w:style>
  <w:style w:type="paragraph" w:customStyle="1" w:styleId="200">
    <w:name w:val="样式 1 小四"/>
    <w:next w:val="201"/>
    <w:pPr>
      <w:widowControl w:val="0"/>
      <w:autoSpaceDE w:val="0"/>
      <w:autoSpaceDN w:val="0"/>
      <w:adjustRightInd w:val="0"/>
    </w:pPr>
    <w:rPr>
      <w:rFonts w:ascii="Times New Roman" w:eastAsia="宋体" w:cs="Times New Roman" w:hAnsi="Times New Roman"/>
      <w:color w:val="000000"/>
      <w:kern w:val="0"/>
      <w:sz w:val="24"/>
      <w:szCs w:val="24"/>
      <w:lang w:val="en-US" w:eastAsia="zh-CN" w:bidi="ar-SA"/>
    </w:rPr>
  </w:style>
  <w:style w:type="paragraph" w:styleId="201">
    <w:name w:val="toc 1"/>
    <w:basedOn w:val="0"/>
    <w:autoRedefine/>
    <w:next w:val="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image" Target="media/2.png"/><Relationship Id="rId6" Type="http://schemas.openxmlformats.org/officeDocument/2006/relationships/image" Target="media/5.png"/><Relationship Id="rId7" Type="http://schemas.openxmlformats.org/officeDocument/2006/relationships/image" Target="media/8.png"/><Relationship Id="rId8" Type="http://schemas.openxmlformats.org/officeDocument/2006/relationships/image" Target="media/11.png"/><Relationship Id="rId9" Type="http://schemas.openxmlformats.org/officeDocument/2006/relationships/image" Target="media/14.png"/><Relationship Id="rId10" Type="http://schemas.openxmlformats.org/officeDocument/2006/relationships/image" Target="media/17.png"/><Relationship Id="rId11" Type="http://schemas.openxmlformats.org/officeDocument/2006/relationships/styles" Target="styles.xml"/><Relationship Id="rId12"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Yozo_Office</Application>
  <Pages>40</Pages>
  <Words>11418</Words>
  <Characters>14997</Characters>
  <Lines>2761</Lines>
  <Paragraphs>1410</Paragraphs>
  <CharactersWithSpaces>15901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MC SYSTEM</dc:creator>
  <cp:lastModifiedBy>祁海蓉</cp:lastModifiedBy>
  <cp:revision>2</cp:revision>
  <cp:lastPrinted>2023-08-08T10:07:00Z</cp:lastPrinted>
  <dcterms:created xsi:type="dcterms:W3CDTF">2023-08-10T04:35:00Z</dcterms:created>
  <dcterms:modified xsi:type="dcterms:W3CDTF">2024-04-15T07:30:07Z</dcterms:modified>
</cp:coreProperties>
</file>