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31"/>
        <w:spacing w:line="580" w:lineRule="exact"/>
        <w:ind w:left="0"/>
        <w:jc w:val="center"/>
        <w:rPr>
          <w:rFonts w:ascii="方正小标宋_GBK" w:eastAsia="方正小标宋_GBK" w:cs="方正小标宋_GBK" w:hint="eastAsia"/>
          <w:color w:val="auto"/>
          <w:sz w:val="44"/>
          <w:szCs w:val="44"/>
          <w:lang w:bidi="ar-SA"/>
        </w:rPr>
      </w:pPr>
      <w:r>
        <w:rPr>
          <w:rFonts w:ascii="方正小标宋_GBK" w:eastAsia="方正小标宋_GBK" w:cs="方正小标宋_GBK"/>
          <w:color w:val="auto"/>
          <w:sz w:val="44"/>
          <w:szCs w:val="44"/>
          <w:lang w:bidi="ar-SA"/>
        </w:rPr>
        <w:t>呼和浩特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  <w:lang w:bidi="ar-SA"/>
        </w:rPr>
        <w:t>海关</w:t>
      </w:r>
      <w:r>
        <w:rPr>
          <w:rFonts w:ascii="方正小标宋_GBK" w:eastAsia="方正小标宋_GBK" w:cs="方正小标宋_GBK"/>
          <w:color w:val="auto"/>
          <w:sz w:val="44"/>
          <w:szCs w:val="44"/>
          <w:lang w:bidi="ar-SA"/>
        </w:rPr>
        <w:t>（本级机关）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  <w:lang w:bidi="ar-SA"/>
        </w:rPr>
        <w:t>2021年政府信息公开工作年度报告</w:t>
      </w:r>
    </w:p>
    <w:p>
      <w:pPr>
        <w:pStyle w:val="47"/>
        <w:shd w:val="clear" w:color="auto" w:fill="auto"/>
        <w:spacing w:line="600" w:lineRule="exact"/>
        <w:ind w:left="0" w:firstLineChars="200" w:firstLine="640"/>
        <w:rPr>
          <w:rFonts w:eastAsia="方正仿宋_GBK"/>
          <w:kern w:val="2"/>
          <w:sz w:val="32"/>
          <w:szCs w:val="32"/>
        </w:rPr>
      </w:pPr>
    </w:p>
    <w:p>
      <w:pPr>
        <w:pStyle w:val="47"/>
        <w:shd w:val="clear" w:color="auto" w:fill="auto"/>
        <w:spacing w:line="600" w:lineRule="exact"/>
        <w:ind w:left="0" w:firstLineChars="200" w:firstLine="640"/>
        <w:rPr>
          <w:rFonts w:ascii="方正仿宋_GBK" w:eastAsia="方正仿宋_GBK" w:hint="eastAsia"/>
          <w:color w:val="545454"/>
          <w:sz w:val="32"/>
          <w:szCs w:val="32"/>
        </w:rPr>
      </w:pPr>
      <w:r>
        <w:rPr>
          <w:rFonts w:ascii="方正仿宋_GBK" w:eastAsia="方正仿宋_GBK" w:hint="eastAsia"/>
          <w:kern w:val="2"/>
          <w:sz w:val="32"/>
          <w:szCs w:val="32"/>
        </w:rPr>
        <w:t>本报告根据《中华人民共和国政府信息公开条例》</w:t>
      </w:r>
      <w:r>
        <w:rPr>
          <w:rFonts w:ascii="方正仿宋_GBK" w:eastAsia="方正仿宋_GBK" w:cs="宋体" w:hint="eastAsia"/>
          <w:spacing w:val="7"/>
          <w:kern w:val="0"/>
          <w:sz w:val="32"/>
          <w:szCs w:val="32"/>
        </w:rPr>
        <w:t>《国务院办公厅政府信息与政务公开办公室关于印发&lt;中华人民共和国政府信息公开工作年度报告格式&gt;的通知》（国办公开办函〔2021〕30号）</w:t>
      </w:r>
      <w:r>
        <w:rPr>
          <w:rFonts w:ascii="方正仿宋_GBK" w:eastAsia="方正仿宋_GBK"/>
          <w:kern w:val="2"/>
          <w:sz w:val="32"/>
          <w:szCs w:val="32"/>
        </w:rPr>
        <w:t>，梳理2021年呼和浩特海关政务公开工作</w:t>
      </w:r>
      <w:r>
        <w:rPr>
          <w:rFonts w:ascii="方正仿宋_GBK" w:eastAsia="方正仿宋_GBK" w:hint="eastAsia"/>
          <w:kern w:val="2"/>
          <w:sz w:val="32"/>
          <w:szCs w:val="32"/>
        </w:rPr>
        <w:t>编制</w:t>
      </w:r>
      <w:r>
        <w:rPr>
          <w:rFonts w:ascii="方正仿宋_GBK" w:eastAsia="方正仿宋_GBK"/>
          <w:kern w:val="2"/>
          <w:sz w:val="32"/>
          <w:szCs w:val="32"/>
        </w:rPr>
        <w:t>而成，包括</w:t>
      </w:r>
      <w:r>
        <w:rPr>
          <w:rFonts w:ascii="方正仿宋_GBK" w:eastAsia="方正仿宋_GBK" w:hint="eastAsia"/>
          <w:kern w:val="2"/>
          <w:sz w:val="32"/>
          <w:szCs w:val="32"/>
        </w:rPr>
        <w:t>“</w:t>
      </w:r>
      <w:r>
        <w:rPr>
          <w:rFonts w:ascii="方正仿宋_GBK" w:eastAsia="方正仿宋_GBK" w:hint="eastAsia"/>
          <w:vanish w:val="0"/>
          <w:color w:val="auto"/>
          <w:sz w:val="32"/>
          <w:szCs w:val="32"/>
        </w:rPr>
        <w:t>总体情况”“主动公开政府信息情况”“收到和处理政府信息公开申请情况”“政府信息公开行政复议、行政诉讼情况”“存在的主要问题及改进情况”“其他需要报告的事项”</w:t>
      </w:r>
      <w:r>
        <w:rPr>
          <w:rFonts w:ascii="方正仿宋_GBK" w:eastAsia="方正仿宋_GBK"/>
          <w:vanish w:val="0"/>
          <w:color w:val="auto"/>
          <w:sz w:val="32"/>
          <w:szCs w:val="32"/>
        </w:rPr>
        <w:t>等</w:t>
      </w:r>
      <w:r>
        <w:rPr>
          <w:rFonts w:ascii="方正仿宋_GBK" w:eastAsia="方正仿宋_GBK" w:hint="eastAsia"/>
          <w:vanish w:val="0"/>
          <w:color w:val="auto"/>
          <w:sz w:val="32"/>
          <w:szCs w:val="32"/>
        </w:rPr>
        <w:t>6</w:t>
      </w:r>
      <w:r>
        <w:rPr>
          <w:rFonts w:ascii="方正仿宋_GBK" w:eastAsia="方正仿宋_GBK"/>
          <w:vanish w:val="0"/>
          <w:color w:val="auto"/>
          <w:sz w:val="32"/>
          <w:szCs w:val="32"/>
        </w:rPr>
        <w:t>部分</w:t>
      </w:r>
      <w:r>
        <w:rPr>
          <w:rFonts w:ascii="方正仿宋_GBK" w:eastAsia="方正仿宋_GBK" w:hint="eastAsia"/>
          <w:vanish w:val="0"/>
          <w:color w:val="auto"/>
          <w:sz w:val="32"/>
          <w:szCs w:val="32"/>
        </w:rPr>
        <w:t>。</w:t>
      </w:r>
      <w:r>
        <w:rPr>
          <w:rFonts w:ascii="方正仿宋_GBK" w:eastAsia="方正仿宋_GBK"/>
          <w:vanish w:val="0"/>
          <w:color w:val="auto"/>
          <w:sz w:val="32"/>
          <w:szCs w:val="32"/>
        </w:rPr>
        <w:t>本</w:t>
      </w:r>
      <w:r>
        <w:rPr>
          <w:rFonts w:eastAsia="方正仿宋_GBK"/>
          <w:kern w:val="2"/>
          <w:sz w:val="32"/>
          <w:szCs w:val="32"/>
        </w:rPr>
        <w:t>报告所列数据的统计期限</w:t>
      </w:r>
      <w:r>
        <w:rPr>
          <w:rFonts w:eastAsia="方正仿宋_GBK" w:hint="eastAsia"/>
          <w:kern w:val="2"/>
          <w:sz w:val="32"/>
          <w:szCs w:val="32"/>
        </w:rPr>
        <w:t>，</w:t>
      </w:r>
      <w:r>
        <w:rPr>
          <w:rFonts w:eastAsia="方正仿宋_GBK"/>
          <w:kern w:val="2"/>
          <w:sz w:val="32"/>
          <w:szCs w:val="32"/>
        </w:rPr>
        <w:t>自20</w:t>
      </w:r>
      <w:r>
        <w:rPr>
          <w:rFonts w:eastAsia="方正仿宋_GBK" w:hint="eastAsia"/>
          <w:kern w:val="2"/>
          <w:sz w:val="32"/>
          <w:szCs w:val="32"/>
        </w:rPr>
        <w:t>2</w:t>
      </w:r>
      <w:r>
        <w:rPr>
          <w:rFonts w:eastAsia="方正仿宋_GBK"/>
          <w:kern w:val="2"/>
          <w:sz w:val="32"/>
          <w:szCs w:val="32"/>
        </w:rPr>
        <w:t>1年1月1日起至20</w:t>
      </w:r>
      <w:r>
        <w:rPr>
          <w:rFonts w:eastAsia="方正仿宋_GBK" w:hint="eastAsia"/>
          <w:kern w:val="2"/>
          <w:sz w:val="32"/>
          <w:szCs w:val="32"/>
        </w:rPr>
        <w:t>2</w:t>
      </w:r>
      <w:r>
        <w:rPr>
          <w:rFonts w:eastAsia="方正仿宋_GBK"/>
          <w:kern w:val="2"/>
          <w:sz w:val="32"/>
          <w:szCs w:val="32"/>
        </w:rPr>
        <w:t>1年12月31日止。如对本报告有任何疑问，请联系呼和浩特海关办公室（地址：呼和浩特市如意开发区如意和大街37号，邮政编码：010010，联系电话：0471-6992424，电子邮箱：1677295395@qq.com。）</w:t>
      </w:r>
    </w:p>
    <w:p>
      <w:pPr>
        <w:pStyle w:val="30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color w:val="auto"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  <w:t>一、总体情况</w:t>
      </w:r>
    </w:p>
    <w:p>
      <w:pPr>
        <w:pStyle w:val="45"/>
        <w:overflowPunct w:val="0"/>
        <w:spacing w:line="580" w:lineRule="exact"/>
        <w:ind w:left="0" w:firstLineChars="200" w:firstLine="624"/>
        <w:rPr>
          <w:rFonts w:ascii="方正仿宋_GBK" w:hint="eastAsia"/>
          <w:szCs w:val="32"/>
        </w:rPr>
      </w:pPr>
      <w:r>
        <w:rPr>
          <w:rFonts w:ascii="方正仿宋_GBK" w:cs="宋体" w:hint="eastAsia"/>
          <w:snapToGrid w:val="0"/>
          <w:spacing w:val="-4"/>
          <w:szCs w:val="32"/>
        </w:rPr>
        <w:t>2021年，呼和浩特海关以习近平新时代中国特色社会主义思想为指导，贯彻《</w:t>
      </w:r>
      <w:r>
        <w:rPr>
          <w:rFonts w:ascii="方正仿宋_GBK" w:hint="eastAsia"/>
          <w:szCs w:val="32"/>
        </w:rPr>
        <w:t>中华人民共和国政府信息公开条例</w:t>
      </w:r>
      <w:r>
        <w:rPr>
          <w:rFonts w:ascii="方正仿宋_GBK" w:cs="宋体" w:hint="eastAsia"/>
          <w:snapToGrid w:val="0"/>
          <w:spacing w:val="-4"/>
          <w:szCs w:val="32"/>
        </w:rPr>
        <w:t>》，落实海关总署《2021年海关政务公开工作要点》及相关要求，坚持以公开为常态、不公开为例外，紧扣重点领域加强主动公开，</w:t>
      </w:r>
      <w:r>
        <w:rPr>
          <w:rFonts w:ascii="方正仿宋_GBK" w:hint="eastAsia"/>
          <w:szCs w:val="32"/>
        </w:rPr>
        <w:t>规范办理政府信息公开申请，优化政务公开平台建设，推动政务公开工作取得实效。</w:t>
      </w:r>
    </w:p>
    <w:p>
      <w:pPr>
        <w:pStyle w:val="74"/>
        <w:spacing w:line="580" w:lineRule="exact"/>
        <w:ind w:left="0" w:firstLineChars="200" w:firstLine="640"/>
        <w:rPr>
          <w:rFonts w:ascii="方正仿宋_GBK" w:cs="方正仿宋_GBK"/>
          <w:szCs w:val="32"/>
        </w:rPr>
      </w:pPr>
      <w:r>
        <w:rPr>
          <w:rFonts w:ascii="方正楷体_GBK" w:eastAsia="方正楷体_GBK" w:cs="方正仿宋_GBK" w:hint="eastAsia"/>
          <w:szCs w:val="32"/>
        </w:rPr>
        <w:t>（一）围绕重点领域，深入推进主动公开。</w:t>
      </w:r>
      <w:r>
        <w:rPr>
          <w:rFonts w:ascii="方正仿宋_GBK" w:hint="eastAsia"/>
          <w:color w:val="000000"/>
          <w:szCs w:val="32"/>
        </w:rPr>
        <w:t>制定公开《2021年呼和浩特海关政务公开工作要点》《呼和浩特海关本级机关主动公开基本目录（2021年版）》，明确工作重点，细化职责分工，提高政务公开工作质量。2021年，我关通过门户网站发布政</w:t>
      </w:r>
      <w:r>
        <w:rPr>
          <w:rFonts w:ascii="方正仿宋_GBK"/>
          <w:color w:val="000000"/>
          <w:szCs w:val="32"/>
        </w:rPr>
        <w:t>府</w:t>
      </w:r>
      <w:r>
        <w:rPr>
          <w:rFonts w:ascii="方正仿宋_GBK" w:hint="eastAsia"/>
          <w:color w:val="000000"/>
          <w:szCs w:val="32"/>
        </w:rPr>
        <w:t>信息826条、</w:t>
      </w:r>
      <w:r>
        <w:rPr>
          <w:rFonts w:ascii="方正仿宋_GBK" w:hint="eastAsia"/>
          <w:szCs w:val="32"/>
        </w:rPr>
        <w:t>人大政协办理类提案信息6条、财政信息46条、</w:t>
      </w:r>
      <w:r>
        <w:rPr>
          <w:rFonts w:ascii="方正仿宋_GBK" w:hint="eastAsia"/>
          <w:color w:val="000000"/>
          <w:szCs w:val="32"/>
        </w:rPr>
        <w:t>统计数据月报12期、</w:t>
      </w:r>
      <w:r>
        <w:rPr>
          <w:rFonts w:ascii="方正仿宋_GBK" w:cs="方正仿宋_GBK" w:hint="eastAsia"/>
          <w:szCs w:val="32"/>
        </w:rPr>
        <w:t>行政处罚和行政许可信息117条</w:t>
      </w:r>
      <w:r>
        <w:rPr>
          <w:rFonts w:ascii="方正仿宋_GBK" w:hint="eastAsia"/>
          <w:szCs w:val="32"/>
        </w:rPr>
        <w:t>。</w:t>
      </w:r>
      <w:r>
        <w:rPr>
          <w:rFonts w:ascii="方正仿宋_GBK" w:hint="eastAsia"/>
          <w:color w:val="000000"/>
          <w:szCs w:val="32"/>
        </w:rPr>
        <w:t>设置“疫情防控和六稳六保专栏”，发布口岸卫生、进口冷链食品安全等信息34条。</w:t>
      </w:r>
      <w:r>
        <w:rPr>
          <w:rFonts w:ascii="方正仿宋_GBK" w:hint="eastAsia"/>
          <w:szCs w:val="32"/>
        </w:rPr>
        <w:t>编制发布</w:t>
      </w:r>
      <w:r>
        <w:rPr>
          <w:rStyle w:val="238Char"/>
          <w:rFonts w:ascii="方正仿宋_GBK" w:eastAsia="方正仿宋_GBK" w:hint="eastAsia"/>
          <w:strike w:val="0"/>
          <w:dstrike w:val="0"/>
          <w:vanish w:val="0"/>
          <w:color w:val="auto"/>
          <w:sz w:val="32"/>
          <w:szCs w:val="32"/>
        </w:rPr>
        <w:t>我关2020年政府信息公开工作年度报告、2020年工作总结和2021年工作计划。</w:t>
      </w:r>
      <w:r>
        <w:rPr>
          <w:rFonts w:ascii="方正仿宋_GBK" w:hint="eastAsia"/>
          <w:szCs w:val="32"/>
        </w:rPr>
        <w:t>集中公开11个隶属海关机构职能、机构设置、办事地址、联系方式、负责人姓名等。梳理行政执法事前、事后公开，明确执法主体、执法人员、职责权限、执法依据、执法程序和救济渠道，主动公开本级机关和各隶属海关全部执法人员姓名、工号，接受社会监督</w:t>
      </w:r>
      <w:r>
        <w:rPr>
          <w:rFonts w:ascii="方正仿宋_GBK" w:cs="方正仿宋_GBK" w:hint="eastAsia"/>
          <w:szCs w:val="32"/>
        </w:rPr>
        <w:t>。</w:t>
      </w:r>
    </w:p>
    <w:p>
      <w:pPr>
        <w:pStyle w:val="74"/>
        <w:spacing w:line="580" w:lineRule="exact"/>
        <w:ind w:left="0" w:firstLineChars="200" w:firstLine="640"/>
        <w:rPr>
          <w:rFonts w:ascii="方正仿宋_GBK" w:hint="eastAsia"/>
          <w:szCs w:val="32"/>
        </w:rPr>
      </w:pPr>
      <w:r>
        <w:rPr>
          <w:rFonts w:ascii="方正楷体_GBK" w:eastAsia="方正楷体_GBK" w:cs="方正仿宋_GBK" w:hint="eastAsia"/>
          <w:szCs w:val="32"/>
        </w:rPr>
        <w:t>（二）紧盯答复质效，及时回应社会关切。</w:t>
      </w:r>
      <w:r>
        <w:rPr>
          <w:rFonts w:ascii="方正仿宋_GBK" w:cs="方正仿宋_GBK" w:hint="eastAsia"/>
          <w:szCs w:val="32"/>
        </w:rPr>
        <w:t>明确依申请公开接收、登记、审核、办理、答复、归档等环节，</w:t>
      </w:r>
      <w:r>
        <w:rPr>
          <w:rFonts w:ascii="方正仿宋_GBK" w:hint="eastAsia"/>
          <w:szCs w:val="32"/>
        </w:rPr>
        <w:t>统一接收渠道、办理流程和答复文书格式，强化公开审查和法制审查，持续提升依申请公开办理水平。2021年我关接收“政府信息公开申请”3件，均按要求完成办理。</w:t>
      </w:r>
      <w:r>
        <w:rPr>
          <w:rFonts w:ascii="Times New Roman" w:eastAsia="方正仿宋_GBK" w:hAnsi="Times New Roman"/>
          <w:color w:val="000000"/>
          <w:sz w:val="32"/>
          <w:szCs w:val="32"/>
        </w:rPr>
        <w:t>完善12360热线前台、门户网站</w:t>
      </w:r>
      <w:r>
        <w:rPr>
          <w:rFonts w:ascii="方正仿宋_GBK" w:eastAsia="方正仿宋_GBK" w:hint="eastAsia"/>
          <w:color w:val="000000"/>
          <w:sz w:val="32"/>
          <w:szCs w:val="32"/>
        </w:rPr>
        <w:t>和业务后台协调机制，</w:t>
      </w:r>
      <w:r>
        <w:rPr>
          <w:rFonts w:ascii="方正仿宋_GBK" w:eastAsia="方正仿宋_GBK"/>
          <w:color w:val="000000"/>
          <w:sz w:val="32"/>
          <w:szCs w:val="32"/>
        </w:rPr>
        <w:t>提高答复质效，</w:t>
      </w:r>
      <w:r>
        <w:rPr>
          <w:rFonts w:ascii="方正仿宋_GBK" w:hint="eastAsia"/>
          <w:szCs w:val="32"/>
        </w:rPr>
        <w:t>年内办理各类留言、来信来访89件，全部按照时限要求答复。</w:t>
      </w:r>
    </w:p>
    <w:p>
      <w:pPr>
        <w:pStyle w:val="276"/>
        <w:shd w:val="clear" w:color="auto" w:fill="FFFFFF"/>
        <w:spacing w:before="0" w:beforeAutospacing="0" w:after="0" w:afterAutospacing="0" w:line="596" w:lineRule="exact"/>
        <w:ind w:firstLineChars="200" w:firstLine="640"/>
        <w:jc w:val="both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楷体_GBK" w:eastAsia="方正楷体_GBK" w:cs="方正仿宋_GBK" w:hint="eastAsia"/>
          <w:sz w:val="32"/>
          <w:szCs w:val="32"/>
        </w:rPr>
        <w:t>（三）优化平台建设，提高咨询服务能力。</w:t>
      </w:r>
      <w:r>
        <w:rPr>
          <w:rFonts w:ascii="方正仿宋_GBK" w:eastAsia="方正仿宋_GBK" w:cs="方正仿宋_GBK" w:hint="eastAsia"/>
          <w:sz w:val="32"/>
          <w:szCs w:val="32"/>
        </w:rPr>
        <w:t>升级改版门户网站政府信息公开专栏，优化调整行政执法公示栏目，新建原检验检疫历史数据（已归档）专栏，提高公众获取信息的便利性和时效性。</w:t>
      </w:r>
      <w:r>
        <w:rPr>
          <w:rFonts w:ascii="方正仿宋_GBK" w:eastAsia="方正仿宋_GBK" w:cs="方正仿宋_GBK"/>
          <w:sz w:val="32"/>
          <w:szCs w:val="32"/>
        </w:rPr>
        <w:t>着力提高</w:t>
      </w:r>
      <w:r>
        <w:rPr>
          <w:rFonts w:ascii="方正仿宋_GBK" w:eastAsia="方正仿宋_GBK" w:hint="eastAsia"/>
          <w:color w:val="000000"/>
          <w:sz w:val="32"/>
          <w:szCs w:val="32"/>
        </w:rPr>
        <w:t>企业群众“一号答”“</w:t>
      </w:r>
      <w:r>
        <w:rPr>
          <w:rFonts w:ascii="方正仿宋_GBK" w:eastAsia="方正仿宋_GBK"/>
          <w:color w:val="000000"/>
          <w:sz w:val="32"/>
          <w:szCs w:val="32"/>
        </w:rPr>
        <w:t>一站式</w:t>
      </w:r>
      <w:r>
        <w:rPr>
          <w:rFonts w:ascii="方正仿宋_GBK" w:eastAsia="方正仿宋_GBK" w:hint="eastAsia"/>
          <w:color w:val="000000"/>
          <w:sz w:val="32"/>
          <w:szCs w:val="32"/>
        </w:rPr>
        <w:t>”体验</w:t>
      </w:r>
      <w:r>
        <w:rPr>
          <w:rFonts w:ascii="方正仿宋_GBK" w:eastAsia="方正仿宋_GBK"/>
          <w:color w:val="000000"/>
          <w:sz w:val="32"/>
          <w:szCs w:val="32"/>
        </w:rPr>
        <w:t>，</w:t>
      </w:r>
      <w:r>
        <w:rPr>
          <w:rFonts w:ascii="方正仿宋_GBK" w:eastAsia="方正仿宋_GBK" w:cs="方正仿宋_GBK"/>
          <w:sz w:val="32"/>
          <w:szCs w:val="32"/>
        </w:rPr>
        <w:t>实现我关12360热线与自治区12345热线优化归并，2021年</w:t>
      </w:r>
      <w:r>
        <w:rPr>
          <w:rFonts w:ascii="方正仿宋_GBK" w:eastAsia="方正仿宋_GBK"/>
          <w:color w:val="000000"/>
          <w:sz w:val="32"/>
          <w:szCs w:val="32"/>
        </w:rPr>
        <w:t>我关</w:t>
      </w:r>
      <w:r>
        <w:rPr>
          <w:rFonts w:ascii="方正仿宋_GBK" w:eastAsia="方正仿宋_GBK" w:hint="eastAsia"/>
          <w:color w:val="000000"/>
          <w:sz w:val="32"/>
          <w:szCs w:val="32"/>
        </w:rPr>
        <w:t>12360热线接通率超98%、直接答复率超99%，收到</w:t>
      </w:r>
      <w:r>
        <w:rPr>
          <w:rFonts w:ascii="方正仿宋_GBK" w:eastAsia="方正仿宋_GBK"/>
          <w:color w:val="000000"/>
          <w:sz w:val="32"/>
          <w:szCs w:val="32"/>
        </w:rPr>
        <w:t>企业群众</w:t>
      </w:r>
      <w:r>
        <w:rPr>
          <w:rFonts w:ascii="方正仿宋_GBK" w:eastAsia="方正仿宋_GBK" w:hint="eastAsia"/>
          <w:color w:val="000000"/>
          <w:sz w:val="32"/>
          <w:szCs w:val="32"/>
        </w:rPr>
        <w:t>感谢信2封。围绕海关改革重点热点和疫情防控工作</w:t>
      </w:r>
      <w:r>
        <w:rPr>
          <w:rStyle w:val="262Char"/>
          <w:rFonts w:ascii="方正仿宋_GBK" w:eastAsia="方正仿宋_GBK" w:hint="eastAsia"/>
          <w:strike w:val="0"/>
          <w:dstrike w:val="0"/>
          <w:vanish w:val="0"/>
          <w:color w:val="auto"/>
          <w:sz w:val="32"/>
          <w:szCs w:val="32"/>
        </w:rPr>
        <w:t>加强政策解读，通过门户网站、</w:t>
      </w:r>
      <w:r>
        <w:rPr>
          <w:rFonts w:ascii="方正仿宋_GBK" w:eastAsia="方正仿宋_GBK" w:hint="eastAsia"/>
          <w:color w:val="000000"/>
          <w:sz w:val="32"/>
          <w:szCs w:val="32"/>
        </w:rPr>
        <w:t>12360新媒体发布原创性政策解读</w:t>
      </w:r>
      <w:r>
        <w:rPr>
          <w:rFonts w:ascii="方正仿宋_GBK" w:eastAsia="方正仿宋_GBK"/>
          <w:color w:val="000000"/>
          <w:sz w:val="32"/>
          <w:szCs w:val="32"/>
        </w:rPr>
        <w:t>稿件</w:t>
      </w:r>
      <w:r>
        <w:rPr>
          <w:rFonts w:ascii="方正仿宋_GBK" w:eastAsia="方正仿宋_GBK" w:hint="eastAsia"/>
          <w:color w:val="000000"/>
          <w:sz w:val="32"/>
          <w:szCs w:val="32"/>
        </w:rPr>
        <w:t>59篇。</w:t>
      </w:r>
      <w:r>
        <w:rPr>
          <w:rFonts w:ascii="Times New Roman" w:eastAsia="方正仿宋_GBK" w:hAnsi="Times New Roman"/>
          <w:color w:val="000000"/>
          <w:sz w:val="32"/>
          <w:szCs w:val="32"/>
        </w:rPr>
        <w:t>以企业群</w:t>
      </w:r>
      <w:r>
        <w:rPr>
          <w:rFonts w:ascii="方正仿宋_GBK" w:eastAsia="方正仿宋_GBK" w:hint="eastAsia"/>
          <w:color w:val="000000"/>
          <w:sz w:val="32"/>
          <w:szCs w:val="32"/>
        </w:rPr>
        <w:t>众“清晰读懂一件事”“高效办成一件事”</w:t>
      </w:r>
      <w:r>
        <w:rPr>
          <w:rFonts w:ascii="方正仿宋_GBK" w:eastAsia="方正仿宋_GBK"/>
          <w:color w:val="000000"/>
          <w:sz w:val="32"/>
          <w:szCs w:val="32"/>
        </w:rPr>
        <w:t>为目标</w:t>
      </w:r>
      <w:r>
        <w:rPr>
          <w:rFonts w:ascii="方正仿宋_GBK" w:eastAsia="方正仿宋_GBK" w:hint="eastAsia"/>
          <w:color w:val="000000"/>
          <w:sz w:val="32"/>
          <w:szCs w:val="32"/>
        </w:rPr>
        <w:t>，</w:t>
      </w:r>
      <w:r>
        <w:rPr>
          <w:rFonts w:ascii="Times New Roman" w:eastAsia="方正仿宋_GBK" w:hAnsi="Times New Roman"/>
          <w:color w:val="000000"/>
          <w:sz w:val="32"/>
          <w:szCs w:val="32"/>
        </w:rPr>
        <w:t>梳理汇总相关政策文件，</w:t>
      </w:r>
      <w:r>
        <w:rPr>
          <w:rFonts w:ascii="方正仿宋_GBK" w:eastAsia="方正仿宋_GBK" w:hint="eastAsia"/>
          <w:color w:val="000000"/>
          <w:sz w:val="32"/>
          <w:szCs w:val="32"/>
        </w:rPr>
        <w:t>创新制作“跨境电商网购保税进口业务（1210）”“国境口岸卫生许可证核发”2项</w:t>
      </w:r>
      <w:r>
        <w:rPr>
          <w:rFonts w:ascii="方正仿宋_GBK" w:eastAsia="方正仿宋_GBK" w:cs="方正仿宋_GBK" w:hint="eastAsia"/>
          <w:sz w:val="32"/>
          <w:szCs w:val="32"/>
        </w:rPr>
        <w:t>场景式服务专题</w:t>
      </w:r>
      <w:r>
        <w:rPr>
          <w:rFonts w:ascii="方正仿宋_GBK" w:eastAsia="方正仿宋_GBK" w:hint="eastAsia"/>
          <w:color w:val="000000"/>
          <w:sz w:val="32"/>
          <w:szCs w:val="32"/>
        </w:rPr>
        <w:t>。积极倾听民众声音，开展7期“网上调查”</w:t>
      </w:r>
      <w:r>
        <w:rPr>
          <w:rFonts w:ascii="方正仿宋_GBK" w:eastAsia="方正仿宋_GBK"/>
          <w:color w:val="000000"/>
          <w:sz w:val="32"/>
          <w:szCs w:val="32"/>
        </w:rPr>
        <w:t>，进行针对性改进提高</w:t>
      </w:r>
      <w:r>
        <w:rPr>
          <w:rFonts w:ascii="方正仿宋_GBK" w:eastAsia="方正仿宋_GBK" w:hint="eastAsia"/>
          <w:color w:val="000000"/>
          <w:sz w:val="32"/>
          <w:szCs w:val="32"/>
        </w:rPr>
        <w:t>。</w:t>
      </w:r>
    </w:p>
    <w:p>
      <w:pPr>
        <w:pStyle w:val="33"/>
        <w:adjustRightInd w:val="0"/>
        <w:snapToGrid w:val="0"/>
        <w:spacing w:beforeLines="50" w:before="218" w:afterLines="50" w:after="218"/>
        <w:ind w:firstLineChars="200" w:firstLine="624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</w:t>
            </w:r>
            <w:r>
              <w:rPr>
                <w:color w:val="auto"/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本年废止件</w:t>
            </w:r>
            <w:r>
              <w:rPr>
                <w:color w:val="auto"/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6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42</w:t>
            </w:r>
            <w:bookmarkStart w:id="0" w:name="_GoBack"/>
            <w:bookmarkEnd w:id="0"/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7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14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8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15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0</w:t>
            </w:r>
          </w:p>
        </w:tc>
      </w:tr>
    </w:tbl>
    <w:p>
      <w:pPr>
        <w:pStyle w:val="21"/>
        <w:tabs>
          <w:tab w:val="center" w:pos="4153"/>
          <w:tab w:val="right" w:pos="8306"/>
        </w:tabs>
        <w:adjustRightInd/>
        <w:snapToGrid w:val="0"/>
        <w:contextualSpacing w:val="0"/>
      </w:pPr>
    </w:p>
    <w:p>
      <w:pPr>
        <w:pStyle w:val="30"/>
        <w:widowControl/>
        <w:shd w:val="clear" w:color="auto" w:fill="FFFFFF"/>
        <w:adjustRightInd w:val="0"/>
        <w:snapToGrid w:val="0"/>
        <w:spacing w:beforeAutospacing="0" w:afterLines="50" w:after="218" w:afterAutospacing="0" w:line="560" w:lineRule="exact"/>
        <w:ind w:left="0" w:firstLineChars="200" w:firstLine="640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总计</w:t>
            </w:r>
          </w:p>
        </w:tc>
      </w:tr>
      <w:tr>
        <w:trPr>
          <w:trHeight w:val="649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4"/>
              <w:widowControl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3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4"/>
              <w:widowControl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8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0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3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4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5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6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7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8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9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0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>
            <w:pPr>
              <w:pStyle w:val="34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1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>
            <w:pPr>
              <w:pStyle w:val="34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1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>
            <w:pPr>
              <w:pStyle w:val="34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>
            <w:pPr>
              <w:pStyle w:val="34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3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</w:tbl>
    <w:p>
      <w:pPr>
        <w:spacing w:line="600" w:lineRule="exact"/>
      </w:pPr>
    </w:p>
    <w:p>
      <w:pPr>
        <w:pStyle w:val="30"/>
        <w:widowControl/>
        <w:shd w:val="clear" w:color="auto" w:fill="FFFFFF"/>
        <w:spacing w:beforeLines="50" w:before="218" w:beforeAutospacing="0" w:after="120" w:afterAutospacing="0" w:line="600" w:lineRule="exact"/>
        <w:ind w:firstLineChars="200" w:firstLine="640"/>
        <w:jc w:val="both"/>
        <w:rPr>
          <w:rFonts w:ascii="宋体" w:cs="宋体" w:hint="eastAsia"/>
          <w:color w:val="auto"/>
          <w:szCs w:val="24"/>
          <w:lang w:bidi="ar-SA"/>
        </w:rPr>
      </w:pPr>
      <w:r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</w:t>
            </w:r>
          </w:p>
        </w:tc>
      </w:tr>
    </w:tbl>
    <w:p>
      <w:pPr>
        <w:pStyle w:val="30"/>
        <w:widowControl/>
        <w:shd w:val="clear" w:color="auto" w:fill="FFFFFF"/>
        <w:spacing w:beforeLines="50" w:before="218"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五、存在的主要问题及改进情况</w:t>
      </w:r>
    </w:p>
    <w:p>
      <w:pPr>
        <w:pStyle w:val="22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 w:line="600" w:lineRule="exact"/>
        <w:ind w:left="0" w:right="0" w:firstLineChars="150" w:firstLine="480"/>
        <w:rPr>
          <w:rFonts w:ascii="方正楷体_GBK" w:eastAsia="方正楷体_GBK"/>
          <w:b/>
          <w:bCs/>
          <w:sz w:val="32"/>
          <w:szCs w:val="32"/>
        </w:rPr>
      </w:pPr>
      <w:r>
        <w:rPr>
          <w:rFonts w:ascii="方正楷体_GBK" w:eastAsia="方正楷体_GBK" w:hint="eastAsia"/>
          <w:b/>
          <w:bCs/>
          <w:sz w:val="32"/>
          <w:szCs w:val="32"/>
        </w:rPr>
        <w:t>（一）2020年年报中所提问题整改情况。</w:t>
      </w:r>
    </w:p>
    <w:p>
      <w:pPr>
        <w:pStyle w:val="226"/>
        <w:shd w:val="clear" w:color="auto" w:fill="auto"/>
        <w:spacing w:line="600" w:lineRule="exact"/>
        <w:ind w:left="0"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vanish w:val="0"/>
          <w:sz w:val="32"/>
          <w:szCs w:val="32"/>
        </w:rPr>
        <w:t>一是</w:t>
      </w:r>
      <w:r>
        <w:rPr>
          <w:rFonts w:ascii="方正仿宋_GBK" w:eastAsia="方正仿宋_GBK"/>
          <w:vanish w:val="0"/>
          <w:sz w:val="32"/>
          <w:szCs w:val="32"/>
        </w:rPr>
        <w:t>针对</w:t>
      </w:r>
      <w:r>
        <w:rPr>
          <w:rFonts w:ascii="方正仿宋_GBK" w:eastAsia="方正仿宋_GBK" w:hint="eastAsia"/>
          <w:vanish w:val="0"/>
          <w:sz w:val="32"/>
          <w:szCs w:val="32"/>
        </w:rPr>
        <w:t>“主动公开意识不够</w:t>
      </w:r>
      <w:r>
        <w:rPr>
          <w:rFonts w:ascii="方正仿宋_GBK" w:eastAsia="方正仿宋_GBK"/>
          <w:vanish w:val="0"/>
          <w:sz w:val="32"/>
          <w:szCs w:val="32"/>
        </w:rPr>
        <w:t>，把握以</w:t>
      </w:r>
      <w:r>
        <w:rPr>
          <w:rFonts w:ascii="方正仿宋_GBK" w:eastAsia="方正仿宋_GBK" w:hint="eastAsia"/>
          <w:vanish w:val="0"/>
          <w:sz w:val="32"/>
          <w:szCs w:val="32"/>
        </w:rPr>
        <w:t>‘公开是常态、不公开是例外’的原则不准”</w:t>
      </w:r>
      <w:r>
        <w:rPr>
          <w:rFonts w:ascii="方正仿宋_GBK" w:eastAsia="方正仿宋_GBK"/>
          <w:vanish w:val="0"/>
          <w:sz w:val="32"/>
          <w:szCs w:val="32"/>
        </w:rPr>
        <w:t>问题，编制了</w:t>
      </w:r>
      <w:r>
        <w:rPr>
          <w:rFonts w:ascii="方正仿宋_GBK" w:eastAsia="方正仿宋_GBK" w:hint="eastAsia"/>
          <w:sz w:val="32"/>
          <w:szCs w:val="32"/>
        </w:rPr>
        <w:t>《呼和浩特海关本级机关主动公开基本目录（2021年版）》</w:t>
      </w:r>
      <w:r>
        <w:rPr>
          <w:rFonts w:ascii="方正仿宋_GBK" w:eastAsia="方正仿宋_GBK"/>
          <w:sz w:val="32"/>
          <w:szCs w:val="32"/>
        </w:rPr>
        <w:t>，明确机关主动公开的内容、栏目维护部门、发布事项要求，建立日读网立行立改、周检查通报限时整改、季度检查评估专项整改机制，2021年主动公开内容、质量大幅度提升。</w:t>
      </w:r>
    </w:p>
    <w:p>
      <w:pPr>
        <w:pStyle w:val="226"/>
        <w:shd w:val="clear" w:color="auto" w:fill="auto"/>
        <w:spacing w:line="600" w:lineRule="exact"/>
        <w:ind w:left="0" w:firstLineChars="200" w:firstLine="640"/>
        <w:rPr>
          <w:rFonts w:ascii="方正仿宋_GBK" w:eastAsia="方正仿宋_GBK"/>
          <w:vanish w:val="0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二是针对</w:t>
      </w:r>
      <w:r>
        <w:rPr>
          <w:rFonts w:ascii="方正仿宋_GBK" w:eastAsia="方正仿宋_GBK" w:hint="eastAsia"/>
          <w:sz w:val="32"/>
          <w:szCs w:val="32"/>
        </w:rPr>
        <w:t>“</w:t>
      </w:r>
      <w:r>
        <w:rPr>
          <w:rFonts w:ascii="方正仿宋_GBK" w:eastAsia="方正仿宋_GBK" w:hint="eastAsia"/>
          <w:vanish w:val="0"/>
          <w:sz w:val="32"/>
          <w:szCs w:val="32"/>
        </w:rPr>
        <w:t>政策解读少</w:t>
      </w:r>
      <w:r>
        <w:rPr>
          <w:rFonts w:ascii="方正仿宋_GBK" w:eastAsia="方正仿宋_GBK"/>
          <w:vanish w:val="0"/>
          <w:sz w:val="32"/>
          <w:szCs w:val="32"/>
        </w:rPr>
        <w:t>，</w:t>
      </w:r>
      <w:r>
        <w:rPr>
          <w:rFonts w:ascii="方正仿宋_GBK" w:eastAsia="方正仿宋_GBK" w:hint="eastAsia"/>
          <w:vanish w:val="0"/>
          <w:sz w:val="32"/>
          <w:szCs w:val="32"/>
        </w:rPr>
        <w:t>应解读的政策没有解读”</w:t>
      </w:r>
      <w:r>
        <w:rPr>
          <w:rFonts w:ascii="方正仿宋_GBK" w:eastAsia="方正仿宋_GBK"/>
          <w:vanish w:val="0"/>
          <w:sz w:val="32"/>
          <w:szCs w:val="32"/>
        </w:rPr>
        <w:t>问题，制作政策解读任务分工表，明确政策解读工作要求、重点业务解读领域，2021年在门户网站发布原创性解读稿件16篇，同比增长100%。</w:t>
      </w:r>
    </w:p>
    <w:p>
      <w:pPr>
        <w:pStyle w:val="226"/>
        <w:shd w:val="clear" w:color="auto" w:fill="auto"/>
        <w:spacing w:line="600" w:lineRule="exact"/>
        <w:ind w:left="0"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vanish w:val="0"/>
          <w:sz w:val="32"/>
          <w:szCs w:val="32"/>
        </w:rPr>
        <w:t>三是</w:t>
      </w:r>
      <w:r>
        <w:rPr>
          <w:rFonts w:ascii="方正仿宋_GBK" w:eastAsia="方正仿宋_GBK"/>
          <w:vanish w:val="0"/>
          <w:sz w:val="32"/>
          <w:szCs w:val="32"/>
        </w:rPr>
        <w:t>针对</w:t>
      </w:r>
      <w:r>
        <w:rPr>
          <w:rFonts w:ascii="方正仿宋_GBK" w:eastAsia="方正仿宋_GBK" w:hint="eastAsia"/>
          <w:vanish w:val="0"/>
          <w:sz w:val="32"/>
          <w:szCs w:val="32"/>
        </w:rPr>
        <w:t>“基层工作人员岗位调整频繁，对依申请公开办理程序、内容不够熟悉</w:t>
      </w:r>
      <w:r>
        <w:rPr>
          <w:rFonts w:ascii="方正仿宋_GBK" w:eastAsia="方正仿宋_GBK"/>
          <w:vanish w:val="0"/>
          <w:sz w:val="32"/>
          <w:szCs w:val="32"/>
        </w:rPr>
        <w:t>，栏目信息格式</w:t>
      </w:r>
      <w:r>
        <w:rPr>
          <w:rFonts w:ascii="方正仿宋_GBK" w:eastAsia="方正仿宋_GBK" w:hint="eastAsia"/>
          <w:vanish w:val="0"/>
          <w:sz w:val="32"/>
          <w:szCs w:val="32"/>
        </w:rPr>
        <w:t>不规范、</w:t>
      </w:r>
      <w:r>
        <w:rPr>
          <w:rFonts w:ascii="方正仿宋_GBK" w:eastAsia="方正仿宋_GBK"/>
          <w:vanish w:val="0"/>
          <w:sz w:val="32"/>
          <w:szCs w:val="32"/>
        </w:rPr>
        <w:t>文字</w:t>
      </w:r>
      <w:r>
        <w:rPr>
          <w:rFonts w:ascii="方正仿宋_GBK" w:eastAsia="方正仿宋_GBK" w:hint="eastAsia"/>
          <w:vanish w:val="0"/>
          <w:sz w:val="32"/>
          <w:szCs w:val="32"/>
        </w:rPr>
        <w:t>表述不</w:t>
      </w:r>
      <w:r>
        <w:rPr>
          <w:rFonts w:ascii="方正仿宋_GBK" w:eastAsia="方正仿宋_GBK"/>
          <w:vanish w:val="0"/>
          <w:sz w:val="32"/>
          <w:szCs w:val="32"/>
        </w:rPr>
        <w:t>准</w:t>
      </w:r>
      <w:r>
        <w:rPr>
          <w:rFonts w:ascii="方正仿宋_GBK" w:eastAsia="方正仿宋_GBK" w:hint="eastAsia"/>
          <w:vanish w:val="0"/>
          <w:sz w:val="32"/>
          <w:szCs w:val="32"/>
        </w:rPr>
        <w:t>确”等问题</w:t>
      </w:r>
      <w:r>
        <w:rPr>
          <w:rFonts w:ascii="方正仿宋_GBK" w:eastAsia="方正仿宋_GBK"/>
          <w:vanish w:val="0"/>
          <w:sz w:val="32"/>
          <w:szCs w:val="32"/>
        </w:rPr>
        <w:t>：完善AB角岗位工作制，实行双人作业，保证人员不缺位</w:t>
      </w:r>
      <w:r>
        <w:rPr>
          <w:rFonts w:ascii="方正仿宋_GBK" w:eastAsia="方正仿宋_GBK" w:hint="eastAsia"/>
          <w:vanish w:val="0"/>
          <w:sz w:val="32"/>
          <w:szCs w:val="32"/>
        </w:rPr>
        <w:t>；</w:t>
      </w:r>
      <w:r>
        <w:rPr>
          <w:rFonts w:ascii="方正仿宋_GBK" w:eastAsia="方正仿宋_GBK"/>
          <w:vanish w:val="0"/>
          <w:sz w:val="32"/>
          <w:szCs w:val="32"/>
        </w:rPr>
        <w:t>修订《政府信息公开指南》《依申请公开受理方式一览表》明确依申请公开流程、渠道；开展政务公开规范化专项整改，对网站所有信息进行检查修正，明确信息更新时限，信息维护纳入绩效考核，确保网站信息发布安全、规范、准确、及时。</w:t>
      </w:r>
    </w:p>
    <w:p>
      <w:pPr>
        <w:pStyle w:val="41"/>
        <w:adjustRightInd w:val="0"/>
        <w:snapToGrid w:val="0"/>
        <w:ind w:firstLineChars="200" w:firstLine="624"/>
        <w:rPr>
          <w:rFonts w:ascii="方正仿宋_GBK" w:hint="eastAsia"/>
        </w:rPr>
      </w:pPr>
      <w:r>
        <w:rPr>
          <w:rFonts w:ascii="方正楷体_GBK" w:eastAsia="方正楷体_GBK" w:hint="eastAsia"/>
          <w:b/>
          <w:bCs/>
        </w:rPr>
        <w:t>（二）目前存在问题。</w:t>
      </w:r>
      <w:r>
        <w:rPr>
          <w:rFonts w:ascii="方正仿宋_GBK" w:hint="eastAsia"/>
        </w:rPr>
        <w:t>一是基层政府信息公开的内容不明确，标准不统一；二是基层业务现场公开的渠道、载体、发布内容不丰富，实用性差；三是门户网站栏目建设与基层政务公开标准化存在差距。下一步加强基层政务公开标准化建设，不断提升基层政务公开水平。</w:t>
      </w:r>
    </w:p>
    <w:p>
      <w:pPr>
        <w:pStyle w:val="30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  <w:t>六、其他需要报告的事项</w:t>
      </w:r>
    </w:p>
    <w:p>
      <w:pPr>
        <w:pStyle w:val="21"/>
        <w:tabs>
          <w:tab w:val="center" w:pos="4153"/>
          <w:tab w:val="right" w:pos="8306"/>
        </w:tabs>
        <w:ind w:firstLineChars="200" w:firstLine="640"/>
        <w:rPr>
          <w:rFonts w:ascii="方正仿宋_GBK" w:hint="eastAsia"/>
          <w:sz w:val="32"/>
          <w:szCs w:val="32"/>
        </w:rPr>
      </w:pPr>
      <w:r>
        <w:rPr>
          <w:rFonts w:ascii="方正仿宋_GBK" w:hint="eastAsia"/>
          <w:sz w:val="32"/>
          <w:szCs w:val="32"/>
        </w:rPr>
        <w:t>无</w:t>
      </w:r>
      <w:r>
        <w:rPr>
          <w:rFonts w:ascii="方正仿宋_GBK"/>
          <w:sz w:val="32"/>
          <w:szCs w:val="32"/>
        </w:rPr>
        <w:t>。</w:t>
      </w:r>
    </w:p>
    <w:sectPr>
      <w:footerReference w:type="first" r:id="rId2"/>
      <w:pgSz w:w="11906" w:h="16838"/>
      <w:pgMar w:top="2098" w:right="1474" w:bottom="1985" w:left="1588" w:header="851" w:footer="992" w:gutter="0"/>
      <w:pgNumType w:fmt="numberInDash" w:start="1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variable"/>
    <w:sig w:usb0="00000000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Microsoft Yahe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43"/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</w:p>
  <w:p>
    <w:pPr>
      <w:pStyle w:val="43"/>
      <w:tabs>
        <w:tab w:val="center" w:pos="4153"/>
        <w:tab w:val="right" w:pos="8306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6C30B937"/>
    <w:multiLevelType w:val="singleLevel"/>
    <w:tmpl w:val="00000000"/>
    <w:lvl w:ilvl="0">
      <w:start w:val="1"/>
      <w:numFmt w:val="bullet"/>
      <w:lvlRestart w:val="0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1">
    <w:nsid w:val="FC6984AA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1620"/>
        </w:tabs>
        <w:ind w:left="16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6"/>
    <w:basedOn w:val="0"/>
    <w:autoRedefine/>
    <w:next w:val="0"/>
    <w:pPr>
      <w:spacing w:line="600" w:lineRule="exact"/>
      <w:ind w:left="2100"/>
    </w:pPr>
  </w:style>
  <w:style w:type="paragraph" w:styleId="17">
    <w:name w:val="toc 4"/>
    <w:basedOn w:val="0"/>
    <w:autoRedefine/>
    <w:next w:val="0"/>
    <w:pPr>
      <w:ind w:left="1260"/>
    </w:pPr>
  </w:style>
  <w:style w:type="paragraph" w:styleId="18">
    <w:name w:val="toc 7"/>
    <w:basedOn w:val="0"/>
    <w:autoRedefine/>
    <w:next w:val="0"/>
    <w:pPr>
      <w:ind w:left="2520"/>
    </w:pPr>
  </w:style>
  <w:style w:type="paragraph" w:styleId="19">
    <w:name w:val="toc 8"/>
    <w:basedOn w:val="0"/>
    <w:autoRedefine/>
    <w:next w:val="0"/>
    <w:pPr>
      <w:ind w:left="2940"/>
    </w:pPr>
  </w:style>
  <w:style w:type="paragraph" w:styleId="20">
    <w:name w:val="footnote text"/>
    <w:basedOn w:val="0"/>
    <w:pPr>
      <w:snapToGrid w:val="0"/>
      <w:jc w:val="left"/>
    </w:pPr>
    <w:rPr>
      <w:sz w:val="18"/>
    </w:rPr>
  </w:style>
  <w:style w:type="paragraph" w:styleId="21">
    <w:name w:val="footer"/>
    <w:next w:val="16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18"/>
      <w:lang w:val="en-US" w:eastAsia="zh-CN" w:bidi="ar-SA"/>
    </w:rPr>
  </w:style>
  <w:style w:type="paragraph" w:styleId="22">
    <w:name w:val="table of authorities"/>
    <w:basedOn w:val="0"/>
    <w:next w:val="0"/>
    <w:pPr>
      <w:ind w:left="420"/>
    </w:pPr>
  </w:style>
  <w:style w:type="paragraph" w:styleId="23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Times New Roman" w:hAnsi="Courier New"/>
      <w:sz w:val="24"/>
      <w:lang w:val="en-US" w:eastAsia="zh-CN" w:bidi="ar-SA"/>
    </w:rPr>
  </w:style>
  <w:style w:type="paragraph" w:styleId="24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25">
    <w:name w:val="List Bullet 5"/>
    <w:basedOn w:val="0"/>
    <w:pPr>
      <w:numPr>
        <w:ilvl w:val="0"/>
        <w:numId w:val="1"/>
      </w:numPr>
    </w:pPr>
  </w:style>
  <w:style w:type="paragraph" w:styleId="26">
    <w:name w:val="List Number 4"/>
    <w:basedOn w:val="0"/>
    <w:pPr>
      <w:numPr>
        <w:ilvl w:val="0"/>
        <w:numId w:val="2"/>
      </w:numPr>
    </w:pPr>
  </w:style>
  <w:style w:type="paragraph" w:styleId="27">
    <w:name w:val="Signature"/>
    <w:basedOn w:val="0"/>
    <w:pPr>
      <w:ind w:left="4320"/>
    </w:pPr>
  </w:style>
  <w:style w:type="paragraph" w:styleId="28">
    <w:name w:val="List Continue 2"/>
    <w:basedOn w:val="0"/>
    <w:pPr>
      <w:spacing w:after="120"/>
      <w:ind w:left="840"/>
    </w:pPr>
  </w:style>
  <w:style w:type="paragraph" w:styleId="29">
    <w:name w:val="List Continue 3"/>
    <w:basedOn w:val="0"/>
    <w:pPr>
      <w:spacing w:after="120"/>
      <w:ind w:left="1260"/>
    </w:pPr>
  </w:style>
  <w:style w:type="paragraph" w:styleId="30">
    <w:name w:val="Normal (Web)"/>
    <w:next w:val="16"/>
    <w:pPr>
      <w:widowControl w:val="0"/>
      <w:spacing w:beforeAutospacing="1" w:afterAutospacing="1"/>
      <w:jc w:val="left"/>
    </w:pPr>
    <w:rPr>
      <w:rFonts w:ascii="Times New Roman" w:eastAsia="宋体" w:cs="Times New Roman" w:hAnsi="Times New Roman"/>
      <w:kern w:val="0"/>
      <w:sz w:val="24"/>
      <w:szCs w:val="30"/>
      <w:lang w:val="en-US" w:eastAsia="zh-CN" w:bidi="ar-SA"/>
    </w:rPr>
  </w:style>
  <w:style w:type="paragraph" w:customStyle="1" w:styleId="31">
    <w:name w:val="样式 6 三号"/>
    <w:next w:val="22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560" w:lineRule="exact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-4"/>
      <w:w w:val="100"/>
      <w:kern w:val="2"/>
      <w:position w:val="0"/>
      <w:sz w:val="32"/>
      <w:szCs w:val="28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2">
    <w:name w:val="样式 1 小四"/>
    <w:next w:val="17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Times New Roman"/>
      <w:snapToGrid/>
      <w:color w:val="auto"/>
      <w:spacing w:val="0"/>
      <w:w w:val="100"/>
      <w:kern w:val="2"/>
      <w:position w:val="0"/>
      <w:sz w:val="24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3">
    <w:name w:val="样式 50 三号"/>
    <w:next w:val="18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4">
    <w:name w:val="样式 小三"/>
    <w:next w:val="2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5">
    <w:name w:val="样式 5 小三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6">
    <w:name w:val="样式 16 小三"/>
    <w:next w:val="2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7">
    <w:name w:val="样式 8 小三"/>
    <w:next w:val="2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8">
    <w:name w:val="样式 17 小三"/>
    <w:next w:val="2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9">
    <w:name w:val="样式 12 小三"/>
    <w:next w:val="2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0">
    <w:name w:val="样式 8 三号"/>
    <w:next w:val="24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41">
    <w:name w:val="样式 13 三号"/>
    <w:next w:val="19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42">
    <w:name w:val="样式 7 三号"/>
    <w:next w:val="23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43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44">
    <w:name w:val="样式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45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6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1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48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9">
    <w:name w:val="样式 2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character" w:styleId="50">
    <w:name w:val="Hyperlink"/>
    <w:basedOn w:val="10"/>
    <w:rPr>
      <w:color w:val="0000FF"/>
      <w:u w:val="single"/>
    </w:rPr>
  </w:style>
  <w:style w:type="paragraph" w:customStyle="1" w:styleId="51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52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53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54">
    <w:name w:val="样式 5 三号"/>
    <w:next w:val="79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5">
    <w:name w:val="样式 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56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57">
    <w:name w:val="样式 四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 w:val="0"/>
      <w:spacing w:before="0" w:beforeAutospacing="0" w:after="0" w:afterAutospacing="0" w:line="240" w:lineRule="auto"/>
      <w:ind w:left="0" w:right="0" w:firstLine="0"/>
      <w:contextualSpacing w:val="0"/>
      <w:jc w:val="center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-4"/>
      <w:w w:val="100"/>
      <w:kern w:val="0"/>
      <w:position w:val="0"/>
      <w:sz w:val="28"/>
      <w:szCs w:val="28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58">
    <w:name w:val="样式 22 10 磅"/>
    <w:next w:val="2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9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60">
    <w:name w:val="样式 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61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62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63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64">
    <w:name w:val="样式 3 10 磅"/>
    <w:rPr>
      <w:rFonts w:ascii="Microsoft Yahei" w:eastAsia="宋体" w:cs="Times New Roman" w:hAnsi="Microsoft Yahei"/>
      <w:strike w:val="0"/>
      <w:dstrike w:val="0"/>
      <w:color w:val="333333"/>
      <w:sz w:val="21"/>
      <w:szCs w:val="21"/>
      <w:u w:val="none"/>
      <w:lang w:val="en-US" w:eastAsia="zh-CN" w:bidi="ar-SA"/>
    </w:rPr>
  </w:style>
  <w:style w:type="paragraph" w:customStyle="1" w:styleId="65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7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8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69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0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1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2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3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4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5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6">
    <w:name w:val="样式 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7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8">
    <w:name w:val="样式 27 三号"/>
    <w:pPr>
      <w:widowControl w:val="0"/>
      <w:spacing w:line="600" w:lineRule="exact"/>
      <w:ind w:left="210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9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80">
    <w:name w:val="样式 6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81">
    <w:name w:val="样式 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2">
    <w:name w:val="样式 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3">
    <w:name w:val="样式 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4">
    <w:name w:val="样式 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5">
    <w:name w:val="样式 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6">
    <w:name w:val="样式 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7">
    <w:name w:val="样式 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8">
    <w:name w:val="样式 1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9">
    <w:name w:val="样式 1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0">
    <w:name w:val="样式 1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1">
    <w:name w:val="样式 1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2">
    <w:name w:val="样式 1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3">
    <w:name w:val="样式 1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4">
    <w:name w:val="样式 1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5">
    <w:name w:val="样式 2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6">
    <w:name w:val="样式 2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7">
    <w:name w:val="样式 2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8">
    <w:name w:val="样式 2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9">
    <w:name w:val="样式 2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0">
    <w:name w:val="样式 2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1">
    <w:name w:val="样式 2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2">
    <w:name w:val="样式 2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3">
    <w:name w:val="样式 2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4">
    <w:name w:val="样式 2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5">
    <w:name w:val="样式 3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6">
    <w:name w:val="样式 3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7">
    <w:name w:val="样式 3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8">
    <w:name w:val="样式 3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09">
    <w:name w:val="样式 3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0">
    <w:name w:val="样式 3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1">
    <w:name w:val="样式 3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2">
    <w:name w:val="样式 3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3">
    <w:name w:val="样式 3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4">
    <w:name w:val="样式 3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5">
    <w:name w:val="样式 4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6">
    <w:name w:val="样式 4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7">
    <w:name w:val="样式 4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8">
    <w:name w:val="样式 4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19">
    <w:name w:val="样式 4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0">
    <w:name w:val="样式 4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1">
    <w:name w:val="样式 4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2">
    <w:name w:val="样式 4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3">
    <w:name w:val="样式 4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4">
    <w:name w:val="样式 4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5">
    <w:name w:val="样式 5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6">
    <w:name w:val="样式 5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7">
    <w:name w:val="样式 5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8">
    <w:name w:val="样式 5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29">
    <w:name w:val="样式 5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0">
    <w:name w:val="样式 5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1">
    <w:name w:val="样式 5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2">
    <w:name w:val="样式 5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3">
    <w:name w:val="样式 5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4">
    <w:name w:val="样式 5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5">
    <w:name w:val="样式 6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6">
    <w:name w:val="样式 6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7">
    <w:name w:val="样式 6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8">
    <w:name w:val="样式 6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9">
    <w:name w:val="样式 6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0">
    <w:name w:val="样式 6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1">
    <w:name w:val="样式 6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2">
    <w:name w:val="样式 6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3">
    <w:name w:val="样式 6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4">
    <w:name w:val="样式 6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5">
    <w:name w:val="样式 7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6">
    <w:name w:val="样式 7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7">
    <w:name w:val="样式 7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8">
    <w:name w:val="样式 7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9">
    <w:name w:val="样式 7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0">
    <w:name w:val="样式 7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1">
    <w:name w:val="样式 7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2">
    <w:name w:val="样式 7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3">
    <w:name w:val="样式 7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4">
    <w:name w:val="样式 7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5">
    <w:name w:val="样式 8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6">
    <w:name w:val="样式 8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7">
    <w:name w:val="样式 8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8">
    <w:name w:val="样式 8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9">
    <w:name w:val="样式 8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0">
    <w:name w:val="样式 8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1">
    <w:name w:val="样式 8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2">
    <w:name w:val="样式 8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3">
    <w:name w:val="样式 8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4">
    <w:name w:val="样式 8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5">
    <w:name w:val="样式 9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6">
    <w:name w:val="样式 9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7">
    <w:name w:val="样式 9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8">
    <w:name w:val="样式 9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9">
    <w:name w:val="样式 9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0">
    <w:name w:val="样式 9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1">
    <w:name w:val="样式 9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2">
    <w:name w:val="样式 9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3">
    <w:name w:val="样式 9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4">
    <w:name w:val="样式 9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5">
    <w:name w:val="样式 10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6">
    <w:name w:val="样式 10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7">
    <w:name w:val="样式 10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8">
    <w:name w:val="样式 10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9">
    <w:name w:val="样式 10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0">
    <w:name w:val="样式 10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1">
    <w:name w:val="样式 10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2">
    <w:name w:val="样式 10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3">
    <w:name w:val="样式 10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4">
    <w:name w:val="样式 10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5">
    <w:name w:val="样式 11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6">
    <w:name w:val="样式 11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7">
    <w:name w:val="样式 11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8">
    <w:name w:val="样式 11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9">
    <w:name w:val="样式 11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0">
    <w:name w:val="样式 11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1">
    <w:name w:val="样式 11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2">
    <w:name w:val="样式 11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3">
    <w:name w:val="样式 11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4">
    <w:name w:val="样式 11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5">
    <w:name w:val="样式 12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6">
    <w:name w:val="样式 12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7">
    <w:name w:val="样式 12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8">
    <w:name w:val="样式 12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9">
    <w:name w:val="样式 12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0">
    <w:name w:val="样式 12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1">
    <w:name w:val="样式 12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2">
    <w:name w:val="样式 12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3">
    <w:name w:val="样式 12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4">
    <w:name w:val="样式 12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5">
    <w:name w:val="样式 13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6">
    <w:name w:val="样式 13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7">
    <w:name w:val="样式 13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8">
    <w:name w:val="样式 13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9">
    <w:name w:val="样式 13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0">
    <w:name w:val="样式 13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1">
    <w:name w:val="样式 13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2">
    <w:name w:val="样式 13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3">
    <w:name w:val="样式 13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4">
    <w:name w:val="样式 13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5">
    <w:name w:val="样式 14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6">
    <w:name w:val="样式 14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7">
    <w:name w:val="样式 14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8">
    <w:name w:val="样式 14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9">
    <w:name w:val="样式 14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0">
    <w:name w:val="样式 14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1">
    <w:name w:val="样式 14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2">
    <w:name w:val="样式 14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3">
    <w:name w:val="样式 14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4">
    <w:name w:val="样式 14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5">
    <w:name w:val="样式 15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6">
    <w:name w:val="样式 7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27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28">
    <w:name w:val="样式 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29">
    <w:name w:val="样式 8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30">
    <w:name w:val="样式 3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31">
    <w:name w:val="样式 3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32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33">
    <w:name w:val="样式 3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34">
    <w:name w:val="样式 3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35">
    <w:name w:val="样式 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36">
    <w:name w:val="样式 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37">
    <w:name w:val="样式 3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38">
    <w:name w:val="样式 10 10 磅"/>
    <w:link w:val="238Char"/>
    <w:rPr>
      <w:rFonts w:ascii="Microsoft Yahei" w:eastAsia="宋体" w:cs="Times New Roman" w:hAnsi="Microsoft Yahei"/>
      <w:strike w:val="0"/>
      <w:dstrike w:val="0"/>
      <w:color w:val="333333"/>
      <w:sz w:val="21"/>
      <w:szCs w:val="21"/>
      <w:u w:val="none"/>
      <w:lang w:val="en-US" w:eastAsia="zh-CN" w:bidi="ar-SA"/>
    </w:rPr>
  </w:style>
  <w:style w:type="character" w:customStyle="1" w:styleId="238Char">
    <w:name w:val="样式 10 10 磅 Char"/>
    <w:basedOn w:val="10"/>
    <w:link w:val="238"/>
    <w:rPr>
      <w:rFonts w:ascii="Microsoft Yahei" w:eastAsia="宋体" w:cs="Times New Roman" w:hAnsi="Microsoft Yahei"/>
      <w:strike w:val="0"/>
      <w:dstrike w:val="0"/>
      <w:color w:val="333333"/>
      <w:sz w:val="21"/>
      <w:szCs w:val="21"/>
      <w:u w:val="none"/>
      <w:lang w:val="en-US" w:eastAsia="zh-CN" w:bidi="ar-SA"/>
    </w:rPr>
  </w:style>
  <w:style w:type="paragraph" w:customStyle="1" w:styleId="239">
    <w:name w:val="样式 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0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1">
    <w:name w:val="样式 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2">
    <w:name w:val="样式 12 10 磅"/>
    <w:rPr>
      <w:rFonts w:ascii="Microsoft Yahei" w:eastAsia="宋体" w:cs="Times New Roman" w:hAnsi="Microsoft Yahei"/>
      <w:strike w:val="0"/>
      <w:dstrike w:val="0"/>
      <w:color w:val="333333"/>
      <w:sz w:val="21"/>
      <w:szCs w:val="21"/>
      <w:u w:val="none"/>
      <w:lang w:val="en-US" w:eastAsia="zh-CN" w:bidi="ar-SA"/>
    </w:rPr>
  </w:style>
  <w:style w:type="paragraph" w:customStyle="1" w:styleId="243">
    <w:name w:val="样式 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4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5">
    <w:name w:val="样式 4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6">
    <w:name w:val="样式 4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7">
    <w:name w:val="样式 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8">
    <w:name w:val="样式 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9">
    <w:name w:val="样式 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0">
    <w:name w:val="样式 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1">
    <w:name w:val="样式 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2">
    <w:name w:val="样式 4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3">
    <w:name w:val="样式 4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4">
    <w:name w:val="样式 4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5">
    <w:name w:val="样式 5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6">
    <w:name w:val="样式 5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7">
    <w:name w:val="样式 5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8">
    <w:name w:val="样式 5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9">
    <w:name w:val="样式 5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60">
    <w:name w:val="样式 5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61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2">
    <w:name w:val="样式 15 10 磅"/>
    <w:link w:val="262Char"/>
    <w:rPr>
      <w:rFonts w:ascii="Microsoft Yahei" w:eastAsia="宋体" w:cs="Times New Roman" w:hAnsi="Microsoft Yahei"/>
      <w:strike w:val="0"/>
      <w:dstrike w:val="0"/>
      <w:color w:val="333333"/>
      <w:sz w:val="21"/>
      <w:szCs w:val="21"/>
      <w:u w:val="none"/>
      <w:lang w:val="en-US" w:eastAsia="zh-CN" w:bidi="ar-SA"/>
    </w:rPr>
  </w:style>
  <w:style w:type="character" w:customStyle="1" w:styleId="262Char">
    <w:name w:val="样式 15 10 磅 Char"/>
    <w:basedOn w:val="10"/>
    <w:link w:val="262"/>
    <w:rPr>
      <w:rFonts w:ascii="Microsoft Yahei" w:eastAsia="宋体" w:cs="Times New Roman" w:hAnsi="Microsoft Yahei"/>
      <w:strike w:val="0"/>
      <w:dstrike w:val="0"/>
      <w:color w:val="333333"/>
      <w:sz w:val="21"/>
      <w:szCs w:val="21"/>
      <w:u w:val="none"/>
      <w:lang w:val="en-US" w:eastAsia="zh-CN" w:bidi="ar-SA"/>
    </w:rPr>
  </w:style>
  <w:style w:type="paragraph" w:customStyle="1" w:styleId="263">
    <w:name w:val="样式 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64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5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6">
    <w:name w:val="样式 4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67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8">
    <w:name w:val="样式 5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69">
    <w:name w:val="样式 5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0">
    <w:name w:val="样式 6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1">
    <w:name w:val="样式 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2">
    <w:name w:val="样式 6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3">
    <w:name w:val="样式 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4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75">
    <w:name w:val="样式 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6">
    <w:name w:val="样式 5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77">
    <w:name w:val="样式 6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78">
    <w:name w:val="样式 6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9">
    <w:name w:val="样式 6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80">
    <w:name w:val="样式 20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81">
    <w:name w:val="样式 21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82">
    <w:name w:val="样式 23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83">
    <w:name w:val="样式 24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84">
    <w:name w:val="样式 25 10 磅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Microsoft Yahei" w:eastAsia="宋体" w:cs="Times New Roman" w:hAnsi="Microsoft Yahe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1563</TotalTime>
  <Application>Yozo_Office</Application>
  <Pages>7</Pages>
  <Words>2794</Words>
  <Characters>2952</Characters>
  <Lines>446</Lines>
  <Paragraphs>305</Paragraphs>
  <CharactersWithSpaces>2952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刘金良</dc:creator>
  <cp:lastModifiedBy>刘金良</cp:lastModifiedBy>
  <cp:revision>0</cp:revision>
  <cp:lastPrinted>2022-01-25T05:58:38Z</cp:lastPrinted>
  <dcterms:created xsi:type="dcterms:W3CDTF">2022-01-11T01:56:22Z</dcterms:created>
  <dcterms:modified xsi:type="dcterms:W3CDTF">2022-02-17T09:15:34Z</dcterms:modified>
</cp:coreProperties>
</file>