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6727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浩特国际旅行卫生保健中心免疫实验室维修改造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88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560" w:lineRule="exact"/>
              <w:ind w:firstLine="0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%、评审因素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80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2000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说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明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 xml:space="preserve">2.详细需求栏中所有加“★”项的需求均为实质性要求，不满足实质性要求的响应文件将按无效响应文件处理。 </w:t>
            </w:r>
          </w:p>
        </w:tc>
      </w:tr>
      <w:tr>
        <w:trPr>
          <w:trHeight w:val="1623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具有独立承担民事责任的能力；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具有良好商业信誉和健全的财务会计制度；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具有履行合同所必需的设备和专业技术能力；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有依法缴纳税收和社会保障资金的良好记录；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5.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服务商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具有建筑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装修装饰工程专业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承包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贰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级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或建筑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机电安装工程专业承包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贰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级或以上资质。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6.服务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商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具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有生物安全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级实验室建设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及运维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经验并提供相应案例证明材料。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法律、行政法规规定的其它条件；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本项目不接受联合体参与，严禁挂靠、借用资质、违法分包设计工作；所有业绩须为本单位自有业绩，采购方有权核查合同、发票、施工图原件，一经查实挂靠、造假情形直接按无效响应处理，纳入采购黑名单。</w:t>
            </w:r>
          </w:p>
          <w:p>
            <w:pPr>
              <w:snapToGrid w:val="0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2008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</w:t>
            </w:r>
          </w:p>
        </w:tc>
        <w:tc>
          <w:tcPr>
            <w:tcW w:w="6727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一、项目情况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1.采购内容：具体详见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附件免疫实验室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维修改造清单。供应商必须满足全部服务内容。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2.总体要求：服务商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具有建筑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装修装饰工程专业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承包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贰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级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或建筑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机电安装工程专业承包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贰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级或以上资质。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服务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商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具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有生物安全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级实验室建设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及运维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经验并提供相应案例证明材料。组建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包含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项目经理、实验室专业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设计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工程师、自控工程师、电工等专业技术人员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的团队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.报价说明：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本项目报价上限为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88000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元(大写: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万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捌仟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元整)，超出此报价视为响应无效，取消响应资格。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二、商务要求：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1.工期：合同签订后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天内完工；施工地点：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二连浩特国际旅行卫生保健中心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2.支付方式：合同生效，乙方提交合规有效发票后，甲方于3个工作日内支付合同价款的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0%作为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付款；乙方完成全部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维修改造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、安装调试工作，经甲方验收合格并提交完整资料及对应发票后，甲方向乙方一次性支付剩余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50%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合同价款。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3.质量要求：符合国家及行业相关规范和标准，满足设计要求。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.安全要求：确保安全文明施工，执行国家现行相关规定。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.质量保修期：质保期1年，验收合格之日起计算。</w:t>
            </w:r>
          </w:p>
          <w:p>
            <w:pPr>
              <w:spacing w:line="360" w:lineRule="exact"/>
              <w:ind w:left="0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</w:tc>
      </w:tr>
      <w:tr>
        <w:trPr>
          <w:trHeight w:val="2634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727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总分100分，综合评分法，价格部分20分、技术部分65分、商务部分15分。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一、价格部分（20分）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供应商报价得分＝（评审基准价/供应商报价）×价格分值【注：满足比选文件要求且供应商报价最低的投标报价为评审基准价。】最低报价不是中标的唯一依据。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二、技术部分（65分）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1.整体服务方案（30分）：根据投标人针对本项目提供的整体服务方案进行评审：①设计图；②服务工作流程；③服务团队；④专业技术能力；⑤维修过程中难点的阐述及解决措施；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针对以上5项内容进行评审 ，每项6分，最高得30分。每缺少一项内容扣6分，每项中每存在一处缺陷扣1分，最多扣5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前后内容互相矛盾；或专业领域知识阐述有误。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2.根据投标人针对本项目提供的安全作业保障方案进行评审（20分）：①安全管理措施；②安全文明措施；③安全维护；④现场秩序保障；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针对以上4项内容进行评审，每项5分，最高得20分。每缺少一项内容扣5分，每项中每存在一处缺陷扣1分，最多扣5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3.根据投标人针对本项目提供的服务质量控制方案进行评审（15分）：①服务质量保证方案；②服务标准；③质量控制流程；④技术支撑能力保障；⑤服务响应与处理方案。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针对以上5项内容进行评审 ，每项3分，最高得15分。每缺少一项内容扣3分，每项中每存在一处缺陷扣1分，最多扣3分。 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三、商务部分（15分）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业绩：投标人提供2022年1月1日至今同类项目业绩（提供合同复印件并加盖公章，应至少提供合同首页、合同关键内容页、签字盖章页，否则不得分，以合同签订日期为准)每提供一份得5分，满分15分。</w:t>
            </w:r>
          </w:p>
        </w:tc>
      </w:tr>
      <w:tr>
        <w:trPr>
          <w:trHeight w:val="90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  <w:lang w:val="en-US" w:eastAsia="zh-CN"/>
              </w:rPr>
              <w:t>其他因素</w:t>
            </w:r>
          </w:p>
        </w:tc>
        <w:tc>
          <w:tcPr>
            <w:tcW w:w="6727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1、公告期限5个工作日。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2、响应文件份数：响应文件正本1份、副本2份，胶装装订成册，密封提交。</w:t>
            </w:r>
          </w:p>
        </w:tc>
      </w:tr>
    </w:tbl>
    <w:p>
      <w:pPr>
        <w:pStyle w:val="19"/>
        <w:jc w:val="left"/>
      </w:pPr>
    </w:p>
    <w:p>
      <w:pPr>
        <w:pStyle w:val="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>
      <w:pPr>
        <w:pStyle w:val="20"/>
        <w:jc w:val="center"/>
        <w:rPr>
          <w:rFonts w:eastAsia="宋体"/>
          <w:lang w:val="en-US" w:eastAsia="zh-CN"/>
        </w:rPr>
      </w:pPr>
      <w:r>
        <w:rPr>
          <w:rFonts w:hint="eastAsia"/>
          <w:lang w:val="en-US" w:eastAsia="zh-CN"/>
        </w:rPr>
        <w:t>免疫实验室维修改造清单</w:t>
      </w:r>
    </w:p>
    <w:tbl>
      <w:tblPr>
        <w:jc w:val="left"/>
        <w:tblInd w:w="93" w:type="dxa"/>
        <w:tblW w:w="9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32"/>
        <w:gridCol w:w="4440"/>
        <w:gridCol w:w="1013"/>
        <w:gridCol w:w="1410"/>
      </w:tblGrid>
      <w:tr>
        <w:trPr>
          <w:trHeight w:val="312"/>
        </w:trPr>
        <w:tc>
          <w:tcPr>
            <w:tcW w:w="8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43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444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项目特征描述</w:t>
            </w:r>
          </w:p>
        </w:tc>
        <w:tc>
          <w:tcPr>
            <w:tcW w:w="101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计量单位</w:t>
            </w: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工程量</w:t>
            </w:r>
          </w:p>
        </w:tc>
      </w:tr>
      <w:tr>
        <w:trPr>
          <w:trHeight w:val="540"/>
        </w:trPr>
        <w:tc>
          <w:tcPr>
            <w:tcW w:w="88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43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444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01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41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/>
        </w:tc>
      </w:tr>
      <w:tr>
        <w:trPr>
          <w:trHeight w:val="189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吊顶天棚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1、0.8mm厚铝扣板与配套专用龙骨固定</w:t>
              <w:br/>
              <w:t>2、T型轻钢次龙骨24*28*0.27*0.27,间距600,与主龙骨插接</w:t>
              <w:br/>
              <w:t>3、U型轻钢主龙骨38*12*1.0,间距600,用吊件与钢筋吊杆联接后找平</w:t>
              <w:br/>
              <w:t>4、φ8螺纹钢筋吊杆,双向中距1000,吊杆上部用M8膨胀螺栓与板底固定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m2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24</w:t>
            </w:r>
          </w:p>
        </w:tc>
      </w:tr>
      <w:tr>
        <w:trPr>
          <w:trHeight w:val="144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隔断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1.医疗净化板</w:t>
              <w:br/>
              <w:t>2.抗菌、防尘、防静电、耐磨易清洗</w:t>
              <w:br/>
              <w:t>3.防火等级A级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㎡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70</w:t>
            </w:r>
          </w:p>
        </w:tc>
      </w:tr>
      <w:tr>
        <w:trPr>
          <w:trHeight w:val="216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洁净钢制门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1.名称：成品洁净钢制密闭门（三框）；</w:t>
              <w:br/>
              <w:t>2.规格尺寸:1000*2100</w:t>
              <w:br/>
              <w:t>3.门扇：1.0mm冷轧板，表面处理：烤漆，含门锁及五金,闭门器</w:t>
              <w:br/>
              <w:t>4.门框：冷轧板厚1.5mm，表面处理：烤漆。；门框四周嵌有密封条，且门底部带自动上下的密封条，可保证门关闭后具有良好的密封效果。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樘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81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地面基层处理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1.名称:水泥基基层处理</w:t>
              <w:br/>
              <w:t>2.工作内容：原有地面打磨并用环氧自流平局部找平，根据原地面平整度调整找平层厚度2mm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m2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24</w:t>
            </w:r>
          </w:p>
        </w:tc>
      </w:tr>
      <w:tr>
        <w:trPr>
          <w:trHeight w:val="189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PVC卷材地板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1.名称:PVC卷材；</w:t>
              <w:br/>
              <w:t>2.2mm厚同质透心PVC卷材，地面,擦光上蜡,PVC地面专用胶粘剂粘铺，接头处塑料焊；地面PVC卷材直接翻边上墙,H=100mm；</w:t>
              <w:br/>
              <w:t>3.水泥自流平，厚度3mm；</w:t>
              <w:br/>
              <w:t>4.地面均涂刷吸收型界面处理剂</w:t>
              <w:br/>
              <w:t>5.主材：无方向同质透心，颜色经用户确认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m2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29</w:t>
            </w:r>
          </w:p>
        </w:tc>
      </w:tr>
      <w:tr>
        <w:trPr>
          <w:trHeight w:val="162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双玻视窗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1.洁净双玻观察窗</w:t>
              <w:br/>
              <w:t>2.窗户型材均选用喷塑铝合金。</w:t>
              <w:br/>
              <w:t>3.所有窗户均采用双层钢化玻璃，内部中空，每层玻璃厚度为5mm，玻璃表面与两边墙板平齐。</w:t>
              <w:br/>
              <w:t>4.窗边框处采用密封胶密封，双玻中间应设有防潮吸湿剂；窗与墙面平滑连接，无死角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m2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1425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不锈钢传递窗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1、不锈钢传递窗</w:t>
              <w:br/>
              <w:t>2、截面尺寸：600*600*600</w:t>
              <w:br/>
              <w:t>3、柜体边框采用1.5厚不锈钢板，柜体采用1.2厚不锈钢板，柜内设紫外线消毒灯</w:t>
              <w:br/>
              <w:t>4、机械式互锁装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拆除项目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1、结构：拆除施工区域原有的区域结构，隔断墙体及瓷砖地面，房间内的设备设施和各种管线等等。</w:t>
              <w:br/>
              <w:t>2、开凿设备安装空洞及通风管道孔洞等</w:t>
              <w:br/>
              <w:t>3、施工区域拆除的垃圾物品清理外运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吸顶式密闭洁净面板灯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1.名称:吸顶式密闭洁净面板灯</w:t>
              <w:br/>
              <w:t>2.规格:220V 52W/5400lm</w:t>
              <w:br/>
              <w:t>3.尺寸:LED(Ra≥80，R9＞0)</w:t>
              <w:br/>
              <w:t>4.安装形式:吸顶式安装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7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紫外线杀菌灯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1.名称:灭菌灯</w:t>
              <w:br/>
              <w:t>2.规格:220V 30W</w:t>
              <w:br/>
              <w:t>3.安装形式:吸顶式安装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5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开关插座面板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1.单联/双联/三联单控跷板式暗开关</w:t>
              <w:br/>
              <w:t>2.单相五孔、三孔暗插座（10A/16A)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1115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配线、配管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新风换气机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1.风量:1500m3/h </w:t>
              <w:br/>
              <w:t>2.风机功率: 1.3KW 220v,全压:530Pa，噪音：52dB</w:t>
              <w:br/>
              <w:t>3.配套送排风口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多联机空调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1.室内空调移机安装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204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给排水系统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1.主要包括实验室上下水管路的铺设。</w:t>
              <w:br/>
              <w:t>2.实验室的给水管路（PPR材质）均应设防倒流装置，水龙头应配检修用的截止阀；</w:t>
              <w:br/>
              <w:t>3.所有水嘴、水龙头、截止阀均采用不锈钢或铜材料，洗手装置为感应式开关。</w:t>
              <w:br/>
              <w:t>4.实验设备用水有特殊需求的预留用水点位，用户独立配置净水设备。</w:t>
              <w:br/>
              <w:t>5.给/排水点位数量要满足实验室的使用需求。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  <w:tr>
        <w:trPr>
          <w:trHeight w:val="170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实验台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1）台面：20mm厚陶克陶瓷台面,750mm宽；</w:t>
              <w:br/>
              <w:t>2）柜体：框架采用0.8mm优质冷轧钢板，柜体及柜门、抽屉、隔板采用0.8mm优质冷轧钢板，钢板表面磷化、酸洗、环氧树脂喷塑处理；</w:t>
              <w:br/>
              <w:t>3）配件：柜门合页采用优质DTC合金铰链；抽屉滑轨采用优质DTC三节承重滑轨；一体成型槽拉手槽拉手；钢制可调脚；岛式插座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10 </w:t>
            </w:r>
          </w:p>
        </w:tc>
      </w:tr>
      <w:tr>
        <w:trPr>
          <w:trHeight w:val="1380"/>
        </w:trPr>
        <w:tc>
          <w:tcPr>
            <w:tcW w:w="8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PP水槽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1.名称：PP水槽</w:t>
              <w:br/>
              <w:t>2.品牌：润旺达</w:t>
              <w:br/>
              <w:t>3.满足施工图设计，设计规范，国家现行施工验收规范等相关要求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1 </w:t>
            </w:r>
          </w:p>
        </w:tc>
      </w:tr>
    </w:tbl>
    <w:p/>
    <w:sectPr>
      <w:footerReference w:type="default" r:id="rId2"/>
      <w:pgSz w:w="11907" w:h="16840"/>
      <w:pgMar w:top="1701" w:right="1418" w:bottom="1701" w:left="141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 w:val="0"/>
  <w:bordersDoNotSurroundFooter w:val="0"/>
  <w:trackRevisions/>
  <w:defaultTabStop w:val="420"/>
  <w:drawingGridHorizontalSpacing w:val="157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6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">
    <w:name w:val="样式 10 磅"/>
    <w:next w:val="20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00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">
    <w:name w:val="样式 6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9</Pages>
  <Words>3177</Words>
  <Characters>3471</Characters>
  <Lines>312</Lines>
  <Paragraphs>143</Paragraphs>
  <CharactersWithSpaces>3527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阳光</dc:creator>
  <cp:lastModifiedBy>付玮</cp:lastModifiedBy>
  <cp:revision>1</cp:revision>
  <dcterms:created xsi:type="dcterms:W3CDTF">2026-09-18T07:17:00Z</dcterms:created>
  <dcterms:modified xsi:type="dcterms:W3CDTF">2026-09-19T10:06:45Z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CAEC093535EC401F89F89F0945FA7FDD_11</vt:lpwstr>
  </property>
  <property fmtid="{D5CDD505-2E9C-101B-9397-08002B2CF9AE}" pid="4" name="KSOTemplateDocerSaveRecord">
    <vt:lpwstr>eyJoZGlkIjoiYWU5OGI4MmI0NzAwMTkzNjYzYTBhYzYyNWYzZTc0ZTkiLCJ1c2VySWQiOiI3NjY4NTA5MDcifQ==</vt:lpwstr>
  </property>
</Properties>
</file>