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69" w:rsidRPr="00E61569" w:rsidRDefault="00E61569" w:rsidP="00E61569">
      <w:pPr>
        <w:widowControl/>
        <w:snapToGrid w:val="0"/>
        <w:jc w:val="left"/>
        <w:rPr>
          <w:rFonts w:ascii="宋体" w:eastAsia="宋体" w:hAnsi="宋体" w:cs="Times New Roman"/>
          <w:b/>
          <w:bCs/>
          <w:kern w:val="0"/>
          <w:sz w:val="18"/>
          <w:szCs w:val="27"/>
        </w:rPr>
      </w:pPr>
      <w:bookmarkStart w:id="0" w:name="_GoBack"/>
      <w:bookmarkEnd w:id="0"/>
    </w:p>
    <w:p w:rsidR="00E61569" w:rsidRPr="00E61569" w:rsidRDefault="00E61569" w:rsidP="00E61569">
      <w:pPr>
        <w:widowControl/>
        <w:snapToGrid w:val="0"/>
        <w:jc w:val="left"/>
        <w:rPr>
          <w:rFonts w:ascii="宋体" w:eastAsia="宋体" w:hAnsi="宋体" w:cs="Times New Roman"/>
          <w:b/>
          <w:bCs/>
          <w:kern w:val="0"/>
          <w:sz w:val="18"/>
          <w:szCs w:val="27"/>
        </w:rPr>
      </w:pPr>
    </w:p>
    <w:p w:rsidR="00E61569" w:rsidRPr="00E61569" w:rsidRDefault="00E61569" w:rsidP="00E61569">
      <w:pPr>
        <w:widowControl/>
        <w:snapToGrid w:val="0"/>
        <w:jc w:val="left"/>
        <w:rPr>
          <w:rFonts w:ascii="仿宋_GB2312" w:eastAsia="宋体" w:hAnsi="仿宋_GB2312" w:cs="Times New Roman" w:hint="eastAsia"/>
          <w:b/>
          <w:bCs/>
          <w:kern w:val="0"/>
          <w:szCs w:val="24"/>
        </w:rPr>
      </w:pPr>
      <w:r w:rsidRPr="00E61569">
        <w:rPr>
          <w:rFonts w:ascii="宋体" w:eastAsia="宋体" w:hAnsi="宋体" w:cs="Times New Roman" w:hint="eastAsia"/>
          <w:b/>
          <w:bCs/>
          <w:kern w:val="0"/>
          <w:sz w:val="18"/>
          <w:szCs w:val="27"/>
        </w:rPr>
        <w:t>附件：</w:t>
      </w:r>
    </w:p>
    <w:p w:rsidR="00E61569" w:rsidRPr="00E61569" w:rsidRDefault="00E61569" w:rsidP="00E61569">
      <w:pPr>
        <w:widowControl/>
        <w:snapToGrid w:val="0"/>
        <w:jc w:val="center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仿宋_GB2312" w:eastAsia="宋体" w:hAnsi="仿宋_GB2312" w:cs="Times New Roman"/>
          <w:b/>
          <w:bCs/>
          <w:kern w:val="0"/>
          <w:szCs w:val="27"/>
        </w:rPr>
        <w:t>远洋渔业企业</w:t>
      </w:r>
      <w:proofErr w:type="gramStart"/>
      <w:r w:rsidRPr="00E61569">
        <w:rPr>
          <w:rFonts w:ascii="仿宋_GB2312" w:eastAsia="宋体" w:hAnsi="仿宋_GB2312" w:cs="Times New Roman"/>
          <w:b/>
          <w:bCs/>
          <w:kern w:val="0"/>
          <w:szCs w:val="27"/>
        </w:rPr>
        <w:t>运回自捕水产品</w:t>
      </w:r>
      <w:proofErr w:type="gramEnd"/>
      <w:r w:rsidRPr="00E61569">
        <w:rPr>
          <w:rFonts w:ascii="仿宋_GB2312" w:eastAsia="宋体" w:hAnsi="仿宋_GB2312" w:cs="Times New Roman"/>
          <w:b/>
          <w:bCs/>
          <w:kern w:val="0"/>
          <w:szCs w:val="27"/>
        </w:rPr>
        <w:t>不征税的暂行管理办法</w:t>
      </w:r>
      <w:r w:rsidRPr="00E61569">
        <w:rPr>
          <w:rFonts w:ascii="宋体" w:eastAsia="宋体" w:hAnsi="宋体" w:cs="Times New Roman" w:hint="eastAsia"/>
          <w:kern w:val="0"/>
          <w:sz w:val="18"/>
          <w:szCs w:val="24"/>
        </w:rPr>
        <w:t xml:space="preserve">　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第一条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为加强远洋渔业管理，维护国家利益和远洋渔业企业及从业人员的合法权益，更好地贯彻执行国家制定的原产地规定，根据《中华人民共和国海关法》和《中华人民共和国渔业法》等有关规定，制定本暂行管理办法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第二条</w:t>
      </w:r>
      <w:r w:rsidRPr="00E61569">
        <w:rPr>
          <w:rFonts w:ascii="宋体" w:eastAsia="宋体" w:hAnsi="宋体" w:cs="Times New Roman" w:hint="eastAsia"/>
          <w:b/>
          <w:bCs/>
          <w:kern w:val="0"/>
          <w:sz w:val="18"/>
          <w:szCs w:val="27"/>
        </w:rPr>
        <w:t xml:space="preserve"> 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本暂行管理办法所称的贯彻执行国家制定的原产地规定是指，我国远洋渔业企业在公海或按照有关协议规定，在国外海域捕获并运回国内销售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的自捕水产品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（及其加工制品），视同国内产品不征收进口关税和进口环节增值税。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第三条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海关负责远洋渔业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企业自捕水产品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运回国内的原产地认定，农业部协助对远洋渔业企业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运口自捕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水产品进行监督管理。远洋渔业企业必须经农业部批准，获得“农业部远洋渔业企业资格证书”方能享受国家上述政策。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第四条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农业部将获得“农业部远洋渔业企业资格证书”的企业名单、远洋渔业企业生产区域、船名船号和主要捕捞品种等情况送海关总署备案，并由海关总署通知有关直属海关。获得“农业部远洋渔业企业资格证书”的企业应将企业印章印模、法人代表或委托人的印章印模和拥有远洋捕捞船舶的数量、船名船号、吨位等情况向企业所在地直属海关备案。海关将远洋渔业企业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运回自捕水产品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不征税的工作纳入《减免税管理系统》管理。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第五条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远洋渔业企业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办理自捕水产品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不征税手续程序：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（一）远洋渔业企业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运回自捕水产品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前，应向所在地直属海关（若企业所在地非直属海关所在地，可向所在地处级海关）提交以下单证：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（1）工商管理部门核发的远洋渔业企业营业执照（正本复印件）；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（2）农业部核发的远洋渔业企业资格证书（正本复印件）；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（3）《远洋渔业企业运回自捕水产品申报单》（第一联）；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（4）农业部批准从事远洋捕捞生产的有效批件（正本复印件）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（二）企业所在地直属海关（若企业所在地处级海关接受初审，需报直属海关核准）经审核无误后，出具《进口货物免税证明》（备注栏内注明船名船号），通知进口地海关。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（三）企业持《进口货物征免税证明》、《中华人民共和国海关进口货物报关单》及进口货物仓单或提单等单证到进口地海关办理报关手续。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（四）进口地海关凭企业所在地直属海关签章的《进口货物征免税证明》，对企业申报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的自捕水产品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进行原产地查验，无误后办理不征税验放手续。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第六条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《远洋渔业企业运回自捕水产品申报单》（见附件一）一式四联，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第一联报直属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海关（或所在地处级海关）办理有关手续；第二联报送农业部渔业局；第三联报送企业所在地的省级渔业主管部门；第四联由申报企业留存。该《申报单》须加盖企业印章，企业法人代表或委托人须在“郑重声明”栏中签字，并承担法律责任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第七条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远洋渔业企业必须遵守国家法律法规，严禁将从境外购进或串换的水产品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作为自捕水产品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申报入境。严禁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以自捕水产品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名义运回龙虾、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象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拔蚌、甲鱼、海藻和鲜活的鲑鱼、虾、蟹、贝类水产品。如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确有自捕运回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的，由农业部认定后书面通知海关总署，由海关总署通知有关海关审核验放。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第八条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各省级渔业主管部门负责对辖区内远洋渔业企业报送的《远洋渔业企业运回自捕水产品申报单》进行日常监督管理工作；并于每季度前的5个工作日内将上季度《远洋渔业企业运回的自捕水产品审核情况汇总表》（见附件二）填报农业部渔业局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第九条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农业部渔业局每季度前15个工作日内将上季度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运回自捕水产品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的情况汇总后送海关总署关税征管司备查。并同时向所有的远洋渔业企业公布，以建立企业间相互监督与举报制度。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第十条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农业部和海关总署将不定期对有关远洋渔业企业</w:t>
      </w:r>
      <w:proofErr w:type="gramStart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的自捕水产品</w:t>
      </w:r>
      <w:proofErr w:type="gramEnd"/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运回情况进行检查。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第十一条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对维护国家和行业利益，如实举报远洋渔业企业违规行为的有功人员将视情况予以奖励。对违反本暂行管理办法的远洋渔业企业，将按有关规定进行处理。</w:t>
      </w:r>
    </w:p>
    <w:p w:rsidR="00E61569" w:rsidRPr="00E61569" w:rsidRDefault="00E61569" w:rsidP="00E61569">
      <w:pPr>
        <w:widowControl/>
        <w:snapToGrid w:val="0"/>
        <w:ind w:firstLineChars="200" w:firstLine="360"/>
        <w:jc w:val="left"/>
        <w:rPr>
          <w:rFonts w:ascii="宋体" w:eastAsia="宋体" w:hAnsi="宋体" w:cs="Times New Roman"/>
          <w:kern w:val="0"/>
          <w:sz w:val="18"/>
          <w:szCs w:val="24"/>
        </w:rPr>
      </w:pPr>
      <w:r w:rsidRPr="00E61569">
        <w:rPr>
          <w:rFonts w:ascii="黑体" w:eastAsia="黑体" w:hAnsi="黑体" w:cs="Times New Roman" w:hint="eastAsia"/>
          <w:kern w:val="0"/>
          <w:sz w:val="18"/>
          <w:szCs w:val="27"/>
        </w:rPr>
        <w:t>第十二条</w:t>
      </w:r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 xml:space="preserve"> 本办法自</w:t>
      </w:r>
      <w:smartTag w:uri="urn:schemas-microsoft-com:office:smarttags" w:element="chsdate">
        <w:smartTagPr>
          <w:attr w:name="Year" w:val="2000"/>
          <w:attr w:name="Month" w:val="7"/>
          <w:attr w:name="Day" w:val="1"/>
          <w:attr w:name="IsLunarDate" w:val="False"/>
          <w:attr w:name="IsROCDate" w:val="False"/>
        </w:smartTagPr>
        <w:r w:rsidRPr="00E61569">
          <w:rPr>
            <w:rFonts w:ascii="宋体" w:eastAsia="宋体" w:hAnsi="宋体" w:cs="Times New Roman" w:hint="eastAsia"/>
            <w:kern w:val="0"/>
            <w:sz w:val="18"/>
            <w:szCs w:val="27"/>
          </w:rPr>
          <w:t>2000年7月1日起</w:t>
        </w:r>
      </w:smartTag>
      <w:r w:rsidRPr="00E61569">
        <w:rPr>
          <w:rFonts w:ascii="宋体" w:eastAsia="宋体" w:hAnsi="宋体" w:cs="Times New Roman" w:hint="eastAsia"/>
          <w:kern w:val="0"/>
          <w:sz w:val="18"/>
          <w:szCs w:val="27"/>
        </w:rPr>
        <w:t>实施。</w:t>
      </w:r>
    </w:p>
    <w:p w:rsidR="00E61569" w:rsidRPr="00E61569" w:rsidRDefault="00E61569" w:rsidP="00E61569">
      <w:pPr>
        <w:snapToGrid w:val="0"/>
        <w:ind w:firstLineChars="200" w:firstLine="360"/>
        <w:rPr>
          <w:rFonts w:ascii="Times New Roman" w:eastAsia="宋体" w:hAnsi="Times New Roman" w:cs="Times New Roman"/>
          <w:szCs w:val="24"/>
        </w:rPr>
      </w:pPr>
      <w:r w:rsidRPr="00E61569">
        <w:rPr>
          <w:rFonts w:ascii="黑体" w:eastAsia="黑体" w:hAnsi="黑体" w:cs="Times New Roman" w:hint="eastAsia"/>
          <w:sz w:val="18"/>
          <w:szCs w:val="27"/>
        </w:rPr>
        <w:t>第十三条</w:t>
      </w:r>
      <w:r w:rsidRPr="00E61569">
        <w:rPr>
          <w:rFonts w:ascii="Times New Roman" w:eastAsia="宋体" w:hAnsi="Times New Roman" w:cs="Times New Roman"/>
          <w:sz w:val="18"/>
          <w:szCs w:val="27"/>
        </w:rPr>
        <w:t xml:space="preserve"> </w:t>
      </w:r>
      <w:r w:rsidRPr="00E61569">
        <w:rPr>
          <w:rFonts w:ascii="Times New Roman" w:eastAsia="宋体" w:hAnsi="Times New Roman" w:cs="Times New Roman" w:hint="eastAsia"/>
          <w:sz w:val="18"/>
          <w:szCs w:val="27"/>
        </w:rPr>
        <w:t>本办法由海关总署和农业部负责解释。</w:t>
      </w:r>
    </w:p>
    <w:p w:rsidR="003454E6" w:rsidRPr="00E61569" w:rsidRDefault="003454E6"/>
    <w:sectPr w:rsidR="003454E6" w:rsidRPr="00E61569" w:rsidSect="00345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1569"/>
    <w:rsid w:val="003454E6"/>
    <w:rsid w:val="00E61569"/>
    <w:rsid w:val="00F2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569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>中国石油大学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俞炜</dc:creator>
  <cp:lastModifiedBy>希楠 苗</cp:lastModifiedBy>
  <cp:revision>2</cp:revision>
  <dcterms:created xsi:type="dcterms:W3CDTF">2024-04-12T01:19:00Z</dcterms:created>
  <dcterms:modified xsi:type="dcterms:W3CDTF">2024-06-17T02:20:00Z</dcterms:modified>
</cp:coreProperties>
</file>