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F731">
      <w:pPr>
        <w:tabs>
          <w:tab w:val="left" w:pos="4073"/>
        </w:tabs>
        <w:spacing w:line="3200" w:lineRule="exact"/>
        <w:jc w:val="both"/>
        <w:rPr>
          <w:rFonts w:ascii="隶书" w:eastAsia="隶书" w:cs="隶书"/>
          <w:color w:val="00007F"/>
          <w:sz w:val="96"/>
          <w:szCs w:val="96"/>
        </w:rPr>
      </w:pPr>
    </w:p>
    <w:p w14:paraId="3C139F4C">
      <w:pPr>
        <w:tabs>
          <w:tab w:val="left" w:pos="4073"/>
        </w:tabs>
        <w:spacing w:line="3200" w:lineRule="exact"/>
        <w:jc w:val="center"/>
        <w:rPr>
          <w:rFonts w:ascii="隶书" w:eastAsia="隶书" w:cs="隶书"/>
          <w:color w:val="00007F"/>
          <w:sz w:val="96"/>
          <w:szCs w:val="96"/>
          <w:lang w:eastAsia="zh-CN"/>
        </w:rPr>
      </w:pPr>
      <w:r>
        <w:rPr>
          <w:rFonts w:ascii="隶书" w:eastAsia="隶书" w:cs="隶书"/>
          <w:color w:val="00007F"/>
          <w:sz w:val="96"/>
          <w:szCs w:val="96"/>
          <w:lang w:eastAsia="zh-CN"/>
        </w:rPr>
        <w:t>2025年度</w:t>
      </w:r>
    </w:p>
    <w:p w14:paraId="490056A5">
      <w:pPr>
        <w:tabs>
          <w:tab w:val="left" w:pos="4073"/>
        </w:tabs>
        <w:spacing w:line="3200" w:lineRule="exact"/>
        <w:jc w:val="center"/>
        <w:rPr>
          <w:rFonts w:ascii="Arial" w:hAnsi="Arial" w:eastAsia="Arial"/>
          <w:lang w:eastAsia="zh-CN"/>
        </w:rPr>
        <w:sectPr>
          <w:headerReference r:id="rId3" w:type="default"/>
          <w:pgSz w:w="11920" w:h="16850"/>
          <w:pgMar w:top="1440" w:right="1757" w:bottom="1440" w:left="1757" w:header="0" w:footer="765" w:gutter="0"/>
          <w:cols w:space="720" w:num="1"/>
          <w:docGrid w:linePitch="312" w:charSpace="0"/>
        </w:sectPr>
      </w:pPr>
      <w:r>
        <w:rPr>
          <w:rFonts w:hint="eastAsia" w:ascii="隶书" w:eastAsia="隶书" w:cs="隶书"/>
          <w:color w:val="00007F"/>
          <w:sz w:val="96"/>
          <w:szCs w:val="96"/>
          <w:lang w:eastAsia="zh-CN"/>
        </w:rPr>
        <w:t>丽水</w:t>
      </w:r>
      <w:r>
        <w:rPr>
          <w:rFonts w:ascii="隶书" w:eastAsia="隶书" w:cs="隶书"/>
          <w:color w:val="00007F"/>
          <w:sz w:val="96"/>
          <w:szCs w:val="96"/>
          <w:lang w:eastAsia="zh-CN"/>
        </w:rPr>
        <w:t>海关部门决</w:t>
      </w:r>
      <w:r>
        <w:rPr>
          <w:rFonts w:hint="eastAsia" w:ascii="隶书" w:eastAsia="隶书" w:cs="隶书"/>
          <w:color w:val="00007F"/>
          <w:sz w:val="96"/>
          <w:szCs w:val="96"/>
          <w:lang w:eastAsia="zh-CN"/>
        </w:rPr>
        <w:t>算</w:t>
      </w:r>
    </w:p>
    <w:p w14:paraId="49FA3A24">
      <w:pPr>
        <w:pStyle w:val="57"/>
        <w:spacing w:before="74"/>
        <w:ind w:left="3689" w:right="3871"/>
        <w:jc w:val="center"/>
        <w:rPr>
          <w:rFonts w:ascii="黑体" w:eastAsia="黑体" w:cs="黑体"/>
          <w:sz w:val="56"/>
          <w:szCs w:val="56"/>
          <w:lang w:eastAsia="zh-CN"/>
        </w:rPr>
      </w:pPr>
      <w:r>
        <w:rPr>
          <w:rFonts w:ascii="黑体" w:eastAsia="黑体" w:cs="黑体"/>
          <w:b/>
          <w:bCs/>
          <w:sz w:val="56"/>
          <w:szCs w:val="56"/>
          <w:lang w:eastAsia="zh-CN"/>
        </w:rPr>
        <w:t>目录</w:t>
      </w:r>
    </w:p>
    <w:p w14:paraId="510F7A3E">
      <w:pPr>
        <w:pStyle w:val="169"/>
        <w:tabs>
          <w:tab w:val="left" w:pos="1720"/>
          <w:tab w:val="right" w:leader="dot" w:pos="8625"/>
        </w:tabs>
        <w:spacing w:before="282"/>
        <w:ind w:left="119"/>
        <w:rPr>
          <w:rFonts w:ascii="Arial" w:hAnsi="Arial" w:eastAsia="Arial"/>
        </w:rPr>
      </w:pPr>
      <w:r>
        <w:rPr>
          <w:rFonts w:ascii="黑体" w:eastAsia="黑体" w:cs="黑体"/>
          <w:w w:val="95"/>
        </w:rPr>
        <w:t>第一部分</w:t>
      </w:r>
      <w:r>
        <w:rPr>
          <w:rFonts w:ascii="黑体" w:eastAsia="黑体" w:cs="黑体"/>
          <w:w w:val="95"/>
        </w:rPr>
        <w:tab/>
      </w:r>
      <w:r>
        <w:rPr>
          <w:rFonts w:hint="eastAsia" w:ascii="黑体" w:eastAsia="黑体" w:cs="黑体"/>
          <w:w w:val="95"/>
        </w:rPr>
        <w:t>丽水海关</w:t>
      </w:r>
      <w:r>
        <w:rPr>
          <w:rFonts w:ascii="黑体" w:eastAsia="黑体" w:cs="黑体"/>
        </w:rPr>
        <w:t>概况</w:t>
      </w:r>
    </w:p>
    <w:p w14:paraId="26428E9F">
      <w:pPr>
        <w:pStyle w:val="169"/>
        <w:tabs>
          <w:tab w:val="right" w:leader="dot" w:pos="8613"/>
        </w:tabs>
        <w:ind w:left="119"/>
        <w:rPr>
          <w:rFonts w:ascii="方正仿宋_GBK" w:eastAsia="方正仿宋_GBK"/>
        </w:rPr>
      </w:pPr>
      <w:r>
        <w:rPr>
          <w:rFonts w:hint="eastAsia" w:ascii="方正仿宋_GBK" w:eastAsia="方正仿宋_GBK"/>
        </w:rPr>
        <w:t>一、部门职责</w:t>
      </w:r>
    </w:p>
    <w:p w14:paraId="019CE2A8">
      <w:pPr>
        <w:pStyle w:val="169"/>
        <w:tabs>
          <w:tab w:val="right" w:leader="dot" w:pos="8613"/>
        </w:tabs>
        <w:ind w:left="119"/>
        <w:rPr>
          <w:rFonts w:ascii="方正仿宋_GBK" w:eastAsia="方正仿宋_GBK"/>
        </w:rPr>
      </w:pPr>
      <w:r>
        <w:rPr>
          <w:rFonts w:hint="eastAsia" w:ascii="方正仿宋_GBK" w:eastAsia="方正仿宋_GBK"/>
        </w:rPr>
        <w:t>二、机构设置</w:t>
      </w:r>
    </w:p>
    <w:p w14:paraId="2E18FD9C">
      <w:pPr>
        <w:pStyle w:val="169"/>
        <w:tabs>
          <w:tab w:val="left" w:pos="1720"/>
          <w:tab w:val="right" w:leader="dot" w:pos="8625"/>
        </w:tabs>
        <w:ind w:left="119"/>
        <w:rPr>
          <w:rFonts w:ascii="Arial" w:hAnsi="Arial" w:eastAsia="Arial"/>
        </w:rPr>
      </w:pPr>
      <w:r>
        <w:rPr>
          <w:rFonts w:ascii="黑体" w:eastAsia="黑体" w:cs="黑体"/>
          <w:w w:val="95"/>
        </w:rPr>
        <w:t>第二部分</w:t>
      </w:r>
      <w:r>
        <w:rPr>
          <w:rFonts w:ascii="黑体" w:eastAsia="黑体" w:cs="黑体"/>
          <w:w w:val="95"/>
        </w:rPr>
        <w:tab/>
      </w:r>
      <w:r>
        <w:rPr>
          <w:rFonts w:ascii="Times New Roman" w:eastAsia="黑体" w:cs="Times New Roman"/>
        </w:rPr>
        <w:t>2025</w:t>
      </w:r>
      <w:r>
        <w:rPr>
          <w:rFonts w:ascii="黑体" w:eastAsia="黑体" w:cs="黑体"/>
        </w:rPr>
        <w:t>年度部门决算表</w:t>
      </w:r>
    </w:p>
    <w:p w14:paraId="3F0C16A3">
      <w:pPr>
        <w:pStyle w:val="169"/>
        <w:tabs>
          <w:tab w:val="right" w:leader="dot" w:pos="8613"/>
        </w:tabs>
        <w:ind w:left="119"/>
        <w:rPr>
          <w:rFonts w:ascii="方正仿宋_GBK" w:eastAsia="方正仿宋_GBK"/>
        </w:rPr>
      </w:pPr>
      <w:r>
        <w:rPr>
          <w:rFonts w:hint="eastAsia" w:ascii="方正仿宋_GBK" w:eastAsia="方正仿宋_GBK"/>
        </w:rPr>
        <w:t>一、收入支出决算总表</w:t>
      </w:r>
    </w:p>
    <w:p w14:paraId="41A0142E">
      <w:pPr>
        <w:pStyle w:val="169"/>
        <w:tabs>
          <w:tab w:val="right" w:leader="dot" w:pos="8613"/>
        </w:tabs>
        <w:ind w:left="119"/>
        <w:rPr>
          <w:rFonts w:ascii="方正仿宋_GBK" w:eastAsia="方正仿宋_GBK"/>
        </w:rPr>
      </w:pPr>
      <w:r>
        <w:rPr>
          <w:rFonts w:hint="eastAsia" w:ascii="方正仿宋_GBK" w:eastAsia="方正仿宋_GBK"/>
        </w:rPr>
        <w:t>二、收入决算表</w:t>
      </w:r>
    </w:p>
    <w:p w14:paraId="7D4A202C">
      <w:pPr>
        <w:pStyle w:val="169"/>
        <w:tabs>
          <w:tab w:val="right" w:leader="dot" w:pos="8613"/>
        </w:tabs>
        <w:ind w:left="119"/>
        <w:rPr>
          <w:rFonts w:ascii="方正仿宋_GBK" w:eastAsia="方正仿宋_GBK"/>
        </w:rPr>
      </w:pPr>
      <w:r>
        <w:rPr>
          <w:rFonts w:hint="eastAsia" w:ascii="方正仿宋_GBK" w:eastAsia="方正仿宋_GBK"/>
        </w:rPr>
        <w:t>三、支出决算表</w:t>
      </w:r>
    </w:p>
    <w:p w14:paraId="16D79B6D">
      <w:pPr>
        <w:pStyle w:val="169"/>
        <w:tabs>
          <w:tab w:val="right" w:leader="dot" w:pos="8613"/>
        </w:tabs>
        <w:ind w:left="119"/>
        <w:rPr>
          <w:rFonts w:ascii="方正仿宋_GBK" w:eastAsia="方正仿宋_GBK"/>
        </w:rPr>
      </w:pPr>
      <w:r>
        <w:rPr>
          <w:rFonts w:hint="eastAsia" w:ascii="方正仿宋_GBK" w:eastAsia="方正仿宋_GBK"/>
        </w:rPr>
        <w:t>四、财政拨款收入支出决算总表</w:t>
      </w:r>
    </w:p>
    <w:p w14:paraId="375F9E72">
      <w:pPr>
        <w:pStyle w:val="169"/>
        <w:tabs>
          <w:tab w:val="right" w:leader="dot" w:pos="8613"/>
        </w:tabs>
        <w:ind w:left="119"/>
        <w:rPr>
          <w:rFonts w:ascii="方正仿宋_GBK" w:eastAsia="方正仿宋_GBK"/>
        </w:rPr>
      </w:pPr>
      <w:r>
        <w:rPr>
          <w:rFonts w:hint="eastAsia" w:ascii="方正仿宋_GBK" w:eastAsia="方正仿宋_GBK"/>
        </w:rPr>
        <w:t>五、一般公共预算财政拨款支出决算表</w:t>
      </w:r>
    </w:p>
    <w:p w14:paraId="01458AED">
      <w:pPr>
        <w:pStyle w:val="169"/>
        <w:tabs>
          <w:tab w:val="right" w:leader="dot" w:pos="8613"/>
        </w:tabs>
        <w:spacing w:before="150"/>
        <w:ind w:left="119"/>
        <w:rPr>
          <w:rFonts w:ascii="方正仿宋_GBK" w:eastAsia="方正仿宋_GBK"/>
        </w:rPr>
      </w:pPr>
      <w:r>
        <w:rPr>
          <w:rFonts w:hint="eastAsia" w:ascii="方正仿宋_GBK" w:eastAsia="方正仿宋_GBK"/>
        </w:rPr>
        <w:t>六、一般公共预算财政拨款基本支出决算明细表</w:t>
      </w:r>
    </w:p>
    <w:p w14:paraId="370A0DFC">
      <w:pPr>
        <w:pStyle w:val="169"/>
        <w:tabs>
          <w:tab w:val="right" w:leader="dot" w:pos="8613"/>
        </w:tabs>
        <w:spacing w:before="142"/>
        <w:ind w:left="119"/>
        <w:rPr>
          <w:rFonts w:ascii="方正仿宋_GBK" w:eastAsia="方正仿宋_GBK"/>
        </w:rPr>
      </w:pPr>
      <w:r>
        <w:rPr>
          <w:rFonts w:hint="eastAsia" w:ascii="方正仿宋_GBK" w:eastAsia="方正仿宋_GBK"/>
        </w:rPr>
        <w:t>七、政府</w:t>
      </w:r>
      <w:r>
        <w:rPr>
          <w:rFonts w:hint="eastAsia" w:ascii="方正仿宋_GBK" w:eastAsia="方正仿宋_GBK" w:cs="宋体"/>
        </w:rPr>
        <w:t>性</w:t>
      </w:r>
      <w:r>
        <w:rPr>
          <w:rFonts w:hint="eastAsia" w:ascii="方正仿宋_GBK" w:eastAsia="方正仿宋_GBK"/>
        </w:rPr>
        <w:t>基金预算财政拨款收入支出决算表</w:t>
      </w:r>
    </w:p>
    <w:p w14:paraId="07BF125A">
      <w:pPr>
        <w:pStyle w:val="169"/>
        <w:tabs>
          <w:tab w:val="right" w:leader="dot" w:pos="8613"/>
        </w:tabs>
        <w:ind w:left="119"/>
        <w:rPr>
          <w:rFonts w:ascii="方正仿宋_GBK" w:eastAsia="方正仿宋_GBK"/>
        </w:rPr>
      </w:pPr>
      <w:r>
        <w:rPr>
          <w:rFonts w:hint="eastAsia" w:ascii="方正仿宋_GBK" w:eastAsia="方正仿宋_GBK"/>
        </w:rPr>
        <w:t>八、国有资本经营预算财政拨款支出决算表</w:t>
      </w:r>
    </w:p>
    <w:p w14:paraId="2463876B">
      <w:pPr>
        <w:pStyle w:val="169"/>
        <w:tabs>
          <w:tab w:val="right" w:leader="dot" w:pos="8613"/>
        </w:tabs>
        <w:ind w:left="119"/>
        <w:rPr>
          <w:rFonts w:ascii="方正仿宋_GBK" w:eastAsia="方正仿宋_GBK"/>
        </w:rPr>
      </w:pPr>
      <w:r>
        <w:rPr>
          <w:rFonts w:hint="eastAsia" w:ascii="方正仿宋_GBK" w:eastAsia="方正仿宋_GBK"/>
        </w:rPr>
        <w:t>九、财政拨款“三公”经费支出决算表</w:t>
      </w:r>
    </w:p>
    <w:p w14:paraId="5279B24C">
      <w:pPr>
        <w:pStyle w:val="169"/>
        <w:tabs>
          <w:tab w:val="left" w:pos="1720"/>
          <w:tab w:val="right" w:leader="dot" w:pos="8625"/>
        </w:tabs>
        <w:rPr>
          <w:rFonts w:ascii="Arial" w:hAnsi="Arial" w:eastAsia="Arial"/>
        </w:rPr>
      </w:pPr>
      <w:r>
        <w:rPr>
          <w:rFonts w:ascii="黑体" w:eastAsia="黑体" w:cs="黑体"/>
          <w:w w:val="95"/>
        </w:rPr>
        <w:t>第三部分</w:t>
      </w:r>
      <w:r>
        <w:rPr>
          <w:rFonts w:ascii="黑体" w:eastAsia="黑体" w:cs="黑体"/>
          <w:w w:val="95"/>
        </w:rPr>
        <w:tab/>
      </w:r>
      <w:r>
        <w:rPr>
          <w:rFonts w:ascii="黑体" w:eastAsia="黑体" w:cs="黑体"/>
        </w:rPr>
        <w:t>2025年度部门决算情况说明</w:t>
      </w:r>
    </w:p>
    <w:p w14:paraId="71462734">
      <w:pPr>
        <w:pStyle w:val="169"/>
        <w:tabs>
          <w:tab w:val="right" w:leader="dot" w:pos="8613"/>
        </w:tabs>
        <w:rPr>
          <w:rFonts w:ascii="方正仿宋_GBK" w:eastAsia="方正仿宋_GBK"/>
        </w:rPr>
      </w:pPr>
      <w:r>
        <w:rPr>
          <w:rFonts w:hint="eastAsia" w:ascii="方正仿宋_GBK" w:eastAsia="方正仿宋_GBK"/>
        </w:rPr>
        <w:t>一、收入支出决算总体情况说明</w:t>
      </w:r>
    </w:p>
    <w:p w14:paraId="632DE32C">
      <w:pPr>
        <w:pStyle w:val="169"/>
        <w:tabs>
          <w:tab w:val="right" w:leader="dot" w:pos="8613"/>
        </w:tabs>
        <w:rPr>
          <w:rFonts w:ascii="方正仿宋_GBK" w:eastAsia="方正仿宋_GBK"/>
        </w:rPr>
      </w:pPr>
      <w:r>
        <w:rPr>
          <w:rFonts w:hint="eastAsia" w:ascii="方正仿宋_GBK" w:eastAsia="方正仿宋_GBK"/>
        </w:rPr>
        <w:t>二、收入决算情况说明</w:t>
      </w:r>
    </w:p>
    <w:p w14:paraId="5B8E6EB6">
      <w:pPr>
        <w:pStyle w:val="169"/>
        <w:tabs>
          <w:tab w:val="right" w:leader="dot" w:pos="8613"/>
        </w:tabs>
        <w:rPr>
          <w:rFonts w:ascii="方正仿宋_GBK" w:eastAsia="方正仿宋_GBK"/>
        </w:rPr>
      </w:pPr>
      <w:r>
        <w:rPr>
          <w:rFonts w:hint="eastAsia" w:ascii="方正仿宋_GBK" w:eastAsia="方正仿宋_GBK"/>
        </w:rPr>
        <w:t>三、支出决算情况说明</w:t>
      </w:r>
    </w:p>
    <w:p w14:paraId="79F59D5D">
      <w:pPr>
        <w:pStyle w:val="169"/>
        <w:tabs>
          <w:tab w:val="right" w:leader="dot" w:pos="8613"/>
        </w:tabs>
        <w:rPr>
          <w:rFonts w:ascii="方正仿宋_GBK" w:eastAsia="方正仿宋_GBK"/>
        </w:rPr>
      </w:pPr>
      <w:r>
        <w:rPr>
          <w:rFonts w:hint="eastAsia" w:ascii="方正仿宋_GBK" w:eastAsia="方正仿宋_GBK"/>
        </w:rPr>
        <w:t>四、财政拨款收入支出决算总体情况说明</w:t>
      </w:r>
    </w:p>
    <w:p w14:paraId="4C250C7B">
      <w:pPr>
        <w:pStyle w:val="169"/>
        <w:tabs>
          <w:tab w:val="right" w:leader="dot" w:pos="8613"/>
        </w:tabs>
        <w:rPr>
          <w:rFonts w:ascii="方正仿宋_GBK" w:eastAsia="方正仿宋_GBK"/>
        </w:rPr>
      </w:pPr>
      <w:r>
        <w:rPr>
          <w:rFonts w:hint="eastAsia" w:ascii="方正仿宋_GBK" w:eastAsia="方正仿宋_GBK"/>
        </w:rPr>
        <w:t>五、一般公共预算财政拨款支出决算情况说明</w:t>
      </w:r>
    </w:p>
    <w:p w14:paraId="004E3BEA">
      <w:pPr>
        <w:pStyle w:val="169"/>
        <w:tabs>
          <w:tab w:val="right" w:leader="dot" w:pos="8613"/>
        </w:tabs>
        <w:spacing w:before="150"/>
        <w:rPr>
          <w:rFonts w:ascii="方正仿宋_GBK" w:eastAsia="方正仿宋_GBK"/>
        </w:rPr>
      </w:pPr>
      <w:r>
        <w:rPr>
          <w:rFonts w:hint="eastAsia" w:ascii="方正仿宋_GBK" w:eastAsia="方正仿宋_GBK"/>
        </w:rPr>
        <w:t>六、一般公共预算财政拨款基本支出决算情况说明</w:t>
      </w:r>
    </w:p>
    <w:p w14:paraId="13D27215">
      <w:pPr>
        <w:pStyle w:val="169"/>
        <w:tabs>
          <w:tab w:val="right" w:leader="dot" w:pos="8613"/>
        </w:tabs>
        <w:rPr>
          <w:rFonts w:ascii="方正仿宋_GBK" w:eastAsia="方正仿宋_GBK"/>
        </w:rPr>
      </w:pPr>
      <w:r>
        <w:rPr>
          <w:rFonts w:hint="eastAsia" w:ascii="方正仿宋_GBK" w:eastAsia="方正仿宋_GBK"/>
          <w:spacing w:val="-38"/>
        </w:rPr>
        <w:t>七、</w:t>
      </w:r>
      <w:r>
        <w:rPr>
          <w:rFonts w:hint="eastAsia" w:ascii="方正仿宋_GBK" w:eastAsia="方正仿宋_GBK"/>
        </w:rPr>
        <w:t>政府性基金预算财政拨款支出决算情况说明</w:t>
      </w:r>
    </w:p>
    <w:p w14:paraId="7226C816">
      <w:pPr>
        <w:pStyle w:val="169"/>
        <w:tabs>
          <w:tab w:val="right" w:leader="dot" w:pos="8613"/>
        </w:tabs>
        <w:rPr>
          <w:rFonts w:ascii="方正仿宋_GBK" w:eastAsia="方正仿宋_GBK"/>
        </w:rPr>
      </w:pPr>
      <w:r>
        <w:rPr>
          <w:rFonts w:hint="eastAsia" w:ascii="方正仿宋_GBK" w:eastAsia="方正仿宋_GBK"/>
        </w:rPr>
        <w:t>八、财政拨款“三公”经费支出决算情况说明</w:t>
      </w:r>
    </w:p>
    <w:p w14:paraId="7BE73446">
      <w:pPr>
        <w:pStyle w:val="57"/>
        <w:jc w:val="center"/>
        <w:rPr>
          <w:rFonts w:ascii="方正仿宋_GBK" w:eastAsia="方正仿宋_GBK" w:cs="Times New Roman"/>
          <w:sz w:val="18"/>
          <w:szCs w:val="18"/>
          <w:lang w:eastAsia="zh-CN"/>
        </w:rPr>
        <w:sectPr>
          <w:pgSz w:w="11910" w:h="16840"/>
          <w:pgMar w:top="1580" w:right="1500" w:bottom="280" w:left="1680" w:header="0" w:footer="0" w:gutter="0"/>
          <w:cols w:space="720" w:num="1"/>
          <w:docGrid w:linePitch="312" w:charSpace="0"/>
        </w:sectPr>
      </w:pPr>
    </w:p>
    <w:p w14:paraId="2D42ABBA">
      <w:pPr>
        <w:pStyle w:val="170"/>
        <w:tabs>
          <w:tab w:val="right" w:leader="dot" w:pos="8613"/>
        </w:tabs>
        <w:spacing w:before="0" w:line="417" w:lineRule="exact"/>
        <w:rPr>
          <w:rFonts w:ascii="方正仿宋_GBK" w:eastAsia="方正仿宋_GBK"/>
        </w:rPr>
      </w:pPr>
      <w:r>
        <w:rPr>
          <w:rFonts w:hint="eastAsia" w:ascii="方正仿宋_GBK" w:eastAsia="方正仿宋_GBK"/>
        </w:rPr>
        <w:t>九、机关运行经费支出说明</w:t>
      </w:r>
    </w:p>
    <w:p w14:paraId="4D49AB42">
      <w:pPr>
        <w:pStyle w:val="170"/>
        <w:tabs>
          <w:tab w:val="right" w:leader="dot" w:pos="8613"/>
        </w:tabs>
        <w:rPr>
          <w:rFonts w:ascii="方正仿宋_GBK" w:eastAsia="方正仿宋_GBK"/>
        </w:rPr>
      </w:pPr>
      <w:r>
        <w:rPr>
          <w:rFonts w:hint="eastAsia" w:ascii="方正仿宋_GBK" w:eastAsia="方正仿宋_GBK"/>
        </w:rPr>
        <w:t>十、政府采购支出说明</w:t>
      </w:r>
    </w:p>
    <w:p w14:paraId="7BA02D04">
      <w:pPr>
        <w:pStyle w:val="170"/>
        <w:tabs>
          <w:tab w:val="right" w:leader="dot" w:pos="8613"/>
        </w:tabs>
        <w:rPr>
          <w:rFonts w:ascii="方正仿宋_GBK" w:eastAsia="方正仿宋_GBK"/>
        </w:rPr>
      </w:pPr>
      <w:r>
        <w:rPr>
          <w:rFonts w:hint="eastAsia" w:ascii="方正仿宋_GBK" w:eastAsia="方正仿宋_GBK"/>
        </w:rPr>
        <w:t>十一、国有资产占用情况说明</w:t>
      </w:r>
    </w:p>
    <w:p w14:paraId="1C65815F">
      <w:pPr>
        <w:pStyle w:val="170"/>
        <w:tabs>
          <w:tab w:val="right" w:leader="dot" w:pos="8613"/>
        </w:tabs>
        <w:rPr>
          <w:rFonts w:ascii="方正仿宋_GBK" w:eastAsia="方正仿宋_GBK"/>
        </w:rPr>
      </w:pPr>
      <w:r>
        <w:rPr>
          <w:rFonts w:hint="eastAsia" w:ascii="方正仿宋_GBK" w:eastAsia="方正仿宋_GBK"/>
        </w:rPr>
        <w:t>十二、关于</w:t>
      </w:r>
      <w:r>
        <w:rPr>
          <w:rFonts w:ascii="Times New Roman" w:eastAsia="方正仿宋_GBK" w:cs="Times New Roman"/>
        </w:rPr>
        <w:t>2025</w:t>
      </w:r>
      <w:r>
        <w:rPr>
          <w:rFonts w:hint="eastAsia" w:ascii="方正仿宋_GBK" w:eastAsia="方正仿宋_GBK"/>
        </w:rPr>
        <w:t>年度绩效评价情况的说明</w:t>
      </w:r>
    </w:p>
    <w:p w14:paraId="37254265">
      <w:pPr>
        <w:pStyle w:val="170"/>
        <w:tabs>
          <w:tab w:val="left" w:pos="1720"/>
          <w:tab w:val="right" w:leader="dot" w:pos="8625"/>
        </w:tabs>
        <w:rPr>
          <w:rFonts w:ascii="Arial" w:hAnsi="Arial" w:eastAsia="Arial"/>
        </w:rPr>
      </w:pPr>
      <w:r>
        <w:rPr>
          <w:rFonts w:ascii="黑体" w:eastAsia="黑体" w:cs="黑体"/>
          <w:w w:val="95"/>
        </w:rPr>
        <w:t>第四部分</w:t>
      </w:r>
      <w:r>
        <w:rPr>
          <w:rFonts w:ascii="黑体" w:eastAsia="黑体" w:cs="黑体"/>
          <w:w w:val="95"/>
        </w:rPr>
        <w:tab/>
      </w:r>
      <w:r>
        <w:rPr>
          <w:rFonts w:ascii="黑体" w:eastAsia="黑体" w:cs="黑体"/>
        </w:rPr>
        <w:t>名词解释</w:t>
      </w:r>
    </w:p>
    <w:p w14:paraId="0D9F1F22">
      <w:pPr>
        <w:pStyle w:val="170"/>
        <w:tabs>
          <w:tab w:val="left" w:pos="1720"/>
          <w:tab w:val="right" w:leader="dot" w:pos="8625"/>
        </w:tabs>
        <w:rPr>
          <w:rFonts w:ascii="Arial" w:hAnsi="Arial" w:eastAsia="Arial"/>
        </w:rPr>
      </w:pPr>
    </w:p>
    <w:p w14:paraId="2518F164">
      <w:pPr>
        <w:pStyle w:val="13"/>
        <w:tabs>
          <w:tab w:val="left" w:pos="5591"/>
        </w:tabs>
        <w:spacing w:line="1200" w:lineRule="exact"/>
        <w:jc w:val="center"/>
        <w:outlineLvl w:val="0"/>
        <w:rPr>
          <w:lang w:eastAsia="zh-CN"/>
        </w:rPr>
        <w:sectPr>
          <w:headerReference r:id="rId4" w:type="default"/>
          <w:footerReference r:id="rId5" w:type="default"/>
          <w:pgSz w:w="11920" w:h="16850"/>
          <w:pgMar w:top="1440" w:right="1757" w:bottom="1440" w:left="1757" w:header="0" w:footer="765" w:gutter="0"/>
          <w:pgNumType w:start="1"/>
          <w:cols w:space="720" w:num="1"/>
          <w:docGrid w:linePitch="312" w:charSpace="0"/>
        </w:sectPr>
      </w:pPr>
    </w:p>
    <w:p w14:paraId="572216AB">
      <w:pPr>
        <w:pStyle w:val="13"/>
        <w:tabs>
          <w:tab w:val="left" w:pos="5591"/>
        </w:tabs>
        <w:spacing w:line="1200" w:lineRule="exact"/>
        <w:jc w:val="center"/>
        <w:outlineLvl w:val="0"/>
        <w:rPr>
          <w:lang w:eastAsia="zh-CN"/>
        </w:rPr>
      </w:pPr>
    </w:p>
    <w:p w14:paraId="1FC33419">
      <w:pPr>
        <w:pStyle w:val="13"/>
        <w:tabs>
          <w:tab w:val="left" w:pos="5591"/>
        </w:tabs>
        <w:spacing w:line="1200" w:lineRule="exact"/>
        <w:jc w:val="center"/>
        <w:outlineLvl w:val="0"/>
        <w:rPr>
          <w:lang w:eastAsia="zh-CN"/>
        </w:rPr>
      </w:pPr>
    </w:p>
    <w:p w14:paraId="52EC6063">
      <w:pPr>
        <w:pStyle w:val="13"/>
        <w:tabs>
          <w:tab w:val="left" w:pos="5591"/>
        </w:tabs>
        <w:spacing w:line="1200" w:lineRule="exact"/>
        <w:jc w:val="center"/>
        <w:outlineLvl w:val="0"/>
        <w:rPr>
          <w:lang w:eastAsia="zh-CN"/>
        </w:rPr>
      </w:pPr>
    </w:p>
    <w:p w14:paraId="1E2B9ED8">
      <w:pPr>
        <w:pStyle w:val="13"/>
        <w:tabs>
          <w:tab w:val="left" w:pos="5591"/>
        </w:tabs>
        <w:spacing w:line="1200" w:lineRule="exact"/>
        <w:jc w:val="center"/>
        <w:outlineLvl w:val="0"/>
        <w:rPr>
          <w:lang w:eastAsia="zh-CN"/>
        </w:rPr>
      </w:pPr>
    </w:p>
    <w:p w14:paraId="5658A708">
      <w:pPr>
        <w:pStyle w:val="13"/>
        <w:tabs>
          <w:tab w:val="left" w:pos="5591"/>
        </w:tabs>
        <w:spacing w:line="1200" w:lineRule="exact"/>
        <w:jc w:val="center"/>
        <w:outlineLvl w:val="0"/>
        <w:rPr>
          <w:lang w:eastAsia="zh-CN"/>
        </w:rPr>
      </w:pPr>
      <w:bookmarkStart w:id="0" w:name="_Toc17779"/>
      <w:r>
        <w:rPr>
          <w:rFonts w:hint="eastAsia"/>
          <w:lang w:eastAsia="zh-CN"/>
        </w:rPr>
        <w:t>第一部分</w:t>
      </w:r>
      <w:bookmarkEnd w:id="0"/>
    </w:p>
    <w:p w14:paraId="16E66AAF">
      <w:pPr>
        <w:pStyle w:val="13"/>
        <w:tabs>
          <w:tab w:val="left" w:pos="5591"/>
        </w:tabs>
        <w:spacing w:line="1200" w:lineRule="exact"/>
        <w:jc w:val="center"/>
        <w:rPr>
          <w:lang w:eastAsia="zh-CN"/>
        </w:rPr>
        <w:sectPr>
          <w:footerReference r:id="rId6" w:type="default"/>
          <w:pgSz w:w="11920" w:h="16850"/>
          <w:pgMar w:top="1440" w:right="1757" w:bottom="1440" w:left="1757" w:header="0" w:footer="765" w:gutter="0"/>
          <w:pgNumType w:start="1"/>
          <w:cols w:space="720" w:num="1"/>
          <w:docGrid w:linePitch="312" w:charSpace="0"/>
        </w:sectPr>
      </w:pPr>
      <w:bookmarkStart w:id="1" w:name="_Toc31404"/>
      <w:bookmarkStart w:id="2" w:name="_Toc2641"/>
      <w:bookmarkStart w:id="3" w:name="_Toc4099"/>
      <w:r>
        <w:rPr>
          <w:rFonts w:hint="eastAsia"/>
          <w:lang w:eastAsia="zh-CN"/>
        </w:rPr>
        <w:t>丽水</w:t>
      </w:r>
      <w:r>
        <w:rPr>
          <w:lang w:eastAsia="zh-CN"/>
        </w:rPr>
        <w:t>海关概况</w:t>
      </w:r>
      <w:bookmarkEnd w:id="1"/>
      <w:bookmarkEnd w:id="2"/>
      <w:bookmarkEnd w:id="3"/>
    </w:p>
    <w:p w14:paraId="1FFB7158">
      <w:pPr>
        <w:pStyle w:val="3"/>
        <w:spacing w:line="560" w:lineRule="exact"/>
        <w:ind w:left="0" w:firstLine="640" w:firstLineChars="200"/>
        <w:jc w:val="both"/>
        <w:outlineLvl w:val="1"/>
        <w:rPr>
          <w:rFonts w:ascii="方正黑体_GBK" w:eastAsia="方正黑体_GBK" w:cs="方正黑体_GBK"/>
          <w:sz w:val="32"/>
          <w:szCs w:val="32"/>
          <w:lang w:eastAsia="zh-CN"/>
        </w:rPr>
      </w:pPr>
      <w:bookmarkStart w:id="4" w:name="_Toc13739"/>
      <w:r>
        <w:rPr>
          <w:rFonts w:ascii="方正黑体_GBK" w:eastAsia="方正黑体_GBK" w:cs="方正黑体_GBK"/>
          <w:sz w:val="32"/>
          <w:szCs w:val="32"/>
          <w:lang w:eastAsia="zh-CN"/>
        </w:rPr>
        <w:t>一、部门职责</w:t>
      </w:r>
      <w:bookmarkEnd w:id="4"/>
    </w:p>
    <w:p w14:paraId="24273423">
      <w:pPr>
        <w:widowControl/>
        <w:spacing w:line="560" w:lineRule="exact"/>
        <w:ind w:firstLine="640" w:firstLineChars="200"/>
        <w:rPr>
          <w:rFonts w:eastAsia="方正仿宋_GBK"/>
          <w:sz w:val="32"/>
          <w:szCs w:val="32"/>
          <w:lang w:eastAsia="zh-CN"/>
        </w:rPr>
      </w:pPr>
      <w:bookmarkStart w:id="5" w:name="_Toc32729"/>
      <w:r>
        <w:rPr>
          <w:rFonts w:hint="eastAsia" w:eastAsia="方正仿宋_GBK"/>
          <w:sz w:val="32"/>
          <w:szCs w:val="32"/>
          <w:lang w:eastAsia="zh-CN"/>
        </w:rPr>
        <w:t>丽水海关是受杭州海关领导，按授权负责指定口岸和区域范围内海关各类管理工作的正处级隶属海关。丽水海关管辖范围为浙江省丽水市的各项海关管理工作。主要职责是：</w:t>
      </w:r>
    </w:p>
    <w:p w14:paraId="4BD8963B">
      <w:pPr>
        <w:widowControl/>
        <w:spacing w:line="560" w:lineRule="exact"/>
        <w:ind w:firstLine="640" w:firstLineChars="200"/>
        <w:rPr>
          <w:rFonts w:eastAsia="方正仿宋_GBK"/>
          <w:sz w:val="32"/>
          <w:szCs w:val="32"/>
          <w:lang w:eastAsia="zh-CN"/>
        </w:rPr>
      </w:pPr>
      <w:r>
        <w:rPr>
          <w:rFonts w:hint="eastAsia" w:eastAsia="方正仿宋_GBK"/>
          <w:sz w:val="32"/>
          <w:szCs w:val="32"/>
          <w:lang w:eastAsia="zh-CN"/>
        </w:rPr>
        <w:t xml:space="preserve"> （一）负责本关贯彻落实党中央、国务院关于海关工作的方针政策和决策部署，在履行职责过程中坚持和加强党对海关工作的集中统一领导，履行全面从严治党责任。负责基层党组织建设和干部队伍建设。</w:t>
      </w:r>
    </w:p>
    <w:p w14:paraId="27F46EA2">
      <w:pPr>
        <w:widowControl/>
        <w:spacing w:line="560" w:lineRule="exact"/>
        <w:ind w:firstLine="640" w:firstLineChars="200"/>
        <w:rPr>
          <w:rFonts w:eastAsia="方正仿宋_GBK"/>
          <w:sz w:val="32"/>
          <w:szCs w:val="32"/>
          <w:lang w:eastAsia="zh-CN"/>
        </w:rPr>
      </w:pPr>
      <w:r>
        <w:rPr>
          <w:rFonts w:hint="eastAsia" w:eastAsia="方正仿宋_GBK"/>
          <w:sz w:val="32"/>
          <w:szCs w:val="32"/>
          <w:lang w:eastAsia="zh-CN"/>
        </w:rPr>
        <w:t>（二）履行通关监管、税收征管、打击走私、海关统计、进出境商品检验、动植物检疫、卫生检疫、原产地证书签证等职能，促进丽水市经济社会健康稳定发展。</w:t>
      </w:r>
    </w:p>
    <w:p w14:paraId="58FCEDD5">
      <w:pPr>
        <w:widowControl/>
        <w:spacing w:line="560" w:lineRule="exact"/>
        <w:ind w:firstLine="640" w:firstLineChars="200"/>
        <w:rPr>
          <w:rFonts w:eastAsia="方正仿宋_GBK"/>
          <w:sz w:val="32"/>
          <w:szCs w:val="32"/>
          <w:lang w:eastAsia="zh-CN"/>
        </w:rPr>
      </w:pPr>
      <w:r>
        <w:rPr>
          <w:rFonts w:hint="eastAsia" w:eastAsia="方正仿宋_GBK"/>
          <w:sz w:val="32"/>
          <w:szCs w:val="32"/>
          <w:lang w:eastAsia="zh-CN"/>
        </w:rPr>
        <w:t>（三）完成杭州海关交办的其他工作。</w:t>
      </w:r>
    </w:p>
    <w:p w14:paraId="58D66848">
      <w:pPr>
        <w:pStyle w:val="3"/>
        <w:spacing w:line="560" w:lineRule="exact"/>
        <w:ind w:left="0" w:firstLine="640" w:firstLineChars="200"/>
        <w:jc w:val="both"/>
        <w:rPr>
          <w:rFonts w:ascii="方正黑体_GBK" w:eastAsia="方正黑体_GBK" w:cs="方正黑体_GBK"/>
          <w:sz w:val="32"/>
          <w:szCs w:val="32"/>
          <w:lang w:eastAsia="zh-CN"/>
        </w:rPr>
      </w:pPr>
      <w:r>
        <w:rPr>
          <w:rFonts w:ascii="方正黑体_GBK" w:eastAsia="方正黑体_GBK" w:cs="方正黑体_GBK"/>
          <w:sz w:val="32"/>
          <w:szCs w:val="32"/>
          <w:lang w:eastAsia="zh-CN"/>
        </w:rPr>
        <w:t>二、机构设置</w:t>
      </w:r>
      <w:bookmarkEnd w:id="5"/>
    </w:p>
    <w:p w14:paraId="06C08A5F">
      <w:pPr>
        <w:autoSpaceDN w:val="0"/>
        <w:spacing w:line="560" w:lineRule="exact"/>
        <w:ind w:firstLine="640" w:firstLineChars="200"/>
        <w:rPr>
          <w:rFonts w:eastAsia="方正仿宋_GBK"/>
          <w:sz w:val="32"/>
          <w:szCs w:val="32"/>
          <w:lang w:eastAsia="zh-CN"/>
        </w:rPr>
      </w:pPr>
      <w:r>
        <w:rPr>
          <w:rFonts w:hint="eastAsia" w:eastAsia="方正仿宋_GBK"/>
          <w:sz w:val="32"/>
          <w:szCs w:val="32"/>
          <w:lang w:eastAsia="zh-CN"/>
        </w:rPr>
        <w:t>丽水海关内设机构：办公室（党委组织宣传部）、综合业务一科、综合业务二科、综合业务三科、查检一科、查检二科、查检三科、查检四科、企业管理和稽查科、科技科。</w:t>
      </w:r>
    </w:p>
    <w:p w14:paraId="2EC82446">
      <w:pPr>
        <w:pStyle w:val="13"/>
        <w:tabs>
          <w:tab w:val="left" w:pos="5591"/>
        </w:tabs>
        <w:spacing w:line="1200" w:lineRule="exact"/>
        <w:jc w:val="center"/>
        <w:outlineLvl w:val="9"/>
        <w:rPr>
          <w:lang w:eastAsia="zh-CN"/>
        </w:rPr>
      </w:pPr>
    </w:p>
    <w:p w14:paraId="09A9EC4E">
      <w:pPr>
        <w:pStyle w:val="13"/>
        <w:tabs>
          <w:tab w:val="left" w:pos="5591"/>
        </w:tabs>
        <w:spacing w:line="1200" w:lineRule="exact"/>
        <w:jc w:val="center"/>
        <w:outlineLvl w:val="9"/>
        <w:rPr>
          <w:lang w:eastAsia="zh-CN"/>
        </w:rPr>
      </w:pPr>
    </w:p>
    <w:p w14:paraId="4A1AD72D">
      <w:pPr>
        <w:pStyle w:val="13"/>
        <w:tabs>
          <w:tab w:val="left" w:pos="5591"/>
        </w:tabs>
        <w:spacing w:line="1200" w:lineRule="exact"/>
        <w:jc w:val="center"/>
        <w:outlineLvl w:val="9"/>
        <w:rPr>
          <w:lang w:eastAsia="zh-CN"/>
        </w:rPr>
      </w:pPr>
    </w:p>
    <w:p w14:paraId="516DEB33">
      <w:pPr>
        <w:pStyle w:val="13"/>
        <w:tabs>
          <w:tab w:val="left" w:pos="5591"/>
        </w:tabs>
        <w:spacing w:line="1200" w:lineRule="exact"/>
        <w:jc w:val="center"/>
        <w:outlineLvl w:val="9"/>
        <w:rPr>
          <w:lang w:eastAsia="zh-CN"/>
        </w:rPr>
      </w:pPr>
    </w:p>
    <w:p w14:paraId="6F116FB2">
      <w:pPr>
        <w:pStyle w:val="13"/>
        <w:tabs>
          <w:tab w:val="left" w:pos="5591"/>
        </w:tabs>
        <w:spacing w:line="1200" w:lineRule="exact"/>
        <w:jc w:val="center"/>
        <w:outlineLvl w:val="9"/>
        <w:rPr>
          <w:lang w:eastAsia="zh-CN"/>
        </w:rPr>
      </w:pPr>
    </w:p>
    <w:p w14:paraId="56AE83E1">
      <w:pPr>
        <w:pStyle w:val="13"/>
        <w:tabs>
          <w:tab w:val="left" w:pos="5591"/>
        </w:tabs>
        <w:spacing w:line="1200" w:lineRule="exact"/>
        <w:jc w:val="center"/>
        <w:outlineLvl w:val="9"/>
        <w:rPr>
          <w:lang w:eastAsia="zh-CN"/>
        </w:rPr>
      </w:pPr>
    </w:p>
    <w:p w14:paraId="0659E622">
      <w:pPr>
        <w:pStyle w:val="13"/>
        <w:tabs>
          <w:tab w:val="left" w:pos="5591"/>
        </w:tabs>
        <w:spacing w:line="1200" w:lineRule="exact"/>
        <w:jc w:val="center"/>
        <w:outlineLvl w:val="9"/>
        <w:rPr>
          <w:lang w:eastAsia="zh-CN"/>
        </w:rPr>
      </w:pPr>
    </w:p>
    <w:p w14:paraId="799FCC14">
      <w:pPr>
        <w:pStyle w:val="13"/>
        <w:tabs>
          <w:tab w:val="left" w:pos="5591"/>
        </w:tabs>
        <w:spacing w:line="1200" w:lineRule="exact"/>
        <w:jc w:val="center"/>
        <w:outlineLvl w:val="9"/>
        <w:rPr>
          <w:lang w:eastAsia="zh-CN"/>
        </w:rPr>
      </w:pPr>
    </w:p>
    <w:p w14:paraId="365076D0">
      <w:pPr>
        <w:pStyle w:val="13"/>
        <w:tabs>
          <w:tab w:val="left" w:pos="5591"/>
        </w:tabs>
        <w:spacing w:line="1200" w:lineRule="exact"/>
        <w:jc w:val="center"/>
        <w:outlineLvl w:val="0"/>
        <w:rPr>
          <w:lang w:eastAsia="zh-CN"/>
        </w:rPr>
      </w:pPr>
      <w:bookmarkStart w:id="6" w:name="_Toc20047"/>
      <w:r>
        <w:rPr>
          <w:rFonts w:hint="eastAsia"/>
          <w:lang w:eastAsia="zh-CN"/>
        </w:rPr>
        <w:t>第二部分</w:t>
      </w:r>
      <w:bookmarkEnd w:id="6"/>
    </w:p>
    <w:p w14:paraId="091D1DB7">
      <w:pPr>
        <w:pStyle w:val="13"/>
        <w:tabs>
          <w:tab w:val="left" w:pos="5591"/>
        </w:tabs>
        <w:spacing w:line="1200" w:lineRule="exact"/>
        <w:jc w:val="center"/>
        <w:rPr>
          <w:rFonts w:cs="黑体"/>
          <w:lang w:eastAsia="zh-CN"/>
        </w:rPr>
        <w:sectPr>
          <w:headerReference r:id="rId7" w:type="default"/>
          <w:footerReference r:id="rId8" w:type="default"/>
          <w:pgSz w:w="11920" w:h="16850"/>
          <w:pgMar w:top="1440" w:right="1757" w:bottom="1440" w:left="1757" w:header="0" w:footer="765" w:gutter="0"/>
          <w:cols w:space="720" w:num="1"/>
          <w:docGrid w:linePitch="312" w:charSpace="0"/>
        </w:sectPr>
      </w:pPr>
      <w:bookmarkStart w:id="7" w:name="_Toc154"/>
      <w:bookmarkStart w:id="8" w:name="_Toc10401"/>
      <w:bookmarkStart w:id="9" w:name="_Toc9774"/>
      <w:r>
        <w:rPr>
          <w:lang w:eastAsia="zh-CN"/>
        </w:rPr>
        <w:t>2025</w:t>
      </w:r>
      <w:r>
        <w:rPr>
          <w:rFonts w:hint="eastAsia"/>
          <w:lang w:eastAsia="zh-CN"/>
        </w:rPr>
        <w:t>年度部门决算表</w:t>
      </w:r>
      <w:bookmarkEnd w:id="7"/>
      <w:bookmarkEnd w:id="8"/>
      <w:bookmarkEnd w:id="9"/>
    </w:p>
    <w:p w14:paraId="01433734">
      <w:pPr>
        <w:pStyle w:val="14"/>
        <w:spacing w:line="560" w:lineRule="exact"/>
        <w:ind w:left="0"/>
        <w:jc w:val="both"/>
        <w:outlineLvl w:val="9"/>
        <w:rPr>
          <w:rFonts w:ascii="宋体" w:eastAsia="宋体" w:cs="宋体"/>
          <w:lang w:eastAsia="zh-CN"/>
        </w:rPr>
      </w:pPr>
    </w:p>
    <w:p w14:paraId="71E99729">
      <w:pPr>
        <w:pStyle w:val="14"/>
        <w:spacing w:line="560" w:lineRule="exact"/>
        <w:ind w:left="0"/>
        <w:jc w:val="both"/>
        <w:outlineLvl w:val="9"/>
        <w:rPr>
          <w:rFonts w:ascii="宋体" w:eastAsia="宋体" w:cs="宋体"/>
          <w:lang w:eastAsia="zh-CN"/>
        </w:rPr>
      </w:pPr>
    </w:p>
    <w:p w14:paraId="14DB8C01">
      <w:pPr>
        <w:pStyle w:val="14"/>
        <w:spacing w:line="560" w:lineRule="exact"/>
        <w:ind w:left="0"/>
        <w:jc w:val="both"/>
        <w:outlineLvl w:val="9"/>
        <w:rPr>
          <w:rFonts w:ascii="宋体" w:eastAsia="宋体" w:cs="宋体"/>
          <w:lang w:eastAsia="zh-CN"/>
        </w:rPr>
      </w:pPr>
    </w:p>
    <w:p w14:paraId="724EC02E">
      <w:pPr>
        <w:pStyle w:val="14"/>
        <w:spacing w:line="560" w:lineRule="exact"/>
        <w:ind w:left="0"/>
        <w:jc w:val="both"/>
        <w:outlineLvl w:val="9"/>
        <w:rPr>
          <w:rFonts w:ascii="宋体" w:eastAsia="宋体" w:cs="宋体"/>
          <w:lang w:eastAsia="zh-CN"/>
        </w:rPr>
      </w:pPr>
    </w:p>
    <w:p w14:paraId="22ED6415">
      <w:pPr>
        <w:pStyle w:val="14"/>
        <w:spacing w:line="560" w:lineRule="exact"/>
        <w:ind w:left="0"/>
        <w:jc w:val="both"/>
        <w:outlineLvl w:val="9"/>
        <w:rPr>
          <w:rFonts w:ascii="宋体" w:eastAsia="宋体" w:cs="宋体"/>
          <w:lang w:eastAsia="zh-CN"/>
        </w:rPr>
      </w:pPr>
    </w:p>
    <w:p w14:paraId="57610674">
      <w:pPr>
        <w:pStyle w:val="14"/>
        <w:spacing w:line="560" w:lineRule="exact"/>
        <w:ind w:left="0"/>
        <w:jc w:val="both"/>
        <w:outlineLvl w:val="9"/>
        <w:rPr>
          <w:rFonts w:ascii="宋体" w:eastAsia="宋体" w:cs="宋体"/>
          <w:lang w:eastAsia="zh-CN"/>
        </w:rPr>
      </w:pPr>
    </w:p>
    <w:p w14:paraId="21D35446">
      <w:pPr>
        <w:pStyle w:val="14"/>
        <w:spacing w:line="560" w:lineRule="exact"/>
        <w:ind w:left="0"/>
        <w:jc w:val="both"/>
        <w:outlineLvl w:val="9"/>
        <w:rPr>
          <w:rFonts w:ascii="宋体" w:eastAsia="宋体" w:cs="宋体"/>
          <w:lang w:eastAsia="zh-CN"/>
        </w:rPr>
      </w:pPr>
    </w:p>
    <w:p w14:paraId="34C30D9A">
      <w:pPr>
        <w:pStyle w:val="14"/>
        <w:spacing w:line="560" w:lineRule="exact"/>
        <w:ind w:left="0"/>
        <w:jc w:val="both"/>
        <w:outlineLvl w:val="9"/>
        <w:rPr>
          <w:rFonts w:ascii="宋体" w:eastAsia="宋体" w:cs="宋体"/>
          <w:lang w:eastAsia="zh-CN"/>
        </w:rPr>
      </w:pPr>
    </w:p>
    <w:p w14:paraId="70D668A9">
      <w:pPr>
        <w:pStyle w:val="14"/>
        <w:spacing w:line="560" w:lineRule="exact"/>
        <w:ind w:left="0"/>
        <w:jc w:val="both"/>
        <w:outlineLvl w:val="9"/>
        <w:rPr>
          <w:rFonts w:ascii="宋体" w:eastAsia="宋体" w:cs="宋体"/>
          <w:lang w:eastAsia="zh-CN"/>
        </w:rPr>
      </w:pPr>
    </w:p>
    <w:p w14:paraId="067E2CEB">
      <w:pPr>
        <w:pStyle w:val="14"/>
        <w:spacing w:line="560" w:lineRule="exact"/>
        <w:ind w:left="0"/>
        <w:jc w:val="both"/>
        <w:outlineLvl w:val="9"/>
        <w:rPr>
          <w:rFonts w:ascii="宋体" w:eastAsia="宋体" w:cs="宋体"/>
          <w:lang w:eastAsia="zh-CN"/>
        </w:rPr>
      </w:pPr>
    </w:p>
    <w:p w14:paraId="3C7E6FB5">
      <w:pPr>
        <w:pStyle w:val="14"/>
        <w:spacing w:line="560" w:lineRule="exact"/>
        <w:ind w:left="0"/>
        <w:jc w:val="both"/>
        <w:outlineLvl w:val="9"/>
        <w:rPr>
          <w:rFonts w:ascii="宋体" w:eastAsia="宋体" w:cs="宋体"/>
          <w:lang w:eastAsia="zh-CN"/>
        </w:rPr>
      </w:pPr>
    </w:p>
    <w:p w14:paraId="753F25B6">
      <w:pPr>
        <w:pStyle w:val="14"/>
        <w:spacing w:line="560" w:lineRule="exact"/>
        <w:ind w:left="0"/>
        <w:jc w:val="both"/>
        <w:outlineLvl w:val="9"/>
        <w:rPr>
          <w:rFonts w:ascii="宋体" w:eastAsia="宋体" w:cs="宋体"/>
          <w:lang w:eastAsia="zh-CN"/>
        </w:rPr>
        <w:sectPr>
          <w:footerReference r:id="rId9" w:type="default"/>
          <w:type w:val="continuous"/>
          <w:pgSz w:w="11920" w:h="16850"/>
          <w:pgMar w:top="1440" w:right="1757" w:bottom="1440" w:left="1757" w:header="0" w:footer="765" w:gutter="0"/>
          <w:cols w:space="720" w:num="1"/>
          <w:docGrid w:linePitch="312" w:charSpace="0"/>
        </w:sectPr>
      </w:pPr>
    </w:p>
    <w:p w14:paraId="3EC7EEE4">
      <w:pPr>
        <w:pStyle w:val="14"/>
        <w:ind w:left="0"/>
        <w:jc w:val="both"/>
        <w:outlineLvl w:val="9"/>
        <w:rPr>
          <w:rFonts w:ascii="宋体" w:eastAsia="宋体" w:cs="宋体"/>
          <w:lang w:eastAsia="zh-CN"/>
        </w:rPr>
      </w:pPr>
      <w:r>
        <w:rPr>
          <w:rFonts w:ascii="宋体" w:eastAsia="宋体" w:cs="宋体"/>
          <w:lang w:eastAsia="zh-CN"/>
        </w:rPr>
        <w:drawing>
          <wp:inline distT="0" distB="0" distL="114300" distR="114300">
            <wp:extent cx="8873490" cy="5332095"/>
            <wp:effectExtent l="0" t="0" r="3810" b="1905"/>
            <wp:docPr id="26" name="图片 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
                    <pic:cNvPicPr>
                      <a:picLocks noChangeAspect="1"/>
                    </pic:cNvPicPr>
                  </pic:nvPicPr>
                  <pic:blipFill>
                    <a:blip r:embed="rId20" cstate="print"/>
                    <a:stretch>
                      <a:fillRect/>
                    </a:stretch>
                  </pic:blipFill>
                  <pic:spPr>
                    <a:xfrm>
                      <a:off x="0" y="0"/>
                      <a:ext cx="8873490" cy="5332095"/>
                    </a:xfrm>
                    <a:prstGeom prst="rect">
                      <a:avLst/>
                    </a:prstGeom>
                  </pic:spPr>
                </pic:pic>
              </a:graphicData>
            </a:graphic>
          </wp:inline>
        </w:drawing>
      </w:r>
    </w:p>
    <w:p w14:paraId="491890E7">
      <w:pPr>
        <w:pStyle w:val="14"/>
        <w:ind w:left="0"/>
        <w:jc w:val="both"/>
        <w:outlineLvl w:val="9"/>
        <w:rPr>
          <w:rFonts w:ascii="宋体" w:eastAsia="宋体" w:cs="宋体"/>
          <w:lang w:eastAsia="zh-CN"/>
        </w:rPr>
      </w:pPr>
      <w:r>
        <w:rPr>
          <w:rFonts w:ascii="宋体" w:eastAsia="宋体" w:cs="宋体"/>
          <w:lang w:eastAsia="zh-CN"/>
        </w:rPr>
        <w:drawing>
          <wp:inline distT="0" distB="0" distL="114300" distR="114300">
            <wp:extent cx="8863965" cy="5335905"/>
            <wp:effectExtent l="0" t="0" r="13335" b="17145"/>
            <wp:docPr id="27" name="图片 2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
                    <pic:cNvPicPr>
                      <a:picLocks noChangeAspect="1"/>
                    </pic:cNvPicPr>
                  </pic:nvPicPr>
                  <pic:blipFill>
                    <a:blip r:embed="rId21" cstate="print"/>
                    <a:stretch>
                      <a:fillRect/>
                    </a:stretch>
                  </pic:blipFill>
                  <pic:spPr>
                    <a:xfrm>
                      <a:off x="0" y="0"/>
                      <a:ext cx="8863965" cy="5335905"/>
                    </a:xfrm>
                    <a:prstGeom prst="rect">
                      <a:avLst/>
                    </a:prstGeom>
                  </pic:spPr>
                </pic:pic>
              </a:graphicData>
            </a:graphic>
          </wp:inline>
        </w:drawing>
      </w:r>
    </w:p>
    <w:p w14:paraId="15F1B26B">
      <w:pPr>
        <w:pStyle w:val="14"/>
        <w:ind w:left="0"/>
        <w:jc w:val="both"/>
        <w:outlineLvl w:val="9"/>
      </w:pPr>
      <w:r>
        <w:rPr>
          <w:lang w:eastAsia="zh-CN"/>
        </w:rPr>
        <w:drawing>
          <wp:inline distT="0" distB="0" distL="114300" distR="114300">
            <wp:extent cx="8864600" cy="5412105"/>
            <wp:effectExtent l="0" t="0" r="12700" b="17145"/>
            <wp:docPr id="28" name="图片 2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
                    <pic:cNvPicPr>
                      <a:picLocks noChangeAspect="1"/>
                    </pic:cNvPicPr>
                  </pic:nvPicPr>
                  <pic:blipFill>
                    <a:blip r:embed="rId22" cstate="print"/>
                    <a:stretch>
                      <a:fillRect/>
                    </a:stretch>
                  </pic:blipFill>
                  <pic:spPr>
                    <a:xfrm>
                      <a:off x="0" y="0"/>
                      <a:ext cx="8864600" cy="5412105"/>
                    </a:xfrm>
                    <a:prstGeom prst="rect">
                      <a:avLst/>
                    </a:prstGeom>
                  </pic:spPr>
                </pic:pic>
              </a:graphicData>
            </a:graphic>
          </wp:inline>
        </w:drawing>
      </w:r>
    </w:p>
    <w:p w14:paraId="2277FF32">
      <w:pPr>
        <w:pStyle w:val="14"/>
        <w:ind w:left="0"/>
        <w:jc w:val="both"/>
        <w:outlineLvl w:val="9"/>
        <w:rPr>
          <w:rFonts w:ascii="宋体" w:eastAsia="宋体" w:cs="宋体"/>
          <w:lang w:eastAsia="zh-CN"/>
        </w:rPr>
      </w:pPr>
      <w:r>
        <w:rPr>
          <w:rFonts w:ascii="宋体" w:eastAsia="宋体" w:cs="宋体"/>
          <w:lang w:eastAsia="zh-CN"/>
        </w:rPr>
        <w:drawing>
          <wp:inline distT="0" distB="0" distL="114300" distR="114300">
            <wp:extent cx="8864600" cy="5377815"/>
            <wp:effectExtent l="0" t="0" r="12700" b="13335"/>
            <wp:docPr id="29" name="图片 2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4"/>
                    <pic:cNvPicPr>
                      <a:picLocks noChangeAspect="1"/>
                    </pic:cNvPicPr>
                  </pic:nvPicPr>
                  <pic:blipFill>
                    <a:blip r:embed="rId23" cstate="print"/>
                    <a:stretch>
                      <a:fillRect/>
                    </a:stretch>
                  </pic:blipFill>
                  <pic:spPr>
                    <a:xfrm>
                      <a:off x="0" y="0"/>
                      <a:ext cx="8864600" cy="5377815"/>
                    </a:xfrm>
                    <a:prstGeom prst="rect">
                      <a:avLst/>
                    </a:prstGeom>
                  </pic:spPr>
                </pic:pic>
              </a:graphicData>
            </a:graphic>
          </wp:inline>
        </w:drawing>
      </w:r>
    </w:p>
    <w:p w14:paraId="2B346841">
      <w:pPr>
        <w:pStyle w:val="14"/>
        <w:ind w:left="0"/>
        <w:jc w:val="both"/>
        <w:outlineLvl w:val="9"/>
        <w:rPr>
          <w:rFonts w:ascii="宋体" w:eastAsia="宋体" w:cs="宋体"/>
          <w:lang w:eastAsia="zh-CN"/>
        </w:rPr>
      </w:pPr>
      <w:r>
        <w:rPr>
          <w:rFonts w:ascii="宋体" w:eastAsia="宋体" w:cs="宋体"/>
          <w:lang w:eastAsia="zh-CN"/>
        </w:rPr>
        <w:drawing>
          <wp:inline distT="0" distB="0" distL="114300" distR="114300">
            <wp:extent cx="8081010" cy="5330190"/>
            <wp:effectExtent l="0" t="0" r="15240" b="3810"/>
            <wp:docPr id="30" name="图片 3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
                    <pic:cNvPicPr>
                      <a:picLocks noChangeAspect="1"/>
                    </pic:cNvPicPr>
                  </pic:nvPicPr>
                  <pic:blipFill>
                    <a:blip r:embed="rId24" cstate="print"/>
                    <a:stretch>
                      <a:fillRect/>
                    </a:stretch>
                  </pic:blipFill>
                  <pic:spPr>
                    <a:xfrm>
                      <a:off x="0" y="0"/>
                      <a:ext cx="8081010" cy="5330190"/>
                    </a:xfrm>
                    <a:prstGeom prst="rect">
                      <a:avLst/>
                    </a:prstGeom>
                  </pic:spPr>
                </pic:pic>
              </a:graphicData>
            </a:graphic>
          </wp:inline>
        </w:drawing>
      </w:r>
    </w:p>
    <w:p w14:paraId="74FC4DB1">
      <w:pPr>
        <w:pStyle w:val="13"/>
        <w:tabs>
          <w:tab w:val="left" w:pos="5591"/>
        </w:tabs>
        <w:ind w:left="0"/>
        <w:outlineLvl w:val="0"/>
      </w:pPr>
      <w:bookmarkStart w:id="10" w:name="_Toc1088"/>
      <w:bookmarkStart w:id="11" w:name="_Toc25254"/>
      <w:r>
        <w:rPr>
          <w:lang w:eastAsia="zh-CN"/>
        </w:rPr>
        <w:drawing>
          <wp:inline distT="0" distB="0" distL="114300" distR="114300">
            <wp:extent cx="8870315" cy="5321300"/>
            <wp:effectExtent l="0" t="0" r="6985" b="12700"/>
            <wp:docPr id="31" name="图片 3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6"/>
                    <pic:cNvPicPr>
                      <a:picLocks noChangeAspect="1"/>
                    </pic:cNvPicPr>
                  </pic:nvPicPr>
                  <pic:blipFill>
                    <a:blip r:embed="rId25" cstate="print"/>
                    <a:stretch>
                      <a:fillRect/>
                    </a:stretch>
                  </pic:blipFill>
                  <pic:spPr>
                    <a:xfrm>
                      <a:off x="0" y="0"/>
                      <a:ext cx="8870315" cy="5321300"/>
                    </a:xfrm>
                    <a:prstGeom prst="rect">
                      <a:avLst/>
                    </a:prstGeom>
                  </pic:spPr>
                </pic:pic>
              </a:graphicData>
            </a:graphic>
          </wp:inline>
        </w:drawing>
      </w:r>
    </w:p>
    <w:p w14:paraId="6F58F33B">
      <w:pPr>
        <w:pStyle w:val="13"/>
        <w:tabs>
          <w:tab w:val="left" w:pos="5591"/>
        </w:tabs>
        <w:ind w:left="0"/>
        <w:outlineLvl w:val="0"/>
      </w:pPr>
      <w:r>
        <w:rPr>
          <w:lang w:eastAsia="zh-CN"/>
        </w:rPr>
        <w:drawing>
          <wp:inline distT="0" distB="0" distL="114300" distR="114300">
            <wp:extent cx="8867775" cy="2399665"/>
            <wp:effectExtent l="0" t="0" r="9525" b="635"/>
            <wp:docPr id="32" name="图片 3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
                    <pic:cNvPicPr>
                      <a:picLocks noChangeAspect="1"/>
                    </pic:cNvPicPr>
                  </pic:nvPicPr>
                  <pic:blipFill>
                    <a:blip r:embed="rId26" cstate="print"/>
                    <a:stretch>
                      <a:fillRect/>
                    </a:stretch>
                  </pic:blipFill>
                  <pic:spPr>
                    <a:xfrm>
                      <a:off x="0" y="0"/>
                      <a:ext cx="8867775" cy="2399665"/>
                    </a:xfrm>
                    <a:prstGeom prst="rect">
                      <a:avLst/>
                    </a:prstGeom>
                  </pic:spPr>
                </pic:pic>
              </a:graphicData>
            </a:graphic>
          </wp:inline>
        </w:drawing>
      </w:r>
    </w:p>
    <w:p w14:paraId="140BC490">
      <w:pPr>
        <w:pStyle w:val="13"/>
        <w:tabs>
          <w:tab w:val="left" w:pos="5591"/>
        </w:tabs>
        <w:ind w:left="0"/>
        <w:outlineLvl w:val="0"/>
      </w:pPr>
    </w:p>
    <w:p w14:paraId="0E1D34EF">
      <w:pPr>
        <w:pStyle w:val="13"/>
        <w:tabs>
          <w:tab w:val="left" w:pos="5591"/>
        </w:tabs>
        <w:ind w:left="0"/>
        <w:outlineLvl w:val="0"/>
      </w:pPr>
    </w:p>
    <w:p w14:paraId="77B7FAE9">
      <w:pPr>
        <w:pStyle w:val="13"/>
        <w:tabs>
          <w:tab w:val="left" w:pos="5591"/>
        </w:tabs>
        <w:ind w:left="0"/>
        <w:outlineLvl w:val="0"/>
      </w:pPr>
    </w:p>
    <w:p w14:paraId="62F39180">
      <w:pPr>
        <w:pStyle w:val="13"/>
        <w:tabs>
          <w:tab w:val="left" w:pos="5591"/>
        </w:tabs>
        <w:ind w:left="0"/>
        <w:outlineLvl w:val="0"/>
      </w:pPr>
    </w:p>
    <w:p w14:paraId="15438831">
      <w:pPr>
        <w:pStyle w:val="13"/>
        <w:tabs>
          <w:tab w:val="left" w:pos="5591"/>
        </w:tabs>
        <w:ind w:left="0"/>
        <w:outlineLvl w:val="0"/>
      </w:pPr>
      <w:r>
        <w:rPr>
          <w:lang w:eastAsia="zh-CN"/>
        </w:rPr>
        <w:drawing>
          <wp:inline distT="0" distB="0" distL="114300" distR="114300">
            <wp:extent cx="8869680" cy="2581910"/>
            <wp:effectExtent l="0" t="0" r="7620" b="8890"/>
            <wp:docPr id="33" name="图片 3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8"/>
                    <pic:cNvPicPr>
                      <a:picLocks noChangeAspect="1"/>
                    </pic:cNvPicPr>
                  </pic:nvPicPr>
                  <pic:blipFill>
                    <a:blip r:embed="rId27" cstate="print"/>
                    <a:stretch>
                      <a:fillRect/>
                    </a:stretch>
                  </pic:blipFill>
                  <pic:spPr>
                    <a:xfrm>
                      <a:off x="0" y="0"/>
                      <a:ext cx="8869680" cy="2581910"/>
                    </a:xfrm>
                    <a:prstGeom prst="rect">
                      <a:avLst/>
                    </a:prstGeom>
                  </pic:spPr>
                </pic:pic>
              </a:graphicData>
            </a:graphic>
          </wp:inline>
        </w:drawing>
      </w:r>
    </w:p>
    <w:p w14:paraId="21EF2FC4">
      <w:pPr>
        <w:pStyle w:val="13"/>
        <w:tabs>
          <w:tab w:val="left" w:pos="5591"/>
        </w:tabs>
        <w:ind w:left="0"/>
        <w:outlineLvl w:val="0"/>
      </w:pPr>
    </w:p>
    <w:p w14:paraId="1C822AA1">
      <w:pPr>
        <w:pStyle w:val="13"/>
        <w:tabs>
          <w:tab w:val="left" w:pos="5591"/>
        </w:tabs>
        <w:ind w:left="0"/>
        <w:outlineLvl w:val="0"/>
      </w:pPr>
    </w:p>
    <w:p w14:paraId="77FE9838">
      <w:pPr>
        <w:pStyle w:val="13"/>
        <w:tabs>
          <w:tab w:val="left" w:pos="5591"/>
        </w:tabs>
        <w:ind w:left="0"/>
        <w:outlineLvl w:val="0"/>
      </w:pPr>
    </w:p>
    <w:p w14:paraId="66DC0879">
      <w:pPr>
        <w:pStyle w:val="13"/>
        <w:tabs>
          <w:tab w:val="left" w:pos="5591"/>
        </w:tabs>
        <w:ind w:left="0"/>
        <w:outlineLvl w:val="0"/>
      </w:pPr>
    </w:p>
    <w:p w14:paraId="24F45C1F">
      <w:pPr>
        <w:pStyle w:val="13"/>
        <w:tabs>
          <w:tab w:val="left" w:pos="5591"/>
        </w:tabs>
        <w:ind w:left="0"/>
        <w:outlineLvl w:val="0"/>
      </w:pPr>
      <w:r>
        <w:rPr>
          <w:lang w:eastAsia="zh-CN"/>
        </w:rPr>
        <w:drawing>
          <wp:inline distT="0" distB="0" distL="114300" distR="114300">
            <wp:extent cx="8853805" cy="2169160"/>
            <wp:effectExtent l="0" t="0" r="4445" b="2540"/>
            <wp:docPr id="34" name="图片 3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9"/>
                    <pic:cNvPicPr>
                      <a:picLocks noChangeAspect="1"/>
                    </pic:cNvPicPr>
                  </pic:nvPicPr>
                  <pic:blipFill>
                    <a:blip r:embed="rId28" cstate="print"/>
                    <a:stretch>
                      <a:fillRect/>
                    </a:stretch>
                  </pic:blipFill>
                  <pic:spPr>
                    <a:xfrm>
                      <a:off x="0" y="0"/>
                      <a:ext cx="8853805" cy="2169160"/>
                    </a:xfrm>
                    <a:prstGeom prst="rect">
                      <a:avLst/>
                    </a:prstGeom>
                  </pic:spPr>
                </pic:pic>
              </a:graphicData>
            </a:graphic>
          </wp:inline>
        </w:drawing>
      </w:r>
    </w:p>
    <w:p w14:paraId="4F49C0CC">
      <w:pPr>
        <w:pStyle w:val="13"/>
        <w:tabs>
          <w:tab w:val="left" w:pos="5591"/>
        </w:tabs>
        <w:ind w:left="0"/>
        <w:outlineLvl w:val="0"/>
      </w:pPr>
    </w:p>
    <w:p w14:paraId="4D8FC47E">
      <w:pPr>
        <w:pStyle w:val="13"/>
        <w:tabs>
          <w:tab w:val="left" w:pos="5591"/>
        </w:tabs>
        <w:ind w:left="0"/>
        <w:outlineLvl w:val="0"/>
      </w:pPr>
    </w:p>
    <w:p w14:paraId="2AFD691F">
      <w:pPr>
        <w:pStyle w:val="13"/>
        <w:tabs>
          <w:tab w:val="left" w:pos="5591"/>
        </w:tabs>
        <w:ind w:left="0"/>
        <w:outlineLvl w:val="0"/>
      </w:pPr>
    </w:p>
    <w:p w14:paraId="04A65B61">
      <w:pPr>
        <w:pStyle w:val="13"/>
        <w:tabs>
          <w:tab w:val="left" w:pos="5591"/>
        </w:tabs>
        <w:ind w:left="0"/>
        <w:outlineLvl w:val="0"/>
      </w:pPr>
    </w:p>
    <w:p w14:paraId="0DAB7A5E">
      <w:pPr>
        <w:pStyle w:val="13"/>
        <w:tabs>
          <w:tab w:val="left" w:pos="5591"/>
        </w:tabs>
        <w:ind w:left="0"/>
        <w:outlineLvl w:val="0"/>
      </w:pPr>
    </w:p>
    <w:p w14:paraId="685C6989">
      <w:pPr>
        <w:pStyle w:val="13"/>
        <w:tabs>
          <w:tab w:val="left" w:pos="5591"/>
        </w:tabs>
        <w:spacing w:line="1200" w:lineRule="exact"/>
        <w:ind w:left="1102" w:leftChars="501" w:firstLine="1800" w:firstLineChars="250"/>
        <w:outlineLvl w:val="0"/>
        <w:rPr>
          <w:lang w:eastAsia="zh-CN"/>
        </w:rPr>
        <w:sectPr>
          <w:pgSz w:w="16850" w:h="11920" w:orient="landscape"/>
          <w:pgMar w:top="1758" w:right="1440" w:bottom="1758" w:left="1440" w:header="0" w:footer="765" w:gutter="0"/>
          <w:cols w:space="720" w:num="1"/>
          <w:docGrid w:linePitch="312" w:charSpace="0"/>
        </w:sectPr>
      </w:pPr>
    </w:p>
    <w:p w14:paraId="30937BCF">
      <w:pPr>
        <w:pStyle w:val="13"/>
        <w:tabs>
          <w:tab w:val="left" w:pos="5591"/>
        </w:tabs>
        <w:spacing w:line="1200" w:lineRule="exact"/>
        <w:ind w:left="1102" w:leftChars="501" w:firstLine="1800" w:firstLineChars="250"/>
        <w:outlineLvl w:val="0"/>
        <w:rPr>
          <w:lang w:eastAsia="zh-CN"/>
        </w:rPr>
      </w:pPr>
    </w:p>
    <w:p w14:paraId="6B51118A">
      <w:pPr>
        <w:pStyle w:val="13"/>
        <w:tabs>
          <w:tab w:val="left" w:pos="5591"/>
        </w:tabs>
        <w:spacing w:line="1200" w:lineRule="exact"/>
        <w:ind w:left="1102" w:leftChars="501" w:firstLine="1800" w:firstLineChars="250"/>
        <w:outlineLvl w:val="0"/>
        <w:rPr>
          <w:lang w:eastAsia="zh-CN"/>
        </w:rPr>
      </w:pPr>
    </w:p>
    <w:p w14:paraId="228F4A58">
      <w:pPr>
        <w:pStyle w:val="13"/>
        <w:tabs>
          <w:tab w:val="left" w:pos="5591"/>
        </w:tabs>
        <w:spacing w:line="1200" w:lineRule="exact"/>
        <w:ind w:left="1102" w:leftChars="501" w:firstLine="1800" w:firstLineChars="250"/>
        <w:outlineLvl w:val="0"/>
        <w:rPr>
          <w:lang w:eastAsia="zh-CN"/>
        </w:rPr>
      </w:pPr>
    </w:p>
    <w:p w14:paraId="06132D1E">
      <w:pPr>
        <w:pStyle w:val="13"/>
        <w:tabs>
          <w:tab w:val="left" w:pos="5591"/>
        </w:tabs>
        <w:spacing w:line="1200" w:lineRule="exact"/>
        <w:ind w:left="1102" w:leftChars="501" w:firstLine="1800" w:firstLineChars="250"/>
        <w:outlineLvl w:val="0"/>
        <w:rPr>
          <w:lang w:eastAsia="zh-CN"/>
        </w:rPr>
      </w:pPr>
    </w:p>
    <w:p w14:paraId="6E9FC890">
      <w:pPr>
        <w:pStyle w:val="13"/>
        <w:tabs>
          <w:tab w:val="left" w:pos="5591"/>
        </w:tabs>
        <w:spacing w:line="1200" w:lineRule="exact"/>
        <w:ind w:left="0"/>
        <w:jc w:val="center"/>
        <w:outlineLvl w:val="0"/>
        <w:rPr>
          <w:lang w:eastAsia="zh-CN"/>
        </w:rPr>
      </w:pPr>
      <w:r>
        <w:rPr>
          <w:rFonts w:hint="eastAsia"/>
          <w:lang w:eastAsia="zh-CN"/>
        </w:rPr>
        <w:t>第三部分</w:t>
      </w:r>
      <w:bookmarkEnd w:id="10"/>
      <w:bookmarkEnd w:id="11"/>
    </w:p>
    <w:p w14:paraId="271CBB50">
      <w:pPr>
        <w:pStyle w:val="13"/>
        <w:tabs>
          <w:tab w:val="left" w:pos="5591"/>
        </w:tabs>
        <w:spacing w:line="1200" w:lineRule="exact"/>
        <w:ind w:left="0"/>
        <w:jc w:val="center"/>
        <w:rPr>
          <w:lang w:eastAsia="zh-CN"/>
        </w:rPr>
      </w:pPr>
      <w:bookmarkStart w:id="12" w:name="_Toc23340"/>
      <w:bookmarkStart w:id="13" w:name="_Toc7147"/>
      <w:bookmarkStart w:id="14" w:name="_Toc2047"/>
      <w:r>
        <w:rPr>
          <w:lang w:eastAsia="zh-CN"/>
        </w:rPr>
        <w:t>2025</w:t>
      </w:r>
      <w:r>
        <w:rPr>
          <w:rFonts w:hint="eastAsia"/>
          <w:lang w:eastAsia="zh-CN"/>
        </w:rPr>
        <w:t>年度部门决算情况</w:t>
      </w:r>
      <w:bookmarkEnd w:id="12"/>
      <w:bookmarkEnd w:id="13"/>
      <w:bookmarkEnd w:id="14"/>
    </w:p>
    <w:p w14:paraId="1054A3E7">
      <w:pPr>
        <w:pStyle w:val="13"/>
        <w:tabs>
          <w:tab w:val="left" w:pos="5591"/>
        </w:tabs>
        <w:spacing w:line="1200" w:lineRule="exact"/>
        <w:ind w:left="0"/>
        <w:jc w:val="center"/>
        <w:rPr>
          <w:lang w:eastAsia="zh-CN"/>
        </w:rPr>
      </w:pPr>
      <w:bookmarkStart w:id="15" w:name="_Toc25238"/>
      <w:bookmarkStart w:id="16" w:name="_Toc22842"/>
      <w:bookmarkStart w:id="17" w:name="_Toc13135"/>
      <w:r>
        <w:rPr>
          <w:rFonts w:hint="eastAsia"/>
          <w:lang w:eastAsia="zh-CN"/>
        </w:rPr>
        <w:t>说明</w:t>
      </w:r>
      <w:bookmarkEnd w:id="15"/>
      <w:bookmarkEnd w:id="16"/>
      <w:bookmarkEnd w:id="17"/>
    </w:p>
    <w:p w14:paraId="780C795B">
      <w:pPr>
        <w:spacing w:line="560" w:lineRule="exact"/>
        <w:ind w:firstLine="1440" w:firstLineChars="200"/>
        <w:jc w:val="center"/>
        <w:rPr>
          <w:rFonts w:ascii="黑体" w:eastAsia="黑体" w:cs="黑体"/>
          <w:sz w:val="72"/>
          <w:szCs w:val="72"/>
          <w:lang w:eastAsia="zh-CN"/>
        </w:rPr>
      </w:pPr>
    </w:p>
    <w:p w14:paraId="2CE67810">
      <w:pPr>
        <w:rPr>
          <w:rFonts w:ascii="黑体" w:eastAsia="黑体" w:cs="黑体"/>
          <w:sz w:val="72"/>
          <w:szCs w:val="72"/>
          <w:lang w:eastAsia="zh-CN"/>
        </w:rPr>
      </w:pPr>
    </w:p>
    <w:p w14:paraId="701E77D3">
      <w:pPr>
        <w:rPr>
          <w:rFonts w:ascii="黑体" w:eastAsia="黑体" w:cs="黑体"/>
          <w:sz w:val="72"/>
          <w:szCs w:val="72"/>
          <w:lang w:eastAsia="zh-CN"/>
        </w:rPr>
      </w:pPr>
    </w:p>
    <w:p w14:paraId="654A0563">
      <w:pPr>
        <w:rPr>
          <w:rFonts w:ascii="黑体" w:eastAsia="黑体" w:cs="黑体"/>
          <w:sz w:val="72"/>
          <w:szCs w:val="72"/>
          <w:lang w:eastAsia="zh-CN"/>
        </w:rPr>
      </w:pPr>
    </w:p>
    <w:p w14:paraId="2C4C0D15">
      <w:pPr>
        <w:rPr>
          <w:rFonts w:ascii="黑体" w:eastAsia="黑体" w:cs="黑体"/>
          <w:sz w:val="72"/>
          <w:szCs w:val="72"/>
          <w:lang w:eastAsia="zh-CN"/>
        </w:rPr>
      </w:pPr>
    </w:p>
    <w:p w14:paraId="2F1AABC7">
      <w:pPr>
        <w:rPr>
          <w:rFonts w:ascii="黑体" w:eastAsia="黑体" w:cs="黑体"/>
          <w:sz w:val="72"/>
          <w:szCs w:val="72"/>
          <w:lang w:eastAsia="zh-CN"/>
        </w:rPr>
      </w:pPr>
      <w:r>
        <w:rPr>
          <w:rFonts w:ascii="方正仿宋_GBK" w:eastAsia="方正仿宋_GBK" w:cs="方正仿宋_GBK"/>
          <w:sz w:val="20"/>
          <w:szCs w:val="20"/>
          <w:lang w:eastAsia="zh-CN"/>
        </w:rPr>
        <w:drawing>
          <wp:anchor distT="0" distB="0" distL="114300" distR="114300" simplePos="0" relativeHeight="251662336" behindDoc="0" locked="0" layoutInCell="1" allowOverlap="1">
            <wp:simplePos x="0" y="0"/>
            <wp:positionH relativeFrom="column">
              <wp:posOffset>71755</wp:posOffset>
            </wp:positionH>
            <wp:positionV relativeFrom="paragraph">
              <wp:posOffset>3558540</wp:posOffset>
            </wp:positionV>
            <wp:extent cx="5256530" cy="2988310"/>
            <wp:effectExtent l="5080" t="4445" r="15240" b="17145"/>
            <wp:wrapSquare wrapText="bothSides"/>
            <wp:docPr id="143" name="图表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3FCE635D">
      <w:pPr>
        <w:pStyle w:val="3"/>
        <w:spacing w:line="560" w:lineRule="exact"/>
        <w:ind w:left="0"/>
        <w:jc w:val="both"/>
        <w:outlineLvl w:val="1"/>
        <w:rPr>
          <w:rFonts w:ascii="方正黑体_GBK" w:eastAsia="方正黑体_GBK" w:cs="方正黑体_GBK"/>
          <w:sz w:val="32"/>
          <w:szCs w:val="32"/>
          <w:lang w:eastAsia="zh-CN"/>
        </w:rPr>
      </w:pPr>
      <w:bookmarkStart w:id="18" w:name="_Toc16185"/>
      <w:r>
        <w:rPr>
          <w:rFonts w:hint="eastAsia" w:ascii="方正黑体_GBK" w:eastAsia="方正黑体_GBK" w:cs="方正黑体_GBK"/>
          <w:sz w:val="32"/>
          <w:szCs w:val="32"/>
          <w:lang w:eastAsia="zh-CN"/>
        </w:rPr>
        <w:t xml:space="preserve">       </w:t>
      </w:r>
      <w:r>
        <w:rPr>
          <w:rFonts w:ascii="方正黑体_GBK" w:eastAsia="方正黑体_GBK" w:cs="方正黑体_GBK"/>
          <w:sz w:val="32"/>
          <w:szCs w:val="32"/>
          <w:lang w:eastAsia="zh-CN"/>
        </w:rPr>
        <w:t>一、收入支出决算总体情况说明</w:t>
      </w:r>
      <w:bookmarkEnd w:id="18"/>
    </w:p>
    <w:p w14:paraId="79D9F48B">
      <w:pPr>
        <w:pStyle w:val="3"/>
        <w:spacing w:line="560" w:lineRule="exact"/>
        <w:ind w:left="0" w:firstLine="640" w:firstLineChars="200"/>
        <w:jc w:val="both"/>
        <w:rPr>
          <w:rFonts w:ascii="Times New Roman" w:cs="Times New Roman"/>
          <w:sz w:val="32"/>
          <w:szCs w:val="32"/>
          <w:lang w:eastAsia="zh-CN"/>
        </w:rPr>
      </w:pPr>
      <w:r>
        <w:rPr>
          <w:rFonts w:ascii="Times New Roman" w:eastAsia="Times New Roman" w:cs="Times New Roman"/>
          <w:sz w:val="32"/>
          <w:szCs w:val="32"/>
          <w:lang w:eastAsia="zh-CN"/>
        </w:rPr>
        <w:t>2025</w:t>
      </w:r>
      <w:r>
        <w:rPr>
          <w:rFonts w:ascii="Times New Roman" w:cs="Times New Roman"/>
          <w:sz w:val="32"/>
          <w:szCs w:val="32"/>
          <w:lang w:eastAsia="zh-CN"/>
        </w:rPr>
        <w:t>年度收、支总计3,826.20万元。与</w:t>
      </w:r>
      <w:r>
        <w:rPr>
          <w:rFonts w:ascii="Times New Roman" w:eastAsia="Times New Roman" w:cs="Times New Roman"/>
          <w:sz w:val="32"/>
          <w:szCs w:val="32"/>
          <w:lang w:eastAsia="zh-CN"/>
        </w:rPr>
        <w:t>202</w:t>
      </w:r>
      <w:r>
        <w:rPr>
          <w:rFonts w:ascii="Times New Roman" w:eastAsia="宋体" w:cs="Times New Roman"/>
          <w:sz w:val="32"/>
          <w:szCs w:val="32"/>
          <w:lang w:eastAsia="zh-CN"/>
        </w:rPr>
        <w:t>4</w:t>
      </w:r>
      <w:r>
        <w:rPr>
          <w:rFonts w:ascii="Times New Roman" w:cs="Times New Roman"/>
          <w:sz w:val="32"/>
          <w:szCs w:val="32"/>
          <w:lang w:eastAsia="zh-CN"/>
        </w:rPr>
        <w:t>年度相比，收、</w:t>
      </w:r>
      <w:r>
        <w:rPr>
          <w:rFonts w:ascii="Times New Roman" w:cs="Times New Roman"/>
          <w:spacing w:val="3"/>
          <w:sz w:val="32"/>
          <w:szCs w:val="32"/>
          <w:lang w:eastAsia="zh-CN"/>
        </w:rPr>
        <w:t>支总计各</w:t>
      </w:r>
      <w:r>
        <w:rPr>
          <w:rFonts w:hint="eastAsia" w:ascii="Times New Roman" w:cs="Times New Roman"/>
          <w:spacing w:val="3"/>
          <w:sz w:val="32"/>
          <w:szCs w:val="32"/>
          <w:lang w:eastAsia="zh-CN"/>
        </w:rPr>
        <w:t>减少</w:t>
      </w:r>
      <w:r>
        <w:rPr>
          <w:rFonts w:ascii="Times New Roman" w:eastAsia="宋体" w:cs="Times New Roman"/>
          <w:sz w:val="32"/>
          <w:szCs w:val="32"/>
          <w:lang w:eastAsia="zh-CN"/>
        </w:rPr>
        <w:t>23.06</w:t>
      </w:r>
      <w:r>
        <w:rPr>
          <w:rFonts w:ascii="Times New Roman" w:cs="Times New Roman"/>
          <w:spacing w:val="3"/>
          <w:sz w:val="32"/>
          <w:szCs w:val="32"/>
          <w:lang w:eastAsia="zh-CN"/>
        </w:rPr>
        <w:t>万元，</w:t>
      </w:r>
      <w:r>
        <w:rPr>
          <w:rFonts w:hint="eastAsia" w:ascii="Times New Roman" w:cs="Times New Roman"/>
          <w:spacing w:val="3"/>
          <w:sz w:val="32"/>
          <w:szCs w:val="32"/>
          <w:lang w:eastAsia="zh-CN"/>
        </w:rPr>
        <w:t>下降</w:t>
      </w:r>
      <w:r>
        <w:rPr>
          <w:rFonts w:ascii="Times New Roman" w:eastAsia="宋体" w:cs="Times New Roman"/>
          <w:sz w:val="32"/>
          <w:szCs w:val="32"/>
          <w:lang w:eastAsia="zh-CN"/>
        </w:rPr>
        <w:t>0.59</w:t>
      </w:r>
      <w:r>
        <w:rPr>
          <w:rFonts w:ascii="Times New Roman" w:eastAsia="Times New Roman" w:cs="Times New Roman"/>
          <w:sz w:val="32"/>
          <w:szCs w:val="32"/>
          <w:lang w:eastAsia="zh-CN"/>
        </w:rPr>
        <w:t>%</w:t>
      </w:r>
      <w:r>
        <w:rPr>
          <w:rFonts w:ascii="Times New Roman" w:cs="Times New Roman"/>
          <w:spacing w:val="3"/>
          <w:sz w:val="32"/>
          <w:szCs w:val="32"/>
          <w:lang w:eastAsia="zh-CN"/>
        </w:rPr>
        <w:t>，</w:t>
      </w:r>
      <w:r>
        <w:rPr>
          <w:rFonts w:hint="eastAsia" w:ascii="Times New Roman" w:cs="Times New Roman"/>
          <w:spacing w:val="3"/>
          <w:sz w:val="32"/>
          <w:szCs w:val="32"/>
          <w:lang w:eastAsia="zh-CN"/>
        </w:rPr>
        <w:t>主要原因是年末结转</w:t>
      </w:r>
      <w:r>
        <w:rPr>
          <w:rFonts w:hint="eastAsia" w:ascii="Times New Roman" w:cs="Times New Roman"/>
          <w:spacing w:val="3"/>
          <w:sz w:val="32"/>
          <w:szCs w:val="32"/>
          <w:lang w:eastAsia="zh-CN"/>
        </w:rPr>
        <w:t>金额减少</w:t>
      </w:r>
      <w:r>
        <w:rPr>
          <w:rFonts w:ascii="Times New Roman" w:cs="Times New Roman"/>
          <w:sz w:val="32"/>
          <w:szCs w:val="32"/>
          <w:lang w:eastAsia="zh-CN"/>
        </w:rPr>
        <w:t>。</w:t>
      </w:r>
    </w:p>
    <w:p w14:paraId="59D144BB">
      <w:pPr>
        <w:pStyle w:val="15"/>
        <w:spacing w:line="560" w:lineRule="exact"/>
        <w:ind w:left="0" w:firstLine="574" w:firstLineChars="200"/>
        <w:jc w:val="center"/>
        <w:rPr>
          <w:spacing w:val="3"/>
          <w:sz w:val="28"/>
          <w:szCs w:val="28"/>
          <w:lang w:eastAsia="zh-CN"/>
        </w:rPr>
      </w:pPr>
      <w:r>
        <w:rPr>
          <w:spacing w:val="3"/>
          <w:sz w:val="28"/>
          <w:szCs w:val="28"/>
          <w:lang w:eastAsia="zh-CN"/>
        </w:rPr>
        <w:t>图1：收支决算总计变动情况</w:t>
      </w:r>
    </w:p>
    <w:p w14:paraId="1542CA2E">
      <w:pPr>
        <w:spacing w:line="560" w:lineRule="exact"/>
        <w:ind w:firstLine="578" w:firstLineChars="200"/>
        <w:jc w:val="center"/>
        <w:rPr>
          <w:rFonts w:ascii="方正仿宋_GBK" w:eastAsia="方正仿宋_GBK" w:cs="方正仿宋_GBK"/>
          <w:b/>
          <w:bCs/>
          <w:spacing w:val="4"/>
          <w:sz w:val="28"/>
          <w:szCs w:val="28"/>
          <w:lang w:eastAsia="zh-CN"/>
        </w:rPr>
      </w:pPr>
      <w:r>
        <w:rPr>
          <w:rFonts w:ascii="方正仿宋_GBK" w:eastAsia="方正仿宋_GBK" w:cs="方正仿宋_GBK"/>
          <w:b/>
          <w:bCs/>
          <w:spacing w:val="4"/>
          <w:sz w:val="28"/>
          <w:szCs w:val="28"/>
          <w:lang w:eastAsia="zh-CN"/>
        </w:rPr>
        <w:t>（单位：万元）</w:t>
      </w:r>
    </w:p>
    <w:p w14:paraId="4605C921">
      <w:pPr>
        <w:spacing w:line="560" w:lineRule="exact"/>
        <w:ind w:firstLine="400" w:firstLineChars="200"/>
        <w:jc w:val="both"/>
        <w:rPr>
          <w:rFonts w:ascii="方正仿宋_GBK" w:eastAsia="方正仿宋_GBK" w:cs="方正仿宋_GBK"/>
          <w:sz w:val="20"/>
          <w:szCs w:val="20"/>
          <w:lang w:eastAsia="zh-CN"/>
        </w:rPr>
      </w:pPr>
    </w:p>
    <w:p w14:paraId="2A81796A">
      <w:pPr>
        <w:spacing w:line="560" w:lineRule="exact"/>
        <w:jc w:val="both"/>
        <w:rPr>
          <w:rFonts w:ascii="方正仿宋_GBK" w:eastAsia="方正仿宋_GBK" w:cs="方正仿宋_GBK"/>
          <w:sz w:val="20"/>
          <w:szCs w:val="20"/>
          <w:lang w:eastAsia="zh-CN"/>
        </w:rPr>
        <w:sectPr>
          <w:pgSz w:w="11922" w:h="16849"/>
          <w:pgMar w:top="1440" w:right="1757" w:bottom="1440" w:left="1757" w:header="0" w:footer="765" w:gutter="0"/>
          <w:cols w:space="0" w:num="1"/>
          <w:docGrid w:linePitch="312" w:charSpace="0"/>
        </w:sectPr>
      </w:pPr>
    </w:p>
    <w:p w14:paraId="0CE9A28F">
      <w:pPr>
        <w:pStyle w:val="3"/>
        <w:spacing w:line="560" w:lineRule="exact"/>
        <w:ind w:left="0"/>
        <w:jc w:val="both"/>
        <w:outlineLvl w:val="1"/>
        <w:rPr>
          <w:rFonts w:ascii="方正黑体_GBK" w:eastAsia="方正黑体_GBK" w:cs="方正黑体_GBK"/>
          <w:sz w:val="32"/>
          <w:szCs w:val="32"/>
          <w:lang w:eastAsia="zh-CN"/>
        </w:rPr>
      </w:pPr>
      <w:bookmarkStart w:id="19" w:name="_Toc4648"/>
      <w:r>
        <w:rPr>
          <w:rFonts w:hint="eastAsia" w:ascii="方正黑体_GBK" w:eastAsia="方正黑体_GBK" w:cs="方正黑体_GBK"/>
          <w:sz w:val="32"/>
          <w:szCs w:val="32"/>
          <w:lang w:eastAsia="zh-CN"/>
        </w:rPr>
        <w:t xml:space="preserve">      </w:t>
      </w:r>
      <w:r>
        <w:rPr>
          <w:rFonts w:ascii="方正黑体_GBK" w:eastAsia="方正黑体_GBK" w:cs="方正黑体_GBK"/>
          <w:sz w:val="32"/>
          <w:szCs w:val="32"/>
          <w:lang w:eastAsia="zh-CN"/>
        </w:rPr>
        <w:t>二、收入决算情况说明</w:t>
      </w:r>
      <w:bookmarkEnd w:id="19"/>
    </w:p>
    <w:p w14:paraId="438042CF">
      <w:pPr>
        <w:pStyle w:val="3"/>
        <w:spacing w:line="560" w:lineRule="exact"/>
        <w:ind w:left="0" w:firstLine="640" w:firstLineChars="200"/>
        <w:jc w:val="both"/>
        <w:rPr>
          <w:rFonts w:ascii="仿宋" w:hAnsi="仿宋" w:eastAsia="宋体" w:cs="仿宋"/>
          <w:sz w:val="26"/>
          <w:szCs w:val="26"/>
          <w:lang w:eastAsia="zh-CN"/>
        </w:rPr>
      </w:pPr>
      <w:r>
        <w:rPr>
          <w:rFonts w:ascii="Times New Roman" w:eastAsia="Times New Roman" w:cs="Times New Roman"/>
          <w:sz w:val="32"/>
          <w:szCs w:val="32"/>
          <w:lang w:eastAsia="zh-CN"/>
        </w:rPr>
        <w:t>2025</w:t>
      </w:r>
      <w:r>
        <w:rPr>
          <w:rFonts w:ascii="Times New Roman" w:cs="Times New Roman"/>
          <w:sz w:val="32"/>
          <w:szCs w:val="32"/>
          <w:lang w:eastAsia="zh-CN"/>
        </w:rPr>
        <w:t>年</w:t>
      </w:r>
      <w:r>
        <w:rPr>
          <w:sz w:val="32"/>
          <w:szCs w:val="32"/>
          <w:lang w:eastAsia="zh-CN"/>
        </w:rPr>
        <w:t>度收入合计</w:t>
      </w:r>
      <w:r>
        <w:rPr>
          <w:rFonts w:hint="eastAsia" w:ascii="Times New Roman" w:eastAsia="宋体" w:cs="Times New Roman"/>
          <w:sz w:val="32"/>
          <w:szCs w:val="32"/>
          <w:lang w:eastAsia="zh-CN"/>
        </w:rPr>
        <w:t>3,146.41</w:t>
      </w:r>
      <w:r>
        <w:rPr>
          <w:sz w:val="32"/>
          <w:szCs w:val="32"/>
          <w:lang w:eastAsia="zh-CN"/>
        </w:rPr>
        <w:t>万元。其中：财政拨款收入</w:t>
      </w:r>
      <w:r>
        <w:rPr>
          <w:rFonts w:hint="eastAsia" w:ascii="Times New Roman" w:eastAsia="宋体" w:cs="Times New Roman"/>
          <w:sz w:val="32"/>
          <w:szCs w:val="32"/>
          <w:lang w:eastAsia="zh-CN"/>
        </w:rPr>
        <w:t>1,519.06</w:t>
      </w:r>
      <w:r>
        <w:rPr>
          <w:sz w:val="32"/>
          <w:szCs w:val="32"/>
          <w:lang w:eastAsia="zh-CN"/>
        </w:rPr>
        <w:t>万元，占</w:t>
      </w:r>
      <w:r>
        <w:rPr>
          <w:rFonts w:hint="eastAsia" w:ascii="Times New Roman" w:eastAsia="宋体" w:cs="Times New Roman"/>
          <w:sz w:val="32"/>
          <w:szCs w:val="32"/>
          <w:lang w:eastAsia="zh-CN"/>
        </w:rPr>
        <w:t>4</w:t>
      </w:r>
      <w:r>
        <w:rPr>
          <w:rFonts w:ascii="Times New Roman" w:eastAsia="宋体" w:cs="Times New Roman"/>
          <w:sz w:val="32"/>
          <w:szCs w:val="32"/>
          <w:lang w:eastAsia="zh-CN"/>
        </w:rPr>
        <w:t>8.28</w:t>
      </w:r>
      <w:r>
        <w:rPr>
          <w:rFonts w:ascii="Times New Roman" w:eastAsia="Times New Roman" w:cs="Times New Roman"/>
          <w:sz w:val="32"/>
          <w:szCs w:val="32"/>
          <w:lang w:eastAsia="zh-CN"/>
        </w:rPr>
        <w:t>%</w:t>
      </w:r>
      <w:r>
        <w:rPr>
          <w:sz w:val="32"/>
          <w:szCs w:val="32"/>
          <w:lang w:eastAsia="zh-CN"/>
        </w:rPr>
        <w:t>；其他收入</w:t>
      </w:r>
      <w:r>
        <w:rPr>
          <w:rFonts w:hint="eastAsia" w:ascii="Times New Roman" w:eastAsia="宋体" w:cs="Times New Roman"/>
          <w:sz w:val="32"/>
          <w:szCs w:val="32"/>
          <w:lang w:eastAsia="zh-CN"/>
        </w:rPr>
        <w:t>1,627.35</w:t>
      </w:r>
      <w:r>
        <w:rPr>
          <w:sz w:val="32"/>
          <w:szCs w:val="32"/>
          <w:lang w:eastAsia="zh-CN"/>
        </w:rPr>
        <w:t>万元，占</w:t>
      </w:r>
      <w:r>
        <w:rPr>
          <w:rFonts w:hint="eastAsia" w:ascii="Times New Roman" w:eastAsia="宋体" w:cs="Times New Roman"/>
          <w:sz w:val="32"/>
          <w:szCs w:val="32"/>
          <w:lang w:eastAsia="zh-CN"/>
        </w:rPr>
        <w:t>5</w:t>
      </w:r>
      <w:r>
        <w:rPr>
          <w:rFonts w:ascii="Times New Roman" w:eastAsia="宋体" w:cs="Times New Roman"/>
          <w:sz w:val="32"/>
          <w:szCs w:val="32"/>
          <w:lang w:eastAsia="zh-CN"/>
        </w:rPr>
        <w:t>1.72</w:t>
      </w:r>
      <w:r>
        <w:rPr>
          <w:rFonts w:ascii="Times New Roman" w:eastAsia="Times New Roman" w:cs="Times New Roman"/>
          <w:sz w:val="32"/>
          <w:szCs w:val="32"/>
          <w:lang w:eastAsia="zh-CN"/>
        </w:rPr>
        <w:t>%</w:t>
      </w:r>
      <w:r>
        <w:rPr>
          <w:rFonts w:hint="eastAsia" w:ascii="Times New Roman" w:eastAsia="宋体" w:cs="Times New Roman"/>
          <w:sz w:val="32"/>
          <w:szCs w:val="32"/>
          <w:lang w:eastAsia="zh-CN"/>
        </w:rPr>
        <w:t>。</w:t>
      </w:r>
    </w:p>
    <w:p w14:paraId="543FF186">
      <w:pPr>
        <w:pStyle w:val="15"/>
        <w:ind w:left="0" w:firstLine="570" w:firstLineChars="200"/>
        <w:jc w:val="center"/>
        <w:rPr>
          <w:rFonts w:ascii="Times New Roman" w:cs="Times New Roman"/>
          <w:spacing w:val="2"/>
          <w:sz w:val="28"/>
          <w:szCs w:val="28"/>
          <w:lang w:eastAsia="zh-CN"/>
        </w:rPr>
      </w:pPr>
      <w:r>
        <w:rPr>
          <w:rFonts w:ascii="Times New Roman" w:cs="Times New Roman"/>
          <w:spacing w:val="2"/>
          <w:sz w:val="28"/>
          <w:szCs w:val="28"/>
          <w:lang w:eastAsia="zh-CN"/>
        </w:rPr>
        <w:t>图</w:t>
      </w:r>
      <w:r>
        <w:rPr>
          <w:rFonts w:ascii="Times New Roman" w:cs="Times New Roman"/>
          <w:b w:val="0"/>
          <w:bCs w:val="0"/>
          <w:sz w:val="28"/>
          <w:szCs w:val="28"/>
          <w:lang w:eastAsia="zh-CN"/>
        </w:rPr>
        <w:t>2</w:t>
      </w:r>
      <w:r>
        <w:rPr>
          <w:rFonts w:ascii="Times New Roman" w:cs="Times New Roman"/>
          <w:spacing w:val="2"/>
          <w:sz w:val="28"/>
          <w:szCs w:val="28"/>
          <w:lang w:eastAsia="zh-CN"/>
        </w:rPr>
        <w:t>：收入决算结构</w:t>
      </w:r>
    </w:p>
    <w:p w14:paraId="06828D29">
      <w:pPr>
        <w:pStyle w:val="15"/>
        <w:ind w:left="0" w:firstLine="622" w:firstLineChars="200"/>
        <w:jc w:val="both"/>
        <w:outlineLvl w:val="9"/>
        <w:rPr>
          <w:lang w:eastAsia="zh-CN"/>
        </w:rPr>
      </w:pPr>
    </w:p>
    <w:p w14:paraId="6956D085">
      <w:pPr>
        <w:ind w:firstLine="400" w:firstLineChars="200"/>
        <w:jc w:val="both"/>
        <w:rPr>
          <w:rFonts w:ascii="方正仿宋_GBK" w:eastAsia="方正仿宋_GBK" w:cs="方正仿宋_GBK"/>
          <w:sz w:val="20"/>
          <w:szCs w:val="20"/>
          <w:lang w:eastAsia="zh-CN"/>
        </w:rPr>
      </w:pPr>
    </w:p>
    <w:p w14:paraId="3AF11B61">
      <w:pPr>
        <w:ind w:firstLine="400" w:firstLineChars="200"/>
        <w:jc w:val="both"/>
        <w:rPr>
          <w:rFonts w:ascii="方正仿宋_GBK" w:eastAsia="方正仿宋_GBK" w:cs="方正仿宋_GBK"/>
          <w:sz w:val="20"/>
          <w:szCs w:val="20"/>
          <w:lang w:eastAsia="zh-CN"/>
        </w:rPr>
      </w:pPr>
      <w:r>
        <w:rPr>
          <w:rFonts w:ascii="方正仿宋_GBK" w:eastAsia="方正仿宋_GBK" w:cs="方正仿宋_GBK"/>
          <w:sz w:val="20"/>
          <w:szCs w:val="20"/>
          <w:lang w:eastAsia="zh-CN"/>
        </w:rPr>
        <w:drawing>
          <wp:inline distT="0" distB="0" distL="114300" distR="114300">
            <wp:extent cx="5256530" cy="2988310"/>
            <wp:effectExtent l="5080" t="4445" r="15240" b="17145"/>
            <wp:docPr id="139" name="图表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710AF7A">
      <w:pPr>
        <w:ind w:firstLine="400" w:firstLineChars="200"/>
        <w:jc w:val="both"/>
        <w:rPr>
          <w:rFonts w:ascii="方正仿宋_GBK" w:eastAsia="方正仿宋_GBK" w:cs="方正仿宋_GBK"/>
          <w:sz w:val="20"/>
          <w:szCs w:val="20"/>
          <w:lang w:eastAsia="zh-CN"/>
        </w:rPr>
        <w:sectPr>
          <w:pgSz w:w="11922" w:h="16849"/>
          <w:pgMar w:top="1440" w:right="1757" w:bottom="1440" w:left="1757" w:header="0" w:footer="765" w:gutter="0"/>
          <w:cols w:space="0" w:num="1"/>
          <w:docGrid w:linePitch="312" w:charSpace="0"/>
        </w:sectPr>
      </w:pPr>
    </w:p>
    <w:p w14:paraId="11D076DC">
      <w:pPr>
        <w:pStyle w:val="96"/>
        <w:spacing w:line="560" w:lineRule="exact"/>
        <w:ind w:left="0" w:firstLine="640" w:firstLineChars="200"/>
        <w:jc w:val="both"/>
        <w:outlineLvl w:val="1"/>
        <w:rPr>
          <w:rFonts w:ascii="方正黑体_GBK" w:eastAsia="方正黑体_GBK" w:cs="方正黑体_GBK"/>
          <w:sz w:val="32"/>
          <w:szCs w:val="32"/>
          <w:lang w:eastAsia="zh-CN"/>
        </w:rPr>
      </w:pPr>
      <w:bookmarkStart w:id="20" w:name="_Toc11909"/>
      <w:r>
        <w:rPr>
          <w:rFonts w:ascii="方正黑体_GBK" w:eastAsia="方正黑体_GBK" w:cs="方正黑体_GBK"/>
          <w:sz w:val="32"/>
          <w:szCs w:val="32"/>
          <w:lang w:eastAsia="zh-CN"/>
        </w:rPr>
        <w:t>三、支出决算情况说明</w:t>
      </w:r>
      <w:bookmarkEnd w:id="20"/>
    </w:p>
    <w:p w14:paraId="0BC7CEBD">
      <w:pPr>
        <w:pStyle w:val="3"/>
        <w:spacing w:line="560" w:lineRule="exact"/>
        <w:ind w:left="0" w:firstLine="620" w:firstLineChars="200"/>
        <w:jc w:val="both"/>
        <w:rPr>
          <w:sz w:val="32"/>
          <w:szCs w:val="32"/>
          <w:lang w:eastAsia="zh-CN"/>
        </w:rPr>
      </w:pPr>
      <w:r>
        <w:rPr>
          <w:lang w:eastAsia="zh-CN"/>
        </w:rPr>
        <w:drawing>
          <wp:anchor distT="0" distB="0" distL="114300" distR="114300" simplePos="0" relativeHeight="251662336" behindDoc="0" locked="0" layoutInCell="1" allowOverlap="1">
            <wp:simplePos x="0" y="0"/>
            <wp:positionH relativeFrom="column">
              <wp:posOffset>-137795</wp:posOffset>
            </wp:positionH>
            <wp:positionV relativeFrom="paragraph">
              <wp:posOffset>2600325</wp:posOffset>
            </wp:positionV>
            <wp:extent cx="5256530" cy="2988310"/>
            <wp:effectExtent l="5080" t="4445" r="15240" b="17145"/>
            <wp:wrapSquare wrapText="bothSides"/>
            <wp:docPr id="140" name="图表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Pr>
          <w:rFonts w:ascii="Times New Roman" w:eastAsia="Times New Roman" w:cs="Times New Roman"/>
          <w:sz w:val="32"/>
          <w:szCs w:val="32"/>
          <w:lang w:eastAsia="zh-CN"/>
        </w:rPr>
        <w:t>2025</w:t>
      </w:r>
      <w:r>
        <w:rPr>
          <w:sz w:val="32"/>
          <w:szCs w:val="32"/>
          <w:lang w:eastAsia="zh-CN"/>
        </w:rPr>
        <w:t>年度支出合计</w:t>
      </w:r>
      <w:r>
        <w:rPr>
          <w:rFonts w:hint="eastAsia" w:ascii="Times New Roman" w:eastAsia="宋体" w:cs="Times New Roman"/>
          <w:sz w:val="32"/>
          <w:szCs w:val="32"/>
          <w:lang w:eastAsia="zh-CN"/>
        </w:rPr>
        <w:t>3,1</w:t>
      </w:r>
      <w:r>
        <w:rPr>
          <w:rFonts w:ascii="Times New Roman" w:eastAsia="宋体" w:cs="Times New Roman"/>
          <w:sz w:val="32"/>
          <w:szCs w:val="32"/>
          <w:lang w:eastAsia="zh-CN"/>
        </w:rPr>
        <w:t>51.00</w:t>
      </w:r>
      <w:r>
        <w:rPr>
          <w:sz w:val="32"/>
          <w:szCs w:val="32"/>
          <w:lang w:eastAsia="zh-CN"/>
        </w:rPr>
        <w:t>万元，其中：基本支出</w:t>
      </w:r>
    </w:p>
    <w:p w14:paraId="306A5A2A">
      <w:pPr>
        <w:pStyle w:val="3"/>
        <w:spacing w:line="560" w:lineRule="exact"/>
        <w:ind w:left="0"/>
        <w:jc w:val="both"/>
        <w:rPr>
          <w:sz w:val="32"/>
          <w:szCs w:val="32"/>
          <w:lang w:eastAsia="zh-CN"/>
        </w:rPr>
      </w:pPr>
      <w:r>
        <w:rPr>
          <w:rFonts w:hint="eastAsia" w:ascii="Times New Roman" w:eastAsia="宋体" w:cs="Times New Roman"/>
          <w:sz w:val="32"/>
          <w:szCs w:val="32"/>
          <w:lang w:eastAsia="zh-CN"/>
        </w:rPr>
        <w:t>2,775.05</w:t>
      </w:r>
      <w:r>
        <w:rPr>
          <w:sz w:val="32"/>
          <w:szCs w:val="32"/>
          <w:lang w:eastAsia="zh-CN"/>
        </w:rPr>
        <w:t>万元，占</w:t>
      </w:r>
      <w:r>
        <w:rPr>
          <w:rFonts w:ascii="Times New Roman" w:eastAsia="宋体" w:cs="Times New Roman"/>
          <w:sz w:val="32"/>
          <w:szCs w:val="32"/>
          <w:lang w:eastAsia="zh-CN"/>
        </w:rPr>
        <w:t>88.07</w:t>
      </w:r>
      <w:r>
        <w:rPr>
          <w:rFonts w:ascii="Times New Roman" w:eastAsia="Times New Roman" w:cs="Times New Roman"/>
          <w:sz w:val="32"/>
          <w:szCs w:val="32"/>
          <w:lang w:eastAsia="zh-CN"/>
        </w:rPr>
        <w:t>%</w:t>
      </w:r>
      <w:r>
        <w:rPr>
          <w:sz w:val="32"/>
          <w:szCs w:val="32"/>
          <w:lang w:eastAsia="zh-CN"/>
        </w:rPr>
        <w:t>；项目支出</w:t>
      </w:r>
      <w:r>
        <w:rPr>
          <w:rFonts w:hint="eastAsia" w:ascii="Times New Roman" w:eastAsia="宋体" w:cs="Times New Roman"/>
          <w:sz w:val="32"/>
          <w:szCs w:val="32"/>
          <w:lang w:eastAsia="zh-CN"/>
        </w:rPr>
        <w:t>375.95</w:t>
      </w:r>
      <w:r>
        <w:rPr>
          <w:sz w:val="32"/>
          <w:szCs w:val="32"/>
          <w:lang w:eastAsia="zh-CN"/>
        </w:rPr>
        <w:t>万元，占</w:t>
      </w:r>
    </w:p>
    <w:p w14:paraId="475912B1">
      <w:pPr>
        <w:pStyle w:val="3"/>
        <w:spacing w:line="560" w:lineRule="exact"/>
        <w:ind w:left="0"/>
        <w:jc w:val="both"/>
        <w:rPr>
          <w:sz w:val="32"/>
          <w:szCs w:val="32"/>
          <w:lang w:eastAsia="zh-CN"/>
        </w:rPr>
      </w:pPr>
      <w:r>
        <w:rPr>
          <w:rFonts w:ascii="Times New Roman" w:eastAsia="宋体" w:cs="Times New Roman"/>
          <w:sz w:val="32"/>
          <w:szCs w:val="32"/>
          <w:lang w:eastAsia="zh-CN"/>
        </w:rPr>
        <w:t>11.93</w:t>
      </w:r>
      <w:r>
        <w:rPr>
          <w:rFonts w:ascii="Times New Roman" w:eastAsia="Times New Roman" w:cs="Times New Roman"/>
          <w:sz w:val="32"/>
          <w:szCs w:val="32"/>
          <w:lang w:eastAsia="zh-CN"/>
        </w:rPr>
        <w:t>%</w:t>
      </w:r>
      <w:r>
        <w:rPr>
          <w:sz w:val="32"/>
          <w:szCs w:val="32"/>
          <w:lang w:eastAsia="zh-CN"/>
        </w:rPr>
        <w:t>。</w:t>
      </w:r>
    </w:p>
    <w:p w14:paraId="4EB4DEF7">
      <w:pPr>
        <w:pStyle w:val="15"/>
        <w:spacing w:line="560" w:lineRule="exact"/>
        <w:ind w:left="0"/>
        <w:jc w:val="center"/>
        <w:outlineLvl w:val="9"/>
        <w:rPr>
          <w:spacing w:val="2"/>
          <w:lang w:eastAsia="zh-CN"/>
        </w:rPr>
      </w:pPr>
    </w:p>
    <w:p w14:paraId="07BB3388">
      <w:pPr>
        <w:pStyle w:val="15"/>
        <w:spacing w:line="560" w:lineRule="exact"/>
        <w:ind w:left="0"/>
        <w:jc w:val="center"/>
        <w:rPr>
          <w:b w:val="0"/>
          <w:bCs w:val="0"/>
          <w:lang w:eastAsia="zh-CN"/>
        </w:rPr>
      </w:pPr>
      <w:r>
        <w:rPr>
          <w:spacing w:val="2"/>
          <w:lang w:eastAsia="zh-CN"/>
        </w:rPr>
        <w:t>图</w:t>
      </w:r>
      <w:r>
        <w:rPr>
          <w:rFonts w:ascii="Times New Roman" w:eastAsia="Times New Roman" w:cs="Times New Roman"/>
          <w:spacing w:val="2"/>
          <w:lang w:eastAsia="zh-CN"/>
        </w:rPr>
        <w:t>3</w:t>
      </w:r>
      <w:r>
        <w:rPr>
          <w:spacing w:val="2"/>
          <w:lang w:eastAsia="zh-CN"/>
        </w:rPr>
        <w:t>：支出决算</w:t>
      </w:r>
      <w:r>
        <w:rPr>
          <w:rFonts w:hint="eastAsia"/>
          <w:spacing w:val="2"/>
          <w:lang w:eastAsia="zh-CN"/>
        </w:rPr>
        <w:t>结构</w:t>
      </w:r>
    </w:p>
    <w:p w14:paraId="46802764">
      <w:pPr>
        <w:jc w:val="center"/>
        <w:rPr>
          <w:rFonts w:ascii="方正仿宋_GBK" w:eastAsia="方正仿宋_GBK" w:cs="方正仿宋_GBK"/>
          <w:b/>
          <w:bCs/>
          <w:spacing w:val="4"/>
          <w:sz w:val="31"/>
          <w:szCs w:val="31"/>
          <w:lang w:eastAsia="zh-CN"/>
        </w:rPr>
      </w:pPr>
      <w:r>
        <w:rPr>
          <w:rFonts w:ascii="方正仿宋_GBK" w:eastAsia="方正仿宋_GBK" w:cs="方正仿宋_GBK"/>
          <w:b/>
          <w:bCs/>
          <w:spacing w:val="4"/>
          <w:sz w:val="31"/>
          <w:szCs w:val="31"/>
          <w:lang w:eastAsia="zh-CN"/>
        </w:rPr>
        <w:t>（单位：万元）</w:t>
      </w:r>
    </w:p>
    <w:p w14:paraId="428619EC">
      <w:pPr>
        <w:spacing w:line="560" w:lineRule="exact"/>
        <w:ind w:firstLine="400" w:firstLineChars="200"/>
        <w:jc w:val="both"/>
        <w:rPr>
          <w:rFonts w:ascii="方正仿宋_GBK" w:eastAsia="方正仿宋_GBK" w:cs="方正仿宋_GBK"/>
          <w:sz w:val="20"/>
          <w:szCs w:val="20"/>
          <w:lang w:eastAsia="zh-CN"/>
        </w:rPr>
        <w:sectPr>
          <w:headerReference r:id="rId10" w:type="default"/>
          <w:pgSz w:w="11922" w:h="16849"/>
          <w:pgMar w:top="1440" w:right="1757" w:bottom="1440" w:left="1757" w:header="0" w:footer="765" w:gutter="0"/>
          <w:cols w:space="0" w:num="1"/>
          <w:docGrid w:linePitch="312" w:charSpace="0"/>
        </w:sectPr>
      </w:pPr>
    </w:p>
    <w:p w14:paraId="72926292">
      <w:pPr>
        <w:pStyle w:val="97"/>
        <w:spacing w:line="560" w:lineRule="exact"/>
        <w:ind w:left="0" w:firstLine="640" w:firstLineChars="200"/>
        <w:jc w:val="both"/>
        <w:outlineLvl w:val="1"/>
        <w:rPr>
          <w:rFonts w:ascii="方正黑体_GBK" w:eastAsia="方正黑体_GBK" w:cs="方正黑体_GBK"/>
          <w:sz w:val="32"/>
          <w:szCs w:val="32"/>
          <w:lang w:eastAsia="zh-CN"/>
        </w:rPr>
      </w:pPr>
      <w:bookmarkStart w:id="21" w:name="_Toc28255"/>
      <w:r>
        <w:rPr>
          <w:rFonts w:ascii="方正黑体_GBK" w:eastAsia="方正黑体_GBK" w:cs="方正黑体_GBK"/>
          <w:sz w:val="32"/>
          <w:szCs w:val="32"/>
          <w:lang w:eastAsia="zh-CN"/>
        </w:rPr>
        <w:t>四、财政拨款收入支出决算总体情况说明</w:t>
      </w:r>
      <w:bookmarkEnd w:id="21"/>
    </w:p>
    <w:p w14:paraId="7F11A09D">
      <w:pPr>
        <w:pStyle w:val="3"/>
        <w:spacing w:line="560" w:lineRule="exact"/>
        <w:ind w:left="0" w:firstLine="640" w:firstLineChars="200"/>
        <w:jc w:val="both"/>
        <w:rPr>
          <w:sz w:val="32"/>
          <w:szCs w:val="32"/>
          <w:lang w:eastAsia="zh-CN"/>
        </w:rPr>
      </w:pPr>
      <w:r>
        <w:rPr>
          <w:rFonts w:ascii="Times New Roman" w:eastAsia="Times New Roman" w:cs="Times New Roman"/>
          <w:sz w:val="32"/>
          <w:szCs w:val="32"/>
          <w:lang w:eastAsia="zh-CN"/>
        </w:rPr>
        <w:t>2025</w:t>
      </w:r>
      <w:r>
        <w:rPr>
          <w:spacing w:val="9"/>
          <w:sz w:val="32"/>
          <w:szCs w:val="32"/>
          <w:lang w:eastAsia="zh-CN"/>
        </w:rPr>
        <w:t>年度财政拨款收、支总计</w:t>
      </w:r>
      <w:r>
        <w:rPr>
          <w:rFonts w:hint="eastAsia" w:ascii="Times New Roman" w:eastAsia="宋体" w:cs="Times New Roman"/>
          <w:sz w:val="32"/>
          <w:szCs w:val="32"/>
          <w:lang w:eastAsia="zh-CN"/>
        </w:rPr>
        <w:t>1,519.06</w:t>
      </w:r>
      <w:r>
        <w:rPr>
          <w:spacing w:val="9"/>
          <w:sz w:val="32"/>
          <w:szCs w:val="32"/>
          <w:lang w:eastAsia="zh-CN"/>
        </w:rPr>
        <w:t>万元。与</w:t>
      </w:r>
      <w:r>
        <w:rPr>
          <w:rFonts w:ascii="Times New Roman" w:eastAsia="Times New Roman" w:cs="Times New Roman"/>
          <w:sz w:val="32"/>
          <w:szCs w:val="32"/>
          <w:lang w:eastAsia="zh-CN"/>
        </w:rPr>
        <w:t>202</w:t>
      </w:r>
      <w:r>
        <w:rPr>
          <w:rFonts w:ascii="Times New Roman" w:eastAsia="宋体" w:cs="Times New Roman"/>
          <w:sz w:val="32"/>
          <w:szCs w:val="32"/>
          <w:lang w:eastAsia="zh-CN"/>
        </w:rPr>
        <w:t>4</w:t>
      </w:r>
      <w:r>
        <w:rPr>
          <w:spacing w:val="9"/>
          <w:sz w:val="32"/>
          <w:szCs w:val="32"/>
          <w:lang w:eastAsia="zh-CN"/>
        </w:rPr>
        <w:t>年</w:t>
      </w:r>
      <w:r>
        <w:rPr>
          <w:sz w:val="32"/>
          <w:szCs w:val="32"/>
          <w:lang w:eastAsia="zh-CN"/>
        </w:rPr>
        <w:t>度相比，财政拨款收、支总计各</w:t>
      </w:r>
      <w:r>
        <w:rPr>
          <w:rFonts w:hint="eastAsia"/>
          <w:sz w:val="32"/>
          <w:szCs w:val="32"/>
          <w:lang w:eastAsia="zh-CN"/>
        </w:rPr>
        <w:t>增加</w:t>
      </w:r>
      <w:r>
        <w:rPr>
          <w:rFonts w:hint="eastAsia" w:ascii="Times New Roman" w:eastAsia="宋体" w:cs="Times New Roman"/>
          <w:sz w:val="32"/>
          <w:szCs w:val="32"/>
          <w:lang w:eastAsia="zh-CN"/>
        </w:rPr>
        <w:t>157.35</w:t>
      </w:r>
      <w:r>
        <w:rPr>
          <w:sz w:val="32"/>
          <w:szCs w:val="32"/>
          <w:lang w:eastAsia="zh-CN"/>
        </w:rPr>
        <w:t>万元，</w:t>
      </w:r>
      <w:r>
        <w:rPr>
          <w:rFonts w:hint="eastAsia"/>
          <w:sz w:val="32"/>
          <w:szCs w:val="32"/>
          <w:lang w:eastAsia="zh-CN"/>
        </w:rPr>
        <w:t>上升</w:t>
      </w:r>
      <w:r>
        <w:rPr>
          <w:rFonts w:hint="eastAsia" w:ascii="Times New Roman" w:eastAsia="宋体" w:cs="Times New Roman"/>
          <w:sz w:val="32"/>
          <w:szCs w:val="32"/>
          <w:lang w:eastAsia="zh-CN"/>
        </w:rPr>
        <w:t>11.55%</w:t>
      </w:r>
      <w:r>
        <w:rPr>
          <w:rFonts w:hint="eastAsia"/>
          <w:sz w:val="32"/>
          <w:szCs w:val="32"/>
          <w:lang w:eastAsia="zh-CN"/>
        </w:rPr>
        <w:t>，主要原因是本年新增配电房改造项目资金</w:t>
      </w:r>
      <w:r>
        <w:rPr>
          <w:rFonts w:hint="eastAsia" w:ascii="Times New Roman" w:cs="Times New Roman"/>
          <w:sz w:val="32"/>
          <w:szCs w:val="32"/>
          <w:lang w:eastAsia="zh-CN"/>
        </w:rPr>
        <w:t>。</w:t>
      </w:r>
    </w:p>
    <w:p w14:paraId="551ACF6B">
      <w:pPr>
        <w:ind w:firstLine="880" w:firstLineChars="200"/>
        <w:jc w:val="both"/>
        <w:rPr>
          <w:rFonts w:ascii="方正仿宋_GBK" w:eastAsia="方正仿宋_GBK" w:cs="方正仿宋_GBK"/>
          <w:sz w:val="44"/>
          <w:szCs w:val="44"/>
          <w:lang w:eastAsia="zh-CN"/>
        </w:rPr>
      </w:pPr>
    </w:p>
    <w:p w14:paraId="68F97FDC">
      <w:pPr>
        <w:pStyle w:val="15"/>
        <w:ind w:left="0"/>
        <w:jc w:val="center"/>
        <w:rPr>
          <w:b w:val="0"/>
          <w:bCs w:val="0"/>
          <w:lang w:eastAsia="zh-CN"/>
        </w:rPr>
      </w:pPr>
      <w:r>
        <w:rPr>
          <w:spacing w:val="3"/>
          <w:lang w:eastAsia="zh-CN"/>
        </w:rPr>
        <w:t>图</w:t>
      </w:r>
      <w:r>
        <w:rPr>
          <w:rFonts w:ascii="Times New Roman" w:eastAsia="Times New Roman" w:cs="Times New Roman"/>
          <w:spacing w:val="3"/>
          <w:lang w:eastAsia="zh-CN"/>
        </w:rPr>
        <w:t>4</w:t>
      </w:r>
      <w:r>
        <w:rPr>
          <w:spacing w:val="3"/>
          <w:lang w:eastAsia="zh-CN"/>
        </w:rPr>
        <w:t>：财政拨款收支决算总计变动情况</w:t>
      </w:r>
    </w:p>
    <w:p w14:paraId="1F0BB4C2">
      <w:pPr>
        <w:jc w:val="center"/>
        <w:rPr>
          <w:rFonts w:ascii="方正仿宋_GBK" w:eastAsia="方正仿宋_GBK" w:cs="方正仿宋_GBK"/>
          <w:b/>
          <w:bCs/>
          <w:spacing w:val="4"/>
          <w:sz w:val="31"/>
          <w:szCs w:val="31"/>
          <w:lang w:eastAsia="zh-CN"/>
        </w:rPr>
      </w:pPr>
      <w:r>
        <w:rPr>
          <w:rFonts w:ascii="方正仿宋_GBK" w:eastAsia="方正仿宋_GBK" w:cs="方正仿宋_GBK"/>
          <w:b/>
          <w:bCs/>
          <w:spacing w:val="4"/>
          <w:sz w:val="31"/>
          <w:szCs w:val="31"/>
          <w:lang w:eastAsia="zh-CN"/>
        </w:rPr>
        <w:t>（单位：万元）</w:t>
      </w:r>
    </w:p>
    <w:p w14:paraId="31523829">
      <w:pPr>
        <w:ind w:firstLine="638" w:firstLineChars="200"/>
        <w:jc w:val="center"/>
        <w:rPr>
          <w:rFonts w:ascii="方正仿宋_GBK" w:eastAsia="方正仿宋_GBK" w:cs="方正仿宋_GBK"/>
          <w:b/>
          <w:bCs/>
          <w:spacing w:val="4"/>
          <w:sz w:val="31"/>
          <w:szCs w:val="31"/>
          <w:lang w:eastAsia="zh-CN"/>
        </w:rPr>
      </w:pPr>
    </w:p>
    <w:p w14:paraId="2E764D9B">
      <w:pPr>
        <w:ind w:firstLine="440" w:firstLineChars="200"/>
        <w:jc w:val="both"/>
        <w:rPr>
          <w:rFonts w:eastAsia="宋体"/>
          <w:lang w:eastAsia="zh-CN"/>
        </w:rPr>
      </w:pPr>
      <w:r>
        <w:rPr>
          <w:rFonts w:eastAsia="宋体"/>
          <w:lang w:eastAsia="zh-CN"/>
        </w:rPr>
        <w:drawing>
          <wp:inline distT="0" distB="0" distL="114300" distR="114300">
            <wp:extent cx="5256530" cy="2988310"/>
            <wp:effectExtent l="5080" t="4445" r="15240" b="1714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4B532F">
      <w:pPr>
        <w:ind w:firstLine="440" w:firstLineChars="200"/>
        <w:jc w:val="both"/>
        <w:rPr>
          <w:rFonts w:eastAsia="宋体"/>
          <w:lang w:eastAsia="zh-CN"/>
        </w:rPr>
      </w:pPr>
    </w:p>
    <w:p w14:paraId="43E5E3A8">
      <w:pPr>
        <w:ind w:firstLine="440" w:firstLineChars="200"/>
        <w:jc w:val="both"/>
        <w:rPr>
          <w:rFonts w:eastAsia="宋体"/>
          <w:lang w:eastAsia="zh-CN"/>
        </w:rPr>
      </w:pPr>
    </w:p>
    <w:p w14:paraId="408B1094">
      <w:pPr>
        <w:ind w:firstLine="440" w:firstLineChars="200"/>
        <w:jc w:val="both"/>
        <w:rPr>
          <w:rFonts w:eastAsia="宋体"/>
          <w:lang w:eastAsia="zh-CN"/>
        </w:rPr>
      </w:pPr>
    </w:p>
    <w:p w14:paraId="383212E3">
      <w:pPr>
        <w:ind w:firstLine="440" w:firstLineChars="200"/>
        <w:jc w:val="both"/>
        <w:rPr>
          <w:rFonts w:eastAsia="宋体"/>
          <w:lang w:eastAsia="zh-CN"/>
        </w:rPr>
      </w:pPr>
    </w:p>
    <w:p w14:paraId="773939DC">
      <w:pPr>
        <w:spacing w:line="560" w:lineRule="exact"/>
        <w:ind w:firstLine="400" w:firstLineChars="200"/>
        <w:jc w:val="both"/>
        <w:rPr>
          <w:rFonts w:ascii="方正仿宋_GBK" w:eastAsia="方正仿宋_GBK" w:cs="方正仿宋_GBK"/>
          <w:sz w:val="20"/>
          <w:szCs w:val="20"/>
          <w:lang w:eastAsia="zh-CN"/>
        </w:rPr>
        <w:sectPr>
          <w:footerReference r:id="rId11" w:type="default"/>
          <w:pgSz w:w="11922" w:h="16849"/>
          <w:pgMar w:top="1440" w:right="1757" w:bottom="1440" w:left="1757" w:header="0" w:footer="765" w:gutter="0"/>
          <w:cols w:space="0" w:num="1"/>
          <w:docGrid w:linePitch="312" w:charSpace="0"/>
        </w:sectPr>
      </w:pPr>
    </w:p>
    <w:p w14:paraId="34135590">
      <w:pPr>
        <w:pStyle w:val="101"/>
        <w:spacing w:line="560" w:lineRule="exact"/>
        <w:ind w:left="0" w:firstLine="640" w:firstLineChars="200"/>
        <w:jc w:val="both"/>
        <w:outlineLvl w:val="1"/>
        <w:rPr>
          <w:rFonts w:ascii="方正黑体_GBK" w:eastAsia="方正黑体_GBK" w:cs="方正黑体_GBK"/>
          <w:sz w:val="32"/>
          <w:szCs w:val="32"/>
          <w:lang w:eastAsia="zh-CN"/>
        </w:rPr>
      </w:pPr>
      <w:bookmarkStart w:id="22" w:name="_Toc12973"/>
      <w:r>
        <w:rPr>
          <w:rFonts w:ascii="方正黑体_GBK" w:eastAsia="方正黑体_GBK" w:cs="方正黑体_GBK"/>
          <w:sz w:val="32"/>
          <w:szCs w:val="32"/>
          <w:lang w:eastAsia="zh-CN"/>
        </w:rPr>
        <w:t>五、一般公共预算财政拨款支出决算情况说明</w:t>
      </w:r>
      <w:bookmarkEnd w:id="22"/>
    </w:p>
    <w:p w14:paraId="76F71407">
      <w:pPr>
        <w:pStyle w:val="3"/>
        <w:spacing w:line="560" w:lineRule="exact"/>
        <w:ind w:left="0" w:firstLine="643" w:firstLineChars="200"/>
        <w:jc w:val="both"/>
        <w:rPr>
          <w:rFonts w:ascii="方正楷体_GBK" w:eastAsia="方正楷体_GBK" w:cs="方正楷体_GBK"/>
          <w:b/>
          <w:bCs/>
          <w:sz w:val="32"/>
          <w:szCs w:val="32"/>
          <w:lang w:eastAsia="zh-CN"/>
        </w:rPr>
      </w:pPr>
      <w:r>
        <w:rPr>
          <w:rFonts w:ascii="方正楷体_GBK" w:eastAsia="方正楷体_GBK" w:cs="方正楷体_GBK"/>
          <w:b/>
          <w:bCs/>
          <w:sz w:val="32"/>
          <w:szCs w:val="32"/>
          <w:lang w:eastAsia="zh-CN"/>
        </w:rPr>
        <w:t>（一）财政拨款支出决算总体情况。</w:t>
      </w:r>
    </w:p>
    <w:p w14:paraId="217E9052">
      <w:pPr>
        <w:pStyle w:val="3"/>
        <w:spacing w:line="560" w:lineRule="exact"/>
        <w:ind w:left="0" w:firstLine="640" w:firstLineChars="200"/>
        <w:jc w:val="both"/>
        <w:rPr>
          <w:rFonts w:cs="方正仿宋_GBK"/>
          <w:sz w:val="39"/>
          <w:szCs w:val="39"/>
          <w:lang w:eastAsia="zh-CN"/>
        </w:rPr>
      </w:pPr>
      <w:r>
        <w:rPr>
          <w:rFonts w:ascii="Times New Roman" w:eastAsia="Times New Roman" w:cs="Times New Roman"/>
          <w:color w:val="000000"/>
          <w:sz w:val="32"/>
          <w:szCs w:val="32"/>
          <w:lang w:eastAsia="zh-CN"/>
        </w:rPr>
        <w:t>2025</w:t>
      </w:r>
      <w:r>
        <w:rPr>
          <w:color w:val="000000" w:themeColor="text1"/>
          <w:spacing w:val="6"/>
          <w:sz w:val="32"/>
          <w:szCs w:val="32"/>
          <w:lang w:eastAsia="zh-CN"/>
        </w:rPr>
        <w:t>年度财政拨款支出</w:t>
      </w:r>
      <w:r>
        <w:rPr>
          <w:rFonts w:hint="eastAsia" w:ascii="Times New Roman" w:eastAsia="宋体" w:cs="Times New Roman"/>
          <w:color w:val="000000" w:themeColor="text1"/>
          <w:sz w:val="32"/>
          <w:szCs w:val="32"/>
          <w:lang w:eastAsia="zh-CN"/>
        </w:rPr>
        <w:t>1527.27</w:t>
      </w:r>
      <w:r>
        <w:rPr>
          <w:color w:val="000000" w:themeColor="text1"/>
          <w:spacing w:val="6"/>
          <w:sz w:val="32"/>
          <w:szCs w:val="32"/>
          <w:lang w:eastAsia="zh-CN"/>
        </w:rPr>
        <w:t>万元，占本年支出合计</w:t>
      </w:r>
      <w:r>
        <w:rPr>
          <w:color w:val="000000" w:themeColor="text1"/>
          <w:spacing w:val="2"/>
          <w:sz w:val="32"/>
          <w:szCs w:val="32"/>
          <w:lang w:eastAsia="zh-CN"/>
        </w:rPr>
        <w:t>的</w:t>
      </w:r>
      <w:r>
        <w:rPr>
          <w:rFonts w:hint="eastAsia" w:ascii="Times New Roman" w:eastAsia="宋体" w:cs="Times New Roman"/>
          <w:color w:val="000000" w:themeColor="text1"/>
          <w:sz w:val="32"/>
          <w:szCs w:val="32"/>
          <w:lang w:eastAsia="zh-CN"/>
        </w:rPr>
        <w:t>48.47</w:t>
      </w:r>
      <w:r>
        <w:rPr>
          <w:rFonts w:ascii="Times New Roman" w:eastAsia="Times New Roman" w:cs="Times New Roman"/>
          <w:color w:val="000000" w:themeColor="text1"/>
          <w:sz w:val="32"/>
          <w:szCs w:val="32"/>
          <w:lang w:eastAsia="zh-CN"/>
        </w:rPr>
        <w:t>%</w:t>
      </w:r>
      <w:r>
        <w:rPr>
          <w:color w:val="000000" w:themeColor="text1"/>
          <w:spacing w:val="2"/>
          <w:sz w:val="32"/>
          <w:szCs w:val="32"/>
          <w:lang w:eastAsia="zh-CN"/>
        </w:rPr>
        <w:t>。与</w:t>
      </w:r>
      <w:r>
        <w:rPr>
          <w:rFonts w:ascii="Times New Roman" w:eastAsia="Times New Roman" w:cs="Times New Roman"/>
          <w:color w:val="000000" w:themeColor="text1"/>
          <w:sz w:val="32"/>
          <w:szCs w:val="32"/>
          <w:lang w:eastAsia="zh-CN"/>
        </w:rPr>
        <w:t>202</w:t>
      </w:r>
      <w:r>
        <w:rPr>
          <w:rFonts w:hint="eastAsia" w:ascii="Times New Roman" w:eastAsia="宋体" w:cs="Times New Roman"/>
          <w:color w:val="000000" w:themeColor="text1"/>
          <w:sz w:val="32"/>
          <w:szCs w:val="32"/>
          <w:lang w:eastAsia="zh-CN"/>
        </w:rPr>
        <w:t>4</w:t>
      </w:r>
      <w:r>
        <w:rPr>
          <w:color w:val="000000" w:themeColor="text1"/>
          <w:spacing w:val="2"/>
          <w:sz w:val="32"/>
          <w:szCs w:val="32"/>
          <w:lang w:eastAsia="zh-CN"/>
        </w:rPr>
        <w:t>年度相比，财政拨款</w:t>
      </w:r>
      <w:r>
        <w:rPr>
          <w:rFonts w:cs="Arial"/>
          <w:color w:val="000000" w:themeColor="text1"/>
          <w:spacing w:val="6"/>
          <w:sz w:val="32"/>
          <w:szCs w:val="32"/>
          <w:lang w:eastAsia="zh-CN"/>
        </w:rPr>
        <w:t>支出</w:t>
      </w:r>
      <w:r>
        <w:rPr>
          <w:rFonts w:hint="eastAsia" w:cs="Arial"/>
          <w:color w:val="000000" w:themeColor="text1"/>
          <w:spacing w:val="6"/>
          <w:sz w:val="32"/>
          <w:szCs w:val="32"/>
          <w:lang w:eastAsia="zh-CN"/>
        </w:rPr>
        <w:t>增加</w:t>
      </w:r>
      <w:r>
        <w:rPr>
          <w:rFonts w:hint="eastAsia" w:ascii="Times New Roman" w:eastAsia="Times New Roman" w:cs="Times New Roman"/>
          <w:color w:val="000000" w:themeColor="text1"/>
          <w:sz w:val="32"/>
          <w:szCs w:val="32"/>
          <w:lang w:eastAsia="zh-CN"/>
        </w:rPr>
        <w:t>174.97</w:t>
      </w:r>
      <w:r>
        <w:rPr>
          <w:rFonts w:hint="eastAsia" w:cs="Arial"/>
          <w:color w:val="000000" w:themeColor="text1"/>
          <w:spacing w:val="6"/>
          <w:sz w:val="32"/>
          <w:szCs w:val="32"/>
          <w:lang w:eastAsia="zh-CN"/>
        </w:rPr>
        <w:t>万元，上升</w:t>
      </w:r>
      <w:r>
        <w:rPr>
          <w:rFonts w:hint="default" w:ascii="Times New Roman" w:eastAsia="Times New Roman" w:cs="Times New Roman"/>
          <w:color w:val="000000" w:themeColor="text1"/>
          <w:sz w:val="32"/>
          <w:szCs w:val="32"/>
          <w:lang w:val="en-US" w:eastAsia="zh-CN"/>
        </w:rPr>
        <w:t>1</w:t>
      </w:r>
      <w:r>
        <w:rPr>
          <w:rFonts w:hint="eastAsia" w:ascii="Times New Roman" w:eastAsia="Times New Roman" w:cs="Times New Roman"/>
          <w:color w:val="000000" w:themeColor="text1"/>
          <w:sz w:val="32"/>
          <w:szCs w:val="32"/>
          <w:lang w:eastAsia="zh-CN"/>
        </w:rPr>
        <w:t>2.94</w:t>
      </w:r>
      <w:r>
        <w:rPr>
          <w:rFonts w:ascii="Times New Roman" w:eastAsia="Times New Roman" w:cs="Times New Roman"/>
          <w:color w:val="000000" w:themeColor="text1"/>
          <w:sz w:val="32"/>
          <w:szCs w:val="32"/>
          <w:lang w:eastAsia="zh-CN"/>
        </w:rPr>
        <w:t>%</w:t>
      </w:r>
      <w:r>
        <w:rPr>
          <w:rFonts w:hint="eastAsia" w:cs="Arial"/>
          <w:color w:val="000000" w:themeColor="text1"/>
          <w:spacing w:val="6"/>
          <w:sz w:val="32"/>
          <w:szCs w:val="32"/>
          <w:lang w:eastAsia="zh-CN"/>
        </w:rPr>
        <w:t>，主要原因是新增配电房</w:t>
      </w:r>
      <w:r>
        <w:rPr>
          <w:rFonts w:hint="eastAsia"/>
          <w:color w:val="000000" w:themeColor="text1"/>
          <w:sz w:val="32"/>
          <w:szCs w:val="32"/>
          <w:lang w:eastAsia="zh-CN"/>
        </w:rPr>
        <w:t>改造项目支出</w:t>
      </w:r>
      <w:r>
        <w:rPr>
          <w:rFonts w:hint="eastAsia" w:ascii="Times New Roman" w:cs="Times New Roman"/>
          <w:sz w:val="32"/>
          <w:szCs w:val="32"/>
          <w:lang w:eastAsia="zh-CN"/>
        </w:rPr>
        <w:t>。</w:t>
      </w:r>
    </w:p>
    <w:p w14:paraId="77AFD2F0">
      <w:pPr>
        <w:pStyle w:val="15"/>
        <w:spacing w:line="560" w:lineRule="exact"/>
        <w:ind w:left="0"/>
        <w:jc w:val="center"/>
        <w:rPr>
          <w:spacing w:val="2"/>
          <w:lang w:eastAsia="zh-CN"/>
        </w:rPr>
      </w:pPr>
      <w:r>
        <w:rPr>
          <w:spacing w:val="2"/>
          <w:lang w:eastAsia="zh-CN"/>
        </w:rPr>
        <w:t>图</w:t>
      </w:r>
      <w:r>
        <w:rPr>
          <w:rFonts w:ascii="Times New Roman" w:eastAsia="Times New Roman" w:cs="Times New Roman"/>
          <w:spacing w:val="2"/>
          <w:lang w:eastAsia="zh-CN"/>
        </w:rPr>
        <w:t>5</w:t>
      </w:r>
      <w:r>
        <w:rPr>
          <w:spacing w:val="2"/>
          <w:lang w:eastAsia="zh-CN"/>
        </w:rPr>
        <w:t>：财政拨款支出决算变动情况</w:t>
      </w:r>
    </w:p>
    <w:p w14:paraId="15743D9E">
      <w:pPr>
        <w:pStyle w:val="15"/>
        <w:spacing w:line="560" w:lineRule="exact"/>
        <w:ind w:left="0"/>
        <w:jc w:val="center"/>
        <w:rPr>
          <w:rFonts w:cs="方正仿宋_GBK"/>
          <w:spacing w:val="4"/>
          <w:lang w:eastAsia="zh-CN"/>
        </w:rPr>
      </w:pPr>
      <w:r>
        <w:rPr>
          <w:rFonts w:cs="方正仿宋_GBK"/>
          <w:spacing w:val="4"/>
          <w:lang w:eastAsia="zh-CN"/>
        </w:rPr>
        <w:t>（单位：万元）</w:t>
      </w:r>
    </w:p>
    <w:p w14:paraId="51AB8A03">
      <w:pPr>
        <w:pStyle w:val="15"/>
        <w:spacing w:line="560" w:lineRule="exact"/>
        <w:ind w:left="0"/>
        <w:jc w:val="center"/>
        <w:outlineLvl w:val="9"/>
        <w:rPr>
          <w:rFonts w:cs="方正仿宋_GBK"/>
          <w:spacing w:val="4"/>
          <w:lang w:eastAsia="zh-CN"/>
        </w:rPr>
      </w:pPr>
      <w:r>
        <w:rPr>
          <w:rFonts w:cs="方正仿宋_GBK"/>
          <w:spacing w:val="4"/>
          <w:lang w:eastAsia="zh-CN"/>
        </w:rPr>
        <w:drawing>
          <wp:anchor distT="0" distB="0" distL="114300" distR="114300" simplePos="0" relativeHeight="251663360" behindDoc="0" locked="0" layoutInCell="1" allowOverlap="1">
            <wp:simplePos x="0" y="0"/>
            <wp:positionH relativeFrom="column">
              <wp:posOffset>196850</wp:posOffset>
            </wp:positionH>
            <wp:positionV relativeFrom="paragraph">
              <wp:posOffset>305435</wp:posOffset>
            </wp:positionV>
            <wp:extent cx="5256530" cy="2988310"/>
            <wp:effectExtent l="5080" t="4445" r="15240" b="17145"/>
            <wp:wrapSquare wrapText="bothSides"/>
            <wp:docPr id="144" name="图表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595A2B48">
      <w:pPr>
        <w:pStyle w:val="15"/>
        <w:spacing w:line="560" w:lineRule="exact"/>
        <w:ind w:left="0"/>
        <w:jc w:val="center"/>
        <w:outlineLvl w:val="9"/>
        <w:rPr>
          <w:rFonts w:cs="方正仿宋_GBK"/>
          <w:spacing w:val="4"/>
          <w:lang w:eastAsia="zh-CN"/>
        </w:rPr>
      </w:pPr>
    </w:p>
    <w:p w14:paraId="7163C821">
      <w:pPr>
        <w:pStyle w:val="15"/>
        <w:spacing w:line="560" w:lineRule="exact"/>
        <w:ind w:left="0"/>
        <w:jc w:val="center"/>
        <w:outlineLvl w:val="9"/>
        <w:rPr>
          <w:rFonts w:cs="方正仿宋_GBK"/>
          <w:spacing w:val="4"/>
          <w:lang w:eastAsia="zh-CN"/>
        </w:rPr>
      </w:pPr>
    </w:p>
    <w:p w14:paraId="692E8379">
      <w:pPr>
        <w:pStyle w:val="15"/>
        <w:spacing w:line="560" w:lineRule="exact"/>
        <w:ind w:left="0"/>
        <w:jc w:val="center"/>
        <w:outlineLvl w:val="9"/>
        <w:rPr>
          <w:rFonts w:cs="方正仿宋_GBK"/>
          <w:spacing w:val="4"/>
          <w:lang w:eastAsia="zh-CN"/>
        </w:rPr>
      </w:pPr>
    </w:p>
    <w:p w14:paraId="3D331F80">
      <w:pPr>
        <w:spacing w:line="560" w:lineRule="exact"/>
        <w:ind w:firstLine="638" w:firstLineChars="200"/>
        <w:jc w:val="both"/>
        <w:rPr>
          <w:rFonts w:ascii="方正仿宋_GBK" w:eastAsia="方正仿宋_GBK" w:cs="方正仿宋_GBK"/>
          <w:b/>
          <w:bCs/>
          <w:spacing w:val="4"/>
          <w:sz w:val="31"/>
          <w:szCs w:val="31"/>
          <w:lang w:eastAsia="zh-CN"/>
        </w:rPr>
      </w:pPr>
    </w:p>
    <w:p w14:paraId="357EDD4C">
      <w:pPr>
        <w:spacing w:line="560" w:lineRule="exact"/>
        <w:ind w:firstLine="638" w:firstLineChars="200"/>
        <w:jc w:val="both"/>
        <w:rPr>
          <w:rFonts w:ascii="方正仿宋_GBK" w:eastAsia="方正仿宋_GBK" w:cs="方正仿宋_GBK"/>
          <w:b/>
          <w:bCs/>
          <w:spacing w:val="4"/>
          <w:sz w:val="31"/>
          <w:szCs w:val="31"/>
          <w:lang w:eastAsia="zh-CN"/>
        </w:rPr>
      </w:pPr>
    </w:p>
    <w:p w14:paraId="191B8E13">
      <w:pPr>
        <w:spacing w:line="560" w:lineRule="exact"/>
        <w:ind w:firstLine="440" w:firstLineChars="200"/>
        <w:jc w:val="both"/>
        <w:rPr>
          <w:lang w:eastAsia="zh-CN"/>
        </w:rPr>
      </w:pPr>
    </w:p>
    <w:p w14:paraId="68E8FD67">
      <w:pPr>
        <w:spacing w:line="560" w:lineRule="exact"/>
        <w:ind w:firstLine="400" w:firstLineChars="200"/>
        <w:jc w:val="both"/>
        <w:rPr>
          <w:rFonts w:ascii="方正仿宋_GBK" w:eastAsia="方正仿宋_GBK" w:cs="方正仿宋_GBK"/>
          <w:sz w:val="20"/>
          <w:szCs w:val="20"/>
          <w:lang w:eastAsia="zh-CN"/>
        </w:rPr>
        <w:sectPr>
          <w:pgSz w:w="11922" w:h="16849"/>
          <w:pgMar w:top="1440" w:right="1757" w:bottom="1440" w:left="1757" w:header="0" w:footer="765" w:gutter="0"/>
          <w:cols w:space="0" w:num="1"/>
          <w:docGrid w:linePitch="312" w:charSpace="0"/>
        </w:sectPr>
      </w:pPr>
    </w:p>
    <w:p w14:paraId="5A5B5104">
      <w:pPr>
        <w:pStyle w:val="3"/>
        <w:spacing w:line="560" w:lineRule="exact"/>
        <w:ind w:left="0" w:firstLine="643" w:firstLineChars="200"/>
        <w:jc w:val="both"/>
        <w:rPr>
          <w:rFonts w:ascii="方正楷体_GBK" w:eastAsia="方正楷体_GBK" w:cs="方正楷体_GBK"/>
          <w:b/>
          <w:bCs/>
          <w:sz w:val="32"/>
          <w:szCs w:val="32"/>
          <w:lang w:eastAsia="zh-CN"/>
        </w:rPr>
      </w:pPr>
      <w:r>
        <w:rPr>
          <w:rFonts w:ascii="方正楷体_GBK" w:eastAsia="方正楷体_GBK" w:cs="方正楷体_GBK"/>
          <w:b/>
          <w:bCs/>
          <w:sz w:val="32"/>
          <w:szCs w:val="32"/>
          <w:lang w:eastAsia="zh-CN"/>
        </w:rPr>
        <w:t>（二）财政拨款支出决算结构情况。</w:t>
      </w:r>
    </w:p>
    <w:p w14:paraId="366D5FA2">
      <w:pPr>
        <w:pStyle w:val="3"/>
        <w:spacing w:line="560" w:lineRule="exact"/>
        <w:ind w:left="0" w:firstLine="640" w:firstLineChars="200"/>
        <w:jc w:val="both"/>
        <w:rPr>
          <w:rFonts w:cs="方正仿宋_GBK"/>
          <w:sz w:val="32"/>
          <w:szCs w:val="32"/>
          <w:lang w:eastAsia="zh-CN"/>
        </w:rPr>
      </w:pPr>
      <w:r>
        <w:rPr>
          <w:rFonts w:ascii="Times New Roman" w:eastAsia="Times New Roman" w:cs="Times New Roman"/>
          <w:color w:val="000000" w:themeColor="text1"/>
          <w:sz w:val="32"/>
          <w:szCs w:val="32"/>
          <w:lang w:eastAsia="zh-CN"/>
        </w:rPr>
        <w:t>2025</w:t>
      </w:r>
      <w:r>
        <w:rPr>
          <w:color w:val="000000" w:themeColor="text1"/>
          <w:sz w:val="32"/>
          <w:szCs w:val="32"/>
          <w:lang w:eastAsia="zh-CN"/>
        </w:rPr>
        <w:t>年度财政拨款支出</w:t>
      </w:r>
      <w:r>
        <w:rPr>
          <w:rFonts w:hint="eastAsia" w:ascii="Times New Roman" w:eastAsia="宋体" w:cs="Times New Roman"/>
          <w:color w:val="000000" w:themeColor="text1"/>
          <w:sz w:val="32"/>
          <w:szCs w:val="32"/>
          <w:lang w:eastAsia="zh-CN"/>
        </w:rPr>
        <w:t>1,527.27</w:t>
      </w:r>
      <w:r>
        <w:rPr>
          <w:color w:val="000000" w:themeColor="text1"/>
          <w:sz w:val="32"/>
          <w:szCs w:val="32"/>
          <w:lang w:eastAsia="zh-CN"/>
        </w:rPr>
        <w:t>万元，主要用于以下方面：</w:t>
      </w:r>
      <w:r>
        <w:rPr>
          <w:color w:val="000000" w:themeColor="text1"/>
          <w:spacing w:val="4"/>
          <w:sz w:val="32"/>
          <w:szCs w:val="32"/>
          <w:lang w:eastAsia="zh-CN"/>
        </w:rPr>
        <w:t>一般公共服务支出</w:t>
      </w:r>
      <w:r>
        <w:rPr>
          <w:rFonts w:hint="eastAsia" w:ascii="Times New Roman" w:eastAsia="宋体" w:cs="Times New Roman"/>
          <w:color w:val="000000" w:themeColor="text1"/>
          <w:sz w:val="32"/>
          <w:szCs w:val="32"/>
          <w:lang w:eastAsia="zh-CN"/>
        </w:rPr>
        <w:t>1,160.56</w:t>
      </w:r>
      <w:r>
        <w:rPr>
          <w:color w:val="000000" w:themeColor="text1"/>
          <w:spacing w:val="4"/>
          <w:sz w:val="32"/>
          <w:szCs w:val="32"/>
          <w:lang w:eastAsia="zh-CN"/>
        </w:rPr>
        <w:t>万元，占</w:t>
      </w:r>
      <w:r>
        <w:rPr>
          <w:rFonts w:hint="eastAsia" w:ascii="Times New Roman" w:eastAsia="宋体" w:cs="Times New Roman"/>
          <w:color w:val="000000" w:themeColor="text1"/>
          <w:sz w:val="32"/>
          <w:szCs w:val="32"/>
          <w:lang w:eastAsia="zh-CN"/>
        </w:rPr>
        <w:t>75.99</w:t>
      </w:r>
      <w:r>
        <w:rPr>
          <w:rFonts w:ascii="Times New Roman" w:eastAsia="Times New Roman" w:cs="Times New Roman"/>
          <w:color w:val="000000" w:themeColor="text1"/>
          <w:sz w:val="32"/>
          <w:szCs w:val="32"/>
          <w:lang w:eastAsia="zh-CN"/>
        </w:rPr>
        <w:t>%</w:t>
      </w:r>
      <w:r>
        <w:rPr>
          <w:color w:val="000000" w:themeColor="text1"/>
          <w:spacing w:val="4"/>
          <w:sz w:val="32"/>
          <w:szCs w:val="32"/>
          <w:lang w:eastAsia="zh-CN"/>
        </w:rPr>
        <w:t>；</w:t>
      </w:r>
      <w:r>
        <w:rPr>
          <w:color w:val="000000" w:themeColor="text1"/>
          <w:spacing w:val="2"/>
          <w:sz w:val="32"/>
          <w:szCs w:val="32"/>
          <w:lang w:eastAsia="zh-CN"/>
        </w:rPr>
        <w:t>公共安全支出</w:t>
      </w:r>
      <w:r>
        <w:rPr>
          <w:rFonts w:hint="eastAsia" w:ascii="Times New Roman" w:eastAsia="宋体" w:cs="Times New Roman"/>
          <w:color w:val="000000" w:themeColor="text1"/>
          <w:sz w:val="32"/>
          <w:szCs w:val="32"/>
          <w:lang w:eastAsia="zh-CN"/>
        </w:rPr>
        <w:t>36.20</w:t>
      </w:r>
      <w:r>
        <w:rPr>
          <w:color w:val="000000" w:themeColor="text1"/>
          <w:spacing w:val="2"/>
          <w:sz w:val="32"/>
          <w:szCs w:val="32"/>
          <w:lang w:eastAsia="zh-CN"/>
        </w:rPr>
        <w:t>万元，占</w:t>
      </w:r>
      <w:r>
        <w:rPr>
          <w:rFonts w:hint="eastAsia" w:ascii="Times New Roman" w:eastAsia="宋体" w:cs="Times New Roman"/>
          <w:color w:val="000000" w:themeColor="text1"/>
          <w:sz w:val="32"/>
          <w:szCs w:val="32"/>
          <w:lang w:eastAsia="zh-CN"/>
        </w:rPr>
        <w:t>2.37</w:t>
      </w:r>
      <w:r>
        <w:rPr>
          <w:rFonts w:ascii="Times New Roman" w:eastAsia="Times New Roman" w:cs="Times New Roman"/>
          <w:color w:val="000000" w:themeColor="text1"/>
          <w:sz w:val="32"/>
          <w:szCs w:val="32"/>
          <w:lang w:eastAsia="zh-CN"/>
        </w:rPr>
        <w:t>%</w:t>
      </w:r>
      <w:r>
        <w:rPr>
          <w:color w:val="000000" w:themeColor="text1"/>
          <w:spacing w:val="2"/>
          <w:sz w:val="32"/>
          <w:szCs w:val="32"/>
          <w:lang w:eastAsia="zh-CN"/>
        </w:rPr>
        <w:t>；</w:t>
      </w:r>
      <w:r>
        <w:rPr>
          <w:color w:val="000000" w:themeColor="text1"/>
          <w:spacing w:val="14"/>
          <w:sz w:val="32"/>
          <w:szCs w:val="32"/>
          <w:lang w:eastAsia="zh-CN"/>
        </w:rPr>
        <w:t>社会保障和就业支出</w:t>
      </w:r>
      <w:r>
        <w:rPr>
          <w:rFonts w:hint="eastAsia" w:ascii="Times New Roman" w:eastAsia="宋体" w:cs="Times New Roman"/>
          <w:color w:val="000000" w:themeColor="text1"/>
          <w:sz w:val="32"/>
          <w:szCs w:val="32"/>
          <w:lang w:eastAsia="zh-CN"/>
        </w:rPr>
        <w:t>125.12</w:t>
      </w:r>
      <w:r>
        <w:rPr>
          <w:color w:val="000000" w:themeColor="text1"/>
          <w:spacing w:val="14"/>
          <w:sz w:val="32"/>
          <w:szCs w:val="32"/>
          <w:lang w:eastAsia="zh-CN"/>
        </w:rPr>
        <w:t>万元，占</w:t>
      </w:r>
      <w:r>
        <w:rPr>
          <w:rFonts w:hint="eastAsia" w:ascii="Times New Roman" w:eastAsia="宋体" w:cs="Times New Roman"/>
          <w:color w:val="000000" w:themeColor="text1"/>
          <w:sz w:val="32"/>
          <w:szCs w:val="32"/>
          <w:lang w:eastAsia="zh-CN"/>
        </w:rPr>
        <w:t>8.19</w:t>
      </w:r>
      <w:r>
        <w:rPr>
          <w:rFonts w:ascii="Times New Roman" w:eastAsia="Times New Roman" w:cs="Times New Roman"/>
          <w:color w:val="000000" w:themeColor="text1"/>
          <w:sz w:val="32"/>
          <w:szCs w:val="32"/>
          <w:lang w:eastAsia="zh-CN"/>
        </w:rPr>
        <w:t>%</w:t>
      </w:r>
      <w:r>
        <w:rPr>
          <w:color w:val="000000" w:themeColor="text1"/>
          <w:sz w:val="32"/>
          <w:szCs w:val="32"/>
          <w:lang w:eastAsia="zh-CN"/>
        </w:rPr>
        <w:t>；</w:t>
      </w:r>
      <w:r>
        <w:rPr>
          <w:color w:val="000000" w:themeColor="text1"/>
          <w:spacing w:val="14"/>
          <w:sz w:val="32"/>
          <w:szCs w:val="32"/>
          <w:lang w:eastAsia="zh-CN"/>
        </w:rPr>
        <w:t>卫生健康支出</w:t>
      </w:r>
      <w:r>
        <w:rPr>
          <w:rFonts w:hint="eastAsia" w:ascii="Times New Roman" w:eastAsia="宋体" w:cs="Times New Roman"/>
          <w:color w:val="000000" w:themeColor="text1"/>
          <w:sz w:val="32"/>
          <w:szCs w:val="32"/>
          <w:lang w:eastAsia="zh-CN"/>
        </w:rPr>
        <w:t>82.41</w:t>
      </w:r>
      <w:r>
        <w:rPr>
          <w:color w:val="000000" w:themeColor="text1"/>
          <w:spacing w:val="5"/>
          <w:sz w:val="32"/>
          <w:szCs w:val="32"/>
          <w:lang w:eastAsia="zh-CN"/>
        </w:rPr>
        <w:t>万元，</w:t>
      </w:r>
      <w:r>
        <w:rPr>
          <w:color w:val="000000" w:themeColor="text1"/>
          <w:sz w:val="32"/>
          <w:szCs w:val="32"/>
          <w:lang w:eastAsia="zh-CN"/>
        </w:rPr>
        <w:t>占</w:t>
      </w:r>
      <w:r>
        <w:rPr>
          <w:rFonts w:hint="eastAsia" w:ascii="Times New Roman" w:eastAsia="宋体" w:cs="Times New Roman"/>
          <w:color w:val="000000" w:themeColor="text1"/>
          <w:sz w:val="32"/>
          <w:szCs w:val="32"/>
          <w:lang w:eastAsia="zh-CN"/>
        </w:rPr>
        <w:t>5.40</w:t>
      </w:r>
      <w:r>
        <w:rPr>
          <w:rFonts w:ascii="Times New Roman" w:eastAsia="Times New Roman" w:cs="Times New Roman"/>
          <w:color w:val="000000" w:themeColor="text1"/>
          <w:sz w:val="32"/>
          <w:szCs w:val="32"/>
          <w:lang w:eastAsia="zh-CN"/>
        </w:rPr>
        <w:t>%</w:t>
      </w:r>
      <w:r>
        <w:rPr>
          <w:color w:val="000000" w:themeColor="text1"/>
          <w:sz w:val="32"/>
          <w:szCs w:val="32"/>
          <w:lang w:eastAsia="zh-CN"/>
        </w:rPr>
        <w:t>；</w:t>
      </w:r>
      <w:r>
        <w:rPr>
          <w:color w:val="000000" w:themeColor="text1"/>
          <w:spacing w:val="27"/>
          <w:sz w:val="32"/>
          <w:szCs w:val="32"/>
          <w:lang w:eastAsia="zh-CN"/>
        </w:rPr>
        <w:t>住房保障支出</w:t>
      </w:r>
      <w:r>
        <w:rPr>
          <w:rFonts w:hint="eastAsia" w:ascii="Times New Roman" w:eastAsia="宋体" w:cs="Times New Roman"/>
          <w:color w:val="000000" w:themeColor="text1"/>
          <w:sz w:val="32"/>
          <w:szCs w:val="32"/>
          <w:lang w:eastAsia="zh-CN"/>
        </w:rPr>
        <w:t>122.98</w:t>
      </w:r>
      <w:r>
        <w:rPr>
          <w:color w:val="000000" w:themeColor="text1"/>
          <w:sz w:val="32"/>
          <w:szCs w:val="32"/>
          <w:lang w:eastAsia="zh-CN"/>
        </w:rPr>
        <w:t>万元，占</w:t>
      </w:r>
      <w:r>
        <w:rPr>
          <w:rFonts w:hint="eastAsia" w:ascii="Times New Roman" w:eastAsia="宋体" w:cs="Times New Roman"/>
          <w:color w:val="000000" w:themeColor="text1"/>
          <w:sz w:val="32"/>
          <w:szCs w:val="32"/>
          <w:lang w:eastAsia="zh-CN"/>
        </w:rPr>
        <w:t>8.05</w:t>
      </w:r>
      <w:r>
        <w:rPr>
          <w:rFonts w:ascii="Times New Roman" w:eastAsia="Times New Roman" w:cs="Times New Roman"/>
          <w:color w:val="000000" w:themeColor="text1"/>
          <w:sz w:val="32"/>
          <w:szCs w:val="32"/>
          <w:lang w:eastAsia="zh-CN"/>
        </w:rPr>
        <w:t>%</w:t>
      </w:r>
      <w:r>
        <w:rPr>
          <w:rFonts w:hint="eastAsia"/>
          <w:color w:val="000000" w:themeColor="text1"/>
          <w:sz w:val="32"/>
          <w:szCs w:val="32"/>
          <w:lang w:eastAsia="zh-CN"/>
        </w:rPr>
        <w:t>。</w:t>
      </w:r>
    </w:p>
    <w:p w14:paraId="2089285F">
      <w:pPr>
        <w:pStyle w:val="15"/>
        <w:spacing w:line="560" w:lineRule="exact"/>
        <w:ind w:left="0"/>
        <w:jc w:val="center"/>
        <w:rPr>
          <w:spacing w:val="2"/>
          <w:lang w:eastAsia="zh-CN"/>
        </w:rPr>
      </w:pPr>
      <w:r>
        <w:rPr>
          <w:spacing w:val="2"/>
          <w:lang w:eastAsia="zh-CN"/>
        </w:rPr>
        <w:t>图</w:t>
      </w:r>
      <w:r>
        <w:rPr>
          <w:rFonts w:ascii="Times New Roman" w:eastAsia="Times New Roman" w:cs="Times New Roman"/>
          <w:spacing w:val="2"/>
          <w:lang w:eastAsia="zh-CN"/>
        </w:rPr>
        <w:t>6</w:t>
      </w:r>
      <w:r>
        <w:rPr>
          <w:spacing w:val="2"/>
          <w:lang w:eastAsia="zh-CN"/>
        </w:rPr>
        <w:t>：财政拨款支出决算结构</w:t>
      </w:r>
    </w:p>
    <w:p w14:paraId="01EA2C22">
      <w:pPr>
        <w:pStyle w:val="15"/>
        <w:spacing w:line="560" w:lineRule="exact"/>
        <w:ind w:left="0"/>
        <w:jc w:val="center"/>
        <w:rPr>
          <w:rFonts w:cs="方正仿宋_GBK"/>
          <w:spacing w:val="4"/>
          <w:lang w:eastAsia="zh-CN"/>
        </w:rPr>
      </w:pPr>
      <w:r>
        <w:rPr>
          <w:rFonts w:cs="方正仿宋_GBK"/>
          <w:spacing w:val="4"/>
          <w:lang w:eastAsia="zh-CN"/>
        </w:rPr>
        <w:t>（单位：万元）</w:t>
      </w:r>
    </w:p>
    <w:p w14:paraId="648E4F8E">
      <w:pPr>
        <w:pStyle w:val="15"/>
        <w:spacing w:line="560" w:lineRule="exact"/>
        <w:ind w:left="0" w:firstLine="622" w:firstLineChars="200"/>
        <w:jc w:val="both"/>
        <w:outlineLvl w:val="9"/>
        <w:rPr>
          <w:lang w:eastAsia="zh-CN"/>
        </w:rPr>
      </w:pPr>
      <w:r>
        <w:rPr>
          <w:lang w:eastAsia="zh-CN"/>
        </w:rPr>
        <w:drawing>
          <wp:anchor distT="0" distB="0" distL="114300" distR="114300" simplePos="0" relativeHeight="251664384" behindDoc="0" locked="0" layoutInCell="1" allowOverlap="1">
            <wp:simplePos x="0" y="0"/>
            <wp:positionH relativeFrom="column">
              <wp:posOffset>255905</wp:posOffset>
            </wp:positionH>
            <wp:positionV relativeFrom="paragraph">
              <wp:posOffset>136525</wp:posOffset>
            </wp:positionV>
            <wp:extent cx="5256530" cy="2988310"/>
            <wp:effectExtent l="5080" t="4445" r="15240" b="171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2810E8C9">
      <w:pPr>
        <w:pStyle w:val="15"/>
        <w:spacing w:line="560" w:lineRule="exact"/>
        <w:ind w:left="0" w:firstLine="622" w:firstLineChars="200"/>
        <w:jc w:val="both"/>
        <w:outlineLvl w:val="9"/>
        <w:rPr>
          <w:lang w:eastAsia="zh-CN"/>
        </w:rPr>
      </w:pPr>
    </w:p>
    <w:p w14:paraId="2927FDF6">
      <w:pPr>
        <w:spacing w:line="560" w:lineRule="exact"/>
        <w:ind w:firstLine="400" w:firstLineChars="200"/>
        <w:jc w:val="both"/>
        <w:rPr>
          <w:rFonts w:ascii="方正仿宋_GBK" w:eastAsia="方正仿宋_GBK" w:cs="方正仿宋_GBK"/>
          <w:sz w:val="20"/>
          <w:szCs w:val="20"/>
          <w:lang w:eastAsia="zh-CN"/>
        </w:rPr>
      </w:pPr>
    </w:p>
    <w:p w14:paraId="5E582F78">
      <w:pPr>
        <w:spacing w:line="560" w:lineRule="exact"/>
        <w:ind w:firstLine="400" w:firstLineChars="200"/>
        <w:jc w:val="both"/>
        <w:rPr>
          <w:rFonts w:ascii="方正仿宋_GBK" w:eastAsia="方正仿宋_GBK" w:cs="方正仿宋_GBK"/>
          <w:sz w:val="20"/>
          <w:szCs w:val="20"/>
          <w:lang w:eastAsia="zh-CN"/>
        </w:rPr>
        <w:sectPr>
          <w:headerReference r:id="rId12" w:type="default"/>
          <w:pgSz w:w="11922" w:h="16849"/>
          <w:pgMar w:top="1440" w:right="1757" w:bottom="1440" w:left="1757" w:header="0" w:footer="765" w:gutter="0"/>
          <w:cols w:space="0" w:num="1"/>
          <w:docGrid w:linePitch="312" w:charSpace="0"/>
        </w:sectPr>
      </w:pPr>
    </w:p>
    <w:p w14:paraId="18B4AFE2">
      <w:pPr>
        <w:pStyle w:val="3"/>
        <w:spacing w:line="560" w:lineRule="exact"/>
        <w:ind w:left="0" w:firstLine="643" w:firstLineChars="200"/>
        <w:jc w:val="both"/>
        <w:rPr>
          <w:rFonts w:ascii="方正楷体_GBK" w:eastAsia="方正楷体_GBK" w:cs="方正楷体_GBK"/>
          <w:b/>
          <w:bCs/>
          <w:sz w:val="32"/>
          <w:szCs w:val="32"/>
          <w:lang w:eastAsia="zh-CN"/>
        </w:rPr>
      </w:pPr>
      <w:r>
        <w:rPr>
          <w:rFonts w:ascii="方正楷体_GBK" w:eastAsia="方正楷体_GBK" w:cs="方正楷体_GBK"/>
          <w:b/>
          <w:bCs/>
          <w:sz w:val="32"/>
          <w:szCs w:val="32"/>
          <w:lang w:eastAsia="zh-CN"/>
        </w:rPr>
        <w:t>（三）财政拨款支出决算具体情况。</w:t>
      </w:r>
    </w:p>
    <w:p w14:paraId="1A600F51">
      <w:pPr>
        <w:pStyle w:val="3"/>
        <w:spacing w:line="560" w:lineRule="exact"/>
        <w:ind w:left="0" w:firstLine="640" w:firstLineChars="200"/>
        <w:jc w:val="both"/>
        <w:rPr>
          <w:color w:val="000000" w:themeColor="text1"/>
          <w:sz w:val="32"/>
          <w:szCs w:val="32"/>
          <w:lang w:eastAsia="zh-CN"/>
        </w:rPr>
      </w:pPr>
      <w:r>
        <w:rPr>
          <w:rFonts w:ascii="Times New Roman" w:eastAsia="Times New Roman" w:cs="Times New Roman"/>
          <w:sz w:val="32"/>
          <w:szCs w:val="32"/>
          <w:lang w:eastAsia="zh-CN"/>
        </w:rPr>
        <w:t>2025</w:t>
      </w:r>
      <w:r>
        <w:rPr>
          <w:spacing w:val="9"/>
          <w:sz w:val="32"/>
          <w:szCs w:val="32"/>
          <w:lang w:eastAsia="zh-CN"/>
        </w:rPr>
        <w:t>年度财政拨款支出为</w:t>
      </w:r>
      <w:r>
        <w:rPr>
          <w:rFonts w:hint="eastAsia" w:ascii="Times New Roman" w:eastAsia="宋体" w:cs="Times New Roman"/>
          <w:sz w:val="32"/>
          <w:szCs w:val="32"/>
          <w:lang w:eastAsia="zh-CN"/>
        </w:rPr>
        <w:t>1527.27</w:t>
      </w:r>
      <w:r>
        <w:rPr>
          <w:color w:val="000000" w:themeColor="text1"/>
          <w:spacing w:val="9"/>
          <w:sz w:val="32"/>
          <w:szCs w:val="32"/>
          <w:lang w:eastAsia="zh-CN"/>
        </w:rPr>
        <w:t>万元</w:t>
      </w:r>
      <w:r>
        <w:rPr>
          <w:rFonts w:ascii="Times New Roman" w:eastAsia="Times New Roman" w:cs="Times New Roman"/>
          <w:color w:val="000000" w:themeColor="text1"/>
          <w:spacing w:val="9"/>
          <w:sz w:val="32"/>
          <w:szCs w:val="32"/>
          <w:lang w:eastAsia="zh-CN"/>
        </w:rPr>
        <w:t>,</w:t>
      </w:r>
      <w:r>
        <w:rPr>
          <w:color w:val="000000" w:themeColor="text1"/>
          <w:spacing w:val="9"/>
          <w:sz w:val="32"/>
          <w:szCs w:val="32"/>
          <w:lang w:eastAsia="zh-CN"/>
        </w:rPr>
        <w:t>支出具体情况如</w:t>
      </w:r>
      <w:r>
        <w:rPr>
          <w:color w:val="000000" w:themeColor="text1"/>
          <w:sz w:val="32"/>
          <w:szCs w:val="32"/>
          <w:lang w:eastAsia="zh-CN"/>
        </w:rPr>
        <w:t>下：</w:t>
      </w:r>
    </w:p>
    <w:p w14:paraId="113660C4">
      <w:pPr>
        <w:spacing w:line="560" w:lineRule="exact"/>
        <w:ind w:firstLine="652" w:firstLineChars="198"/>
        <w:jc w:val="both"/>
        <w:rPr>
          <w:rFonts w:cs="Times New Roman" w:asciiTheme="minorEastAsia" w:hAnsiTheme="minorEastAsia" w:eastAsiaTheme="minorEastAsia"/>
          <w:color w:val="000000" w:themeColor="text1"/>
          <w:sz w:val="32"/>
          <w:szCs w:val="32"/>
          <w:lang w:eastAsia="zh-CN"/>
        </w:rPr>
      </w:pPr>
      <w:r>
        <w:rPr>
          <w:rFonts w:hint="eastAsia" w:eastAsia="方正仿宋_GBK" w:cs="Times New Roman"/>
          <w:b/>
          <w:bCs/>
          <w:color w:val="000000" w:themeColor="text1"/>
          <w:spacing w:val="4"/>
          <w:sz w:val="32"/>
          <w:szCs w:val="32"/>
          <w:lang w:eastAsia="zh-CN"/>
        </w:rPr>
        <w:t>1.</w:t>
      </w:r>
      <w:r>
        <w:rPr>
          <w:rFonts w:eastAsia="方正仿宋_GBK" w:cs="Times New Roman"/>
          <w:b/>
          <w:bCs/>
          <w:color w:val="000000" w:themeColor="text1"/>
          <w:spacing w:val="4"/>
          <w:sz w:val="32"/>
          <w:szCs w:val="32"/>
          <w:lang w:eastAsia="zh-CN"/>
        </w:rPr>
        <w:t>一般公共服务支出（类）海关事务（款）行政运行（项）。</w:t>
      </w:r>
      <w:r>
        <w:rPr>
          <w:rFonts w:eastAsia="方正仿宋_GBK" w:cs="Times New Roman"/>
          <w:color w:val="000000" w:themeColor="text1"/>
          <w:spacing w:val="7"/>
          <w:sz w:val="32"/>
          <w:szCs w:val="32"/>
          <w:lang w:eastAsia="zh-CN"/>
        </w:rPr>
        <w:t>年初预算为</w:t>
      </w:r>
      <w:r>
        <w:rPr>
          <w:rFonts w:hint="eastAsia" w:eastAsia="宋体" w:cs="Times New Roman"/>
          <w:color w:val="000000" w:themeColor="text1"/>
          <w:sz w:val="32"/>
          <w:szCs w:val="32"/>
          <w:lang w:eastAsia="zh-CN"/>
        </w:rPr>
        <w:t>774.61</w:t>
      </w:r>
      <w:r>
        <w:rPr>
          <w:rFonts w:eastAsia="方正仿宋_GBK" w:cs="Times New Roman"/>
          <w:color w:val="000000" w:themeColor="text1"/>
          <w:spacing w:val="7"/>
          <w:sz w:val="32"/>
          <w:szCs w:val="32"/>
          <w:lang w:eastAsia="zh-CN"/>
        </w:rPr>
        <w:t>万元，</w:t>
      </w:r>
      <w:r>
        <w:rPr>
          <w:rFonts w:hint="eastAsia" w:eastAsia="方正仿宋_GBK" w:cs="Times New Roman"/>
          <w:color w:val="000000" w:themeColor="text1"/>
          <w:spacing w:val="7"/>
          <w:sz w:val="32"/>
          <w:szCs w:val="32"/>
          <w:lang w:eastAsia="zh-CN"/>
        </w:rPr>
        <w:t>调整预算10万元，</w:t>
      </w:r>
      <w:r>
        <w:rPr>
          <w:rFonts w:eastAsia="方正仿宋_GBK" w:cs="Times New Roman"/>
          <w:color w:val="000000" w:themeColor="text1"/>
          <w:spacing w:val="7"/>
          <w:sz w:val="32"/>
          <w:szCs w:val="32"/>
          <w:lang w:eastAsia="zh-CN"/>
        </w:rPr>
        <w:t>支出决算为</w:t>
      </w:r>
      <w:r>
        <w:rPr>
          <w:rFonts w:hint="eastAsia" w:eastAsia="宋体" w:cs="Times New Roman"/>
          <w:color w:val="000000" w:themeColor="text1"/>
          <w:sz w:val="32"/>
          <w:szCs w:val="32"/>
          <w:lang w:eastAsia="zh-CN"/>
        </w:rPr>
        <w:t>784.61</w:t>
      </w:r>
      <w:r>
        <w:rPr>
          <w:rFonts w:eastAsia="方正仿宋_GBK" w:cs="Times New Roman"/>
          <w:color w:val="000000" w:themeColor="text1"/>
          <w:spacing w:val="7"/>
          <w:sz w:val="32"/>
          <w:szCs w:val="32"/>
          <w:lang w:eastAsia="zh-CN"/>
        </w:rPr>
        <w:t>万元，</w:t>
      </w:r>
      <w:r>
        <w:rPr>
          <w:rFonts w:eastAsia="方正仿宋_GBK" w:cs="Times New Roman"/>
          <w:color w:val="000000" w:themeColor="text1"/>
          <w:spacing w:val="4"/>
          <w:sz w:val="32"/>
          <w:szCs w:val="32"/>
          <w:lang w:eastAsia="zh-CN"/>
        </w:rPr>
        <w:t>完成</w:t>
      </w:r>
      <w:r>
        <w:rPr>
          <w:rFonts w:hint="eastAsia" w:eastAsia="方正仿宋_GBK" w:cs="Times New Roman"/>
          <w:color w:val="000000" w:themeColor="text1"/>
          <w:spacing w:val="4"/>
          <w:sz w:val="32"/>
          <w:szCs w:val="32"/>
          <w:lang w:eastAsia="zh-CN"/>
        </w:rPr>
        <w:t>年初</w:t>
      </w:r>
      <w:r>
        <w:rPr>
          <w:rFonts w:eastAsia="方正仿宋_GBK" w:cs="Times New Roman"/>
          <w:color w:val="000000" w:themeColor="text1"/>
          <w:sz w:val="32"/>
          <w:szCs w:val="32"/>
          <w:lang w:eastAsia="zh-CN"/>
        </w:rPr>
        <w:t>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hint="eastAsia" w:cs="Times New Roman" w:asciiTheme="minorEastAsia" w:hAnsiTheme="minorEastAsia" w:eastAsiaTheme="minorEastAsia"/>
          <w:color w:val="000000" w:themeColor="text1"/>
          <w:sz w:val="32"/>
          <w:szCs w:val="32"/>
          <w:lang w:eastAsia="zh-CN"/>
        </w:rPr>
        <w:t>。</w:t>
      </w:r>
    </w:p>
    <w:p w14:paraId="0C040A70">
      <w:pPr>
        <w:spacing w:line="560" w:lineRule="exact"/>
        <w:ind w:firstLine="659" w:firstLineChars="200"/>
        <w:jc w:val="both"/>
        <w:rPr>
          <w:rFonts w:eastAsia="方正仿宋_GBK" w:cs="Times New Roman"/>
          <w:color w:val="FF0000"/>
          <w:spacing w:val="7"/>
          <w:sz w:val="32"/>
          <w:szCs w:val="32"/>
          <w:lang w:eastAsia="zh-CN"/>
        </w:rPr>
      </w:pPr>
      <w:r>
        <w:rPr>
          <w:rFonts w:hint="eastAsia" w:eastAsia="方正仿宋_GBK" w:cs="Times New Roman"/>
          <w:b/>
          <w:bCs/>
          <w:color w:val="000000" w:themeColor="text1"/>
          <w:spacing w:val="4"/>
          <w:sz w:val="32"/>
          <w:szCs w:val="32"/>
          <w:lang w:eastAsia="zh-CN"/>
        </w:rPr>
        <w:t>2.</w:t>
      </w:r>
      <w:r>
        <w:rPr>
          <w:rFonts w:eastAsia="方正仿宋_GBK" w:cs="Times New Roman"/>
          <w:b/>
          <w:bCs/>
          <w:color w:val="000000" w:themeColor="text1"/>
          <w:spacing w:val="4"/>
          <w:sz w:val="32"/>
          <w:szCs w:val="32"/>
          <w:lang w:eastAsia="zh-CN"/>
        </w:rPr>
        <w:t>一般公共服务支出（类）海关事务（款）</w:t>
      </w:r>
      <w:r>
        <w:rPr>
          <w:rFonts w:hint="eastAsia" w:eastAsia="方正仿宋_GBK" w:cs="Times New Roman"/>
          <w:b/>
          <w:bCs/>
          <w:color w:val="000000" w:themeColor="text1"/>
          <w:spacing w:val="4"/>
          <w:sz w:val="32"/>
          <w:szCs w:val="32"/>
          <w:lang w:eastAsia="zh-CN"/>
        </w:rPr>
        <w:t>一般行政管理事务</w:t>
      </w:r>
      <w:r>
        <w:rPr>
          <w:rFonts w:eastAsia="方正仿宋_GBK" w:cs="Times New Roman"/>
          <w:b/>
          <w:bCs/>
          <w:color w:val="000000" w:themeColor="text1"/>
          <w:spacing w:val="4"/>
          <w:sz w:val="32"/>
          <w:szCs w:val="32"/>
          <w:lang w:eastAsia="zh-CN"/>
        </w:rPr>
        <w:t>（项）。</w:t>
      </w:r>
      <w:r>
        <w:rPr>
          <w:rFonts w:eastAsia="方正仿宋_GBK" w:cs="Times New Roman"/>
          <w:color w:val="000000" w:themeColor="text1"/>
          <w:spacing w:val="7"/>
          <w:sz w:val="32"/>
          <w:szCs w:val="32"/>
          <w:lang w:eastAsia="zh-CN"/>
        </w:rPr>
        <w:t>年初预算为</w:t>
      </w:r>
      <w:r>
        <w:rPr>
          <w:rFonts w:hint="eastAsia" w:eastAsia="方正仿宋_GBK" w:cs="Times New Roman"/>
          <w:color w:val="000000" w:themeColor="text1"/>
          <w:spacing w:val="7"/>
          <w:sz w:val="32"/>
          <w:szCs w:val="32"/>
          <w:lang w:eastAsia="zh-CN"/>
        </w:rPr>
        <w:t>0.00</w:t>
      </w:r>
      <w:r>
        <w:rPr>
          <w:rFonts w:eastAsia="方正仿宋_GBK" w:cs="Times New Roman"/>
          <w:color w:val="000000" w:themeColor="text1"/>
          <w:spacing w:val="7"/>
          <w:sz w:val="32"/>
          <w:szCs w:val="32"/>
          <w:lang w:eastAsia="zh-CN"/>
        </w:rPr>
        <w:t>万元</w:t>
      </w:r>
      <w:r>
        <w:rPr>
          <w:rFonts w:hint="eastAsia" w:eastAsia="方正仿宋_GBK" w:cs="Times New Roman"/>
          <w:color w:val="000000" w:themeColor="text1"/>
          <w:spacing w:val="7"/>
          <w:sz w:val="32"/>
          <w:szCs w:val="32"/>
          <w:lang w:eastAsia="zh-CN"/>
        </w:rPr>
        <w:t>,调整</w:t>
      </w:r>
      <w:r>
        <w:rPr>
          <w:rFonts w:eastAsia="方正仿宋_GBK" w:cs="Times New Roman"/>
          <w:color w:val="000000" w:themeColor="text1"/>
          <w:spacing w:val="7"/>
          <w:sz w:val="32"/>
          <w:szCs w:val="32"/>
          <w:lang w:eastAsia="zh-CN"/>
        </w:rPr>
        <w:t>预算为</w:t>
      </w:r>
      <w:r>
        <w:rPr>
          <w:rFonts w:hint="eastAsia" w:eastAsia="方正仿宋_GBK" w:cs="Times New Roman"/>
          <w:color w:val="000000" w:themeColor="text1"/>
          <w:spacing w:val="7"/>
          <w:sz w:val="32"/>
          <w:szCs w:val="32"/>
          <w:lang w:eastAsia="zh-CN"/>
        </w:rPr>
        <w:t>8.00</w:t>
      </w:r>
      <w:r>
        <w:rPr>
          <w:rFonts w:eastAsia="方正仿宋_GBK" w:cs="Times New Roman"/>
          <w:color w:val="000000" w:themeColor="text1"/>
          <w:spacing w:val="7"/>
          <w:sz w:val="32"/>
          <w:szCs w:val="32"/>
          <w:lang w:eastAsia="zh-CN"/>
        </w:rPr>
        <w:t>万元，支出决算为</w:t>
      </w:r>
      <w:r>
        <w:rPr>
          <w:rFonts w:hint="eastAsia" w:eastAsia="方正仿宋_GBK" w:cs="Times New Roman"/>
          <w:color w:val="000000" w:themeColor="text1"/>
          <w:spacing w:val="7"/>
          <w:sz w:val="32"/>
          <w:szCs w:val="32"/>
          <w:lang w:eastAsia="zh-CN"/>
        </w:rPr>
        <w:t>8.00</w:t>
      </w:r>
      <w:r>
        <w:rPr>
          <w:rFonts w:eastAsia="方正仿宋_GBK" w:cs="Times New Roman"/>
          <w:color w:val="000000" w:themeColor="text1"/>
          <w:spacing w:val="7"/>
          <w:sz w:val="32"/>
          <w:szCs w:val="32"/>
          <w:lang w:eastAsia="zh-CN"/>
        </w:rPr>
        <w:t>万元，完成年初预算的</w:t>
      </w:r>
      <w:r>
        <w:rPr>
          <w:rFonts w:hint="eastAsia" w:eastAsia="方正仿宋_GBK" w:cs="Times New Roman"/>
          <w:color w:val="000000" w:themeColor="text1"/>
          <w:spacing w:val="7"/>
          <w:sz w:val="32"/>
          <w:szCs w:val="32"/>
          <w:lang w:eastAsia="zh-CN"/>
        </w:rPr>
        <w:t>100</w:t>
      </w:r>
      <w:r>
        <w:rPr>
          <w:rFonts w:eastAsia="方正仿宋_GBK" w:cs="Times New Roman"/>
          <w:color w:val="000000" w:themeColor="text1"/>
          <w:spacing w:val="7"/>
          <w:sz w:val="32"/>
          <w:szCs w:val="32"/>
          <w:lang w:eastAsia="zh-CN"/>
        </w:rPr>
        <w:t>%。</w:t>
      </w:r>
    </w:p>
    <w:p w14:paraId="5DFD2AA4">
      <w:pPr>
        <w:spacing w:line="560" w:lineRule="exact"/>
        <w:ind w:firstLine="659" w:firstLineChars="200"/>
        <w:jc w:val="both"/>
        <w:rPr>
          <w:rFonts w:eastAsia="方正仿宋_GBK" w:cs="Times New Roman"/>
          <w:color w:val="000000" w:themeColor="text1"/>
          <w:sz w:val="32"/>
          <w:szCs w:val="32"/>
          <w:lang w:eastAsia="zh-CN"/>
        </w:rPr>
      </w:pPr>
      <w:r>
        <w:rPr>
          <w:rFonts w:hint="eastAsia" w:cs="Times New Roman" w:eastAsiaTheme="minorEastAsia"/>
          <w:b/>
          <w:bCs/>
          <w:color w:val="000000" w:themeColor="text1"/>
          <w:spacing w:val="4"/>
          <w:sz w:val="32"/>
          <w:szCs w:val="32"/>
          <w:lang w:eastAsia="zh-CN"/>
        </w:rPr>
        <w:t>3</w:t>
      </w:r>
      <w:r>
        <w:rPr>
          <w:rFonts w:cs="Times New Roman"/>
          <w:b/>
          <w:bCs/>
          <w:color w:val="000000" w:themeColor="text1"/>
          <w:spacing w:val="4"/>
          <w:sz w:val="32"/>
          <w:szCs w:val="32"/>
          <w:lang w:eastAsia="zh-CN"/>
        </w:rPr>
        <w:t>.</w:t>
      </w:r>
      <w:r>
        <w:rPr>
          <w:rFonts w:eastAsia="方正仿宋_GBK" w:cs="Times New Roman"/>
          <w:b/>
          <w:bCs/>
          <w:color w:val="000000" w:themeColor="text1"/>
          <w:spacing w:val="4"/>
          <w:sz w:val="32"/>
          <w:szCs w:val="32"/>
          <w:lang w:eastAsia="zh-CN"/>
        </w:rPr>
        <w:t>一般公共服务支出（类）海关事务（款）缉私办案（项）。</w:t>
      </w:r>
      <w:r>
        <w:rPr>
          <w:rFonts w:eastAsia="方正仿宋_GBK" w:cs="Times New Roman"/>
          <w:color w:val="000000" w:themeColor="text1"/>
          <w:spacing w:val="4"/>
          <w:sz w:val="32"/>
          <w:szCs w:val="32"/>
          <w:lang w:eastAsia="zh-CN"/>
        </w:rPr>
        <w:t>年初预算为</w:t>
      </w:r>
      <w:r>
        <w:rPr>
          <w:rFonts w:hint="eastAsia" w:eastAsia="宋体" w:cs="Times New Roman"/>
          <w:color w:val="000000" w:themeColor="text1"/>
          <w:sz w:val="32"/>
          <w:szCs w:val="32"/>
          <w:lang w:eastAsia="zh-CN"/>
        </w:rPr>
        <w:t>2.34</w:t>
      </w:r>
      <w:r>
        <w:rPr>
          <w:rFonts w:eastAsia="方正仿宋_GBK" w:cs="Times New Roman"/>
          <w:color w:val="000000" w:themeColor="text1"/>
          <w:spacing w:val="4"/>
          <w:sz w:val="32"/>
          <w:szCs w:val="32"/>
          <w:lang w:eastAsia="zh-CN"/>
        </w:rPr>
        <w:t>万元，支出决算为</w:t>
      </w:r>
      <w:r>
        <w:rPr>
          <w:rFonts w:hint="eastAsia" w:eastAsia="宋体" w:cs="Times New Roman"/>
          <w:color w:val="000000" w:themeColor="text1"/>
          <w:sz w:val="32"/>
          <w:szCs w:val="32"/>
          <w:lang w:eastAsia="zh-CN"/>
        </w:rPr>
        <w:t>2.34</w:t>
      </w:r>
      <w:r>
        <w:rPr>
          <w:rFonts w:eastAsia="方正仿宋_GBK" w:cs="Times New Roman"/>
          <w:color w:val="000000" w:themeColor="text1"/>
          <w:spacing w:val="4"/>
          <w:sz w:val="32"/>
          <w:szCs w:val="32"/>
          <w:lang w:eastAsia="zh-CN"/>
        </w:rPr>
        <w:t>万元，完成年初</w:t>
      </w:r>
      <w:r>
        <w:rPr>
          <w:rFonts w:eastAsia="方正仿宋_GBK" w:cs="Times New Roman"/>
          <w:color w:val="000000" w:themeColor="text1"/>
          <w:sz w:val="32"/>
          <w:szCs w:val="32"/>
          <w:lang w:eastAsia="zh-CN"/>
        </w:rPr>
        <w:t>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eastAsia="方正仿宋_GBK" w:cs="Times New Roman"/>
          <w:color w:val="000000" w:themeColor="text1"/>
          <w:sz w:val="32"/>
          <w:szCs w:val="32"/>
          <w:lang w:eastAsia="zh-CN"/>
        </w:rPr>
        <w:t>。</w:t>
      </w:r>
    </w:p>
    <w:p w14:paraId="7C12A0A9">
      <w:pPr>
        <w:pStyle w:val="15"/>
        <w:spacing w:line="560" w:lineRule="exact"/>
        <w:ind w:left="0" w:firstLine="659" w:firstLineChars="200"/>
        <w:jc w:val="both"/>
        <w:rPr>
          <w:rFonts w:ascii="Times New Roman" w:cs="Times New Roman"/>
          <w:color w:val="000000" w:themeColor="text1"/>
          <w:sz w:val="32"/>
          <w:szCs w:val="32"/>
          <w:lang w:eastAsia="zh-CN"/>
        </w:rPr>
      </w:pPr>
      <w:r>
        <w:rPr>
          <w:rFonts w:hint="eastAsia" w:ascii="Times New Roman" w:eastAsia="宋体" w:cs="Times New Roman"/>
          <w:color w:val="000000" w:themeColor="text1"/>
          <w:spacing w:val="4"/>
          <w:sz w:val="32"/>
          <w:szCs w:val="32"/>
          <w:lang w:eastAsia="zh-CN"/>
        </w:rPr>
        <w:t>4</w:t>
      </w:r>
      <w:r>
        <w:rPr>
          <w:rFonts w:ascii="Times New Roman" w:eastAsia="Times New Roman" w:cs="Times New Roman"/>
          <w:color w:val="000000" w:themeColor="text1"/>
          <w:spacing w:val="4"/>
          <w:sz w:val="32"/>
          <w:szCs w:val="32"/>
          <w:lang w:eastAsia="zh-CN"/>
        </w:rPr>
        <w:t>.</w:t>
      </w:r>
      <w:r>
        <w:rPr>
          <w:rFonts w:ascii="Times New Roman" w:cs="Times New Roman"/>
          <w:color w:val="000000" w:themeColor="text1"/>
          <w:spacing w:val="18"/>
          <w:sz w:val="32"/>
          <w:szCs w:val="32"/>
          <w:lang w:eastAsia="zh-CN"/>
        </w:rPr>
        <w:t>一般公共</w:t>
      </w:r>
      <w:r>
        <w:rPr>
          <w:rFonts w:ascii="Times New Roman" w:cs="Times New Roman"/>
          <w:color w:val="000000" w:themeColor="text1"/>
          <w:spacing w:val="29"/>
          <w:sz w:val="32"/>
          <w:szCs w:val="32"/>
          <w:lang w:eastAsia="zh-CN"/>
        </w:rPr>
        <w:t>服务支出（</w:t>
      </w:r>
      <w:r>
        <w:rPr>
          <w:rFonts w:ascii="Times New Roman" w:cs="Times New Roman"/>
          <w:color w:val="000000" w:themeColor="text1"/>
          <w:spacing w:val="18"/>
          <w:sz w:val="32"/>
          <w:szCs w:val="32"/>
          <w:lang w:eastAsia="zh-CN"/>
        </w:rPr>
        <w:t>类）</w:t>
      </w:r>
      <w:r>
        <w:rPr>
          <w:rFonts w:ascii="Times New Roman" w:cs="Times New Roman"/>
          <w:color w:val="000000" w:themeColor="text1"/>
          <w:spacing w:val="24"/>
          <w:sz w:val="32"/>
          <w:szCs w:val="32"/>
          <w:lang w:eastAsia="zh-CN"/>
        </w:rPr>
        <w:t>海关事</w:t>
      </w:r>
      <w:r>
        <w:rPr>
          <w:rFonts w:ascii="Times New Roman" w:cs="Times New Roman"/>
          <w:color w:val="000000" w:themeColor="text1"/>
          <w:spacing w:val="18"/>
          <w:sz w:val="32"/>
          <w:szCs w:val="32"/>
          <w:lang w:eastAsia="zh-CN"/>
        </w:rPr>
        <w:t>务（款）</w:t>
      </w:r>
      <w:r>
        <w:rPr>
          <w:rFonts w:ascii="Times New Roman" w:cs="Times New Roman"/>
          <w:color w:val="000000" w:themeColor="text1"/>
          <w:sz w:val="32"/>
          <w:szCs w:val="32"/>
          <w:lang w:eastAsia="zh-CN"/>
        </w:rPr>
        <w:t>信</w:t>
      </w:r>
      <w:r>
        <w:rPr>
          <w:rFonts w:ascii="Times New Roman" w:cs="Times New Roman"/>
          <w:color w:val="000000" w:themeColor="text1"/>
          <w:spacing w:val="24"/>
          <w:sz w:val="32"/>
          <w:szCs w:val="32"/>
          <w:lang w:eastAsia="zh-CN"/>
        </w:rPr>
        <w:t>息化建</w:t>
      </w:r>
      <w:r>
        <w:rPr>
          <w:rFonts w:ascii="Times New Roman" w:cs="Times New Roman"/>
          <w:color w:val="000000" w:themeColor="text1"/>
          <w:sz w:val="32"/>
          <w:szCs w:val="32"/>
          <w:lang w:eastAsia="zh-CN"/>
        </w:rPr>
        <w:t>设</w:t>
      </w:r>
      <w:r>
        <w:rPr>
          <w:rFonts w:ascii="Times New Roman" w:cs="Times New Roman"/>
          <w:color w:val="000000" w:themeColor="text1"/>
          <w:spacing w:val="4"/>
          <w:sz w:val="32"/>
          <w:szCs w:val="32"/>
          <w:lang w:eastAsia="zh-CN"/>
        </w:rPr>
        <w:t>（项）。</w:t>
      </w:r>
      <w:r>
        <w:rPr>
          <w:rFonts w:ascii="Times New Roman" w:cs="Times New Roman"/>
          <w:b w:val="0"/>
          <w:color w:val="000000" w:themeColor="text1"/>
          <w:spacing w:val="4"/>
          <w:sz w:val="32"/>
          <w:szCs w:val="32"/>
          <w:lang w:eastAsia="zh-CN"/>
        </w:rPr>
        <w:t>年初预算为</w:t>
      </w:r>
      <w:r>
        <w:rPr>
          <w:rFonts w:hint="eastAsia" w:ascii="Times New Roman" w:eastAsia="宋体" w:cs="Times New Roman"/>
          <w:b w:val="0"/>
          <w:color w:val="000000" w:themeColor="text1"/>
          <w:sz w:val="32"/>
          <w:szCs w:val="32"/>
          <w:lang w:eastAsia="zh-CN"/>
        </w:rPr>
        <w:t>5.00</w:t>
      </w:r>
      <w:r>
        <w:rPr>
          <w:rFonts w:ascii="Times New Roman" w:cs="Times New Roman"/>
          <w:b w:val="0"/>
          <w:color w:val="000000" w:themeColor="text1"/>
          <w:spacing w:val="4"/>
          <w:sz w:val="32"/>
          <w:szCs w:val="32"/>
          <w:lang w:eastAsia="zh-CN"/>
        </w:rPr>
        <w:t>万元，支出决算为</w:t>
      </w:r>
      <w:r>
        <w:rPr>
          <w:rFonts w:hint="eastAsia" w:ascii="Times New Roman" w:eastAsia="宋体" w:cs="Times New Roman"/>
          <w:b w:val="0"/>
          <w:color w:val="000000" w:themeColor="text1"/>
          <w:sz w:val="32"/>
          <w:szCs w:val="32"/>
          <w:lang w:eastAsia="zh-CN"/>
        </w:rPr>
        <w:t>5.00</w:t>
      </w:r>
      <w:r>
        <w:rPr>
          <w:rFonts w:ascii="Times New Roman" w:cs="Times New Roman"/>
          <w:b w:val="0"/>
          <w:color w:val="000000" w:themeColor="text1"/>
          <w:spacing w:val="4"/>
          <w:sz w:val="32"/>
          <w:szCs w:val="32"/>
          <w:lang w:eastAsia="zh-CN"/>
        </w:rPr>
        <w:t>万元，完成年初预算的</w:t>
      </w:r>
      <w:r>
        <w:rPr>
          <w:rFonts w:ascii="Times New Roman" w:eastAsia="宋体" w:cs="Times New Roman"/>
          <w:b w:val="0"/>
          <w:bCs w:val="0"/>
          <w:color w:val="000000" w:themeColor="text1"/>
          <w:sz w:val="32"/>
          <w:szCs w:val="32"/>
          <w:lang w:eastAsia="zh-CN"/>
        </w:rPr>
        <w:t>100</w:t>
      </w:r>
      <w:r>
        <w:rPr>
          <w:rFonts w:ascii="Times New Roman" w:eastAsia="Times New Roman" w:cs="Times New Roman"/>
          <w:b w:val="0"/>
          <w:bCs w:val="0"/>
          <w:color w:val="000000" w:themeColor="text1"/>
          <w:sz w:val="32"/>
          <w:szCs w:val="32"/>
          <w:lang w:eastAsia="zh-CN"/>
        </w:rPr>
        <w:t>%</w:t>
      </w:r>
      <w:r>
        <w:rPr>
          <w:rFonts w:ascii="Times New Roman" w:cs="Times New Roman"/>
          <w:b w:val="0"/>
          <w:color w:val="000000" w:themeColor="text1"/>
          <w:spacing w:val="4"/>
          <w:sz w:val="32"/>
          <w:szCs w:val="32"/>
          <w:lang w:eastAsia="zh-CN"/>
        </w:rPr>
        <w:t>。</w:t>
      </w:r>
    </w:p>
    <w:p w14:paraId="2892E3CD">
      <w:pPr>
        <w:pStyle w:val="123"/>
        <w:spacing w:line="560" w:lineRule="exact"/>
        <w:ind w:left="0" w:firstLine="659" w:firstLineChars="200"/>
        <w:jc w:val="both"/>
        <w:rPr>
          <w:rFonts w:ascii="Times New Roman" w:cs="Times New Roman"/>
          <w:color w:val="000000" w:themeColor="text1"/>
          <w:sz w:val="32"/>
          <w:szCs w:val="32"/>
          <w:lang w:eastAsia="zh-CN"/>
        </w:rPr>
      </w:pPr>
      <w:r>
        <w:rPr>
          <w:rFonts w:hint="eastAsia" w:ascii="Times New Roman" w:eastAsia="宋体" w:cs="Times New Roman"/>
          <w:b/>
          <w:bCs/>
          <w:color w:val="000000" w:themeColor="text1"/>
          <w:spacing w:val="4"/>
          <w:sz w:val="32"/>
          <w:szCs w:val="32"/>
          <w:lang w:eastAsia="zh-CN"/>
        </w:rPr>
        <w:t>5</w:t>
      </w:r>
      <w:r>
        <w:rPr>
          <w:rFonts w:ascii="Times New Roman" w:eastAsia="Times New Roman" w:cs="Times New Roman"/>
          <w:b/>
          <w:bCs/>
          <w:color w:val="000000" w:themeColor="text1"/>
          <w:spacing w:val="4"/>
          <w:sz w:val="32"/>
          <w:szCs w:val="32"/>
          <w:lang w:eastAsia="zh-CN"/>
        </w:rPr>
        <w:t>.</w:t>
      </w:r>
      <w:r>
        <w:rPr>
          <w:rFonts w:ascii="Times New Roman" w:cs="Times New Roman"/>
          <w:b/>
          <w:bCs/>
          <w:color w:val="000000" w:themeColor="text1"/>
          <w:spacing w:val="18"/>
          <w:sz w:val="32"/>
          <w:szCs w:val="32"/>
          <w:lang w:eastAsia="zh-CN"/>
        </w:rPr>
        <w:t>一般公共服务支出（类）海关事务（款）海关关务（项）。</w:t>
      </w:r>
      <w:r>
        <w:rPr>
          <w:rFonts w:ascii="Times New Roman" w:cs="Times New Roman"/>
          <w:bCs/>
          <w:color w:val="000000" w:themeColor="text1"/>
          <w:spacing w:val="4"/>
          <w:sz w:val="32"/>
          <w:szCs w:val="32"/>
          <w:lang w:eastAsia="zh-CN"/>
        </w:rPr>
        <w:t>年初预算为</w:t>
      </w:r>
      <w:r>
        <w:rPr>
          <w:rFonts w:hint="eastAsia" w:ascii="Times New Roman" w:cs="Times New Roman"/>
          <w:color w:val="000000" w:themeColor="text1"/>
          <w:sz w:val="32"/>
          <w:szCs w:val="32"/>
          <w:lang w:eastAsia="zh-CN"/>
        </w:rPr>
        <w:t>305.87</w:t>
      </w:r>
      <w:r>
        <w:rPr>
          <w:rFonts w:ascii="Times New Roman" w:cs="Times New Roman"/>
          <w:color w:val="000000" w:themeColor="text1"/>
          <w:sz w:val="32"/>
          <w:szCs w:val="32"/>
          <w:lang w:eastAsia="zh-CN"/>
        </w:rPr>
        <w:t>万元，支出决算为</w:t>
      </w:r>
      <w:r>
        <w:rPr>
          <w:rFonts w:hint="eastAsia" w:ascii="Times New Roman" w:cs="Times New Roman"/>
          <w:color w:val="000000" w:themeColor="text1"/>
          <w:sz w:val="32"/>
          <w:szCs w:val="32"/>
          <w:lang w:eastAsia="zh-CN"/>
        </w:rPr>
        <w:t>305.87</w:t>
      </w:r>
      <w:r>
        <w:rPr>
          <w:rFonts w:ascii="Times New Roman" w:cs="Times New Roman"/>
          <w:color w:val="000000" w:themeColor="text1"/>
          <w:sz w:val="32"/>
          <w:szCs w:val="32"/>
          <w:lang w:eastAsia="zh-CN"/>
        </w:rPr>
        <w:t>万元，完成</w:t>
      </w:r>
      <w:r>
        <w:rPr>
          <w:rFonts w:hint="eastAsia" w:ascii="Times New Roman" w:cs="Times New Roman"/>
          <w:color w:val="000000" w:themeColor="text1"/>
          <w:sz w:val="32"/>
          <w:szCs w:val="32"/>
          <w:lang w:eastAsia="zh-CN"/>
        </w:rPr>
        <w:t>年</w:t>
      </w:r>
      <w:r>
        <w:rPr>
          <w:rFonts w:ascii="Times New Roman" w:cs="Times New Roman"/>
          <w:color w:val="000000" w:themeColor="text1"/>
          <w:sz w:val="32"/>
          <w:szCs w:val="32"/>
          <w:lang w:eastAsia="zh-CN"/>
        </w:rPr>
        <w:t>初预算的100%</w:t>
      </w:r>
      <w:r>
        <w:rPr>
          <w:rFonts w:ascii="Times New Roman" w:cs="Times New Roman"/>
          <w:bCs/>
          <w:color w:val="000000" w:themeColor="text1"/>
          <w:spacing w:val="4"/>
          <w:sz w:val="32"/>
          <w:szCs w:val="32"/>
          <w:lang w:eastAsia="zh-CN"/>
        </w:rPr>
        <w:t>。</w:t>
      </w:r>
    </w:p>
    <w:p w14:paraId="67CBACDF">
      <w:pPr>
        <w:pStyle w:val="42"/>
        <w:spacing w:line="560" w:lineRule="exact"/>
        <w:ind w:firstLine="659" w:firstLineChars="200"/>
        <w:jc w:val="both"/>
        <w:rPr>
          <w:rFonts w:eastAsia="方正仿宋_GBK" w:cs="Times New Roman"/>
          <w:color w:val="000000" w:themeColor="text1"/>
          <w:sz w:val="32"/>
          <w:szCs w:val="32"/>
          <w:lang w:eastAsia="zh-CN"/>
        </w:rPr>
      </w:pPr>
      <w:r>
        <w:rPr>
          <w:rFonts w:hint="eastAsia" w:eastAsia="宋体" w:cs="Times New Roman"/>
          <w:b/>
          <w:bCs/>
          <w:color w:val="000000" w:themeColor="text1"/>
          <w:spacing w:val="4"/>
          <w:sz w:val="32"/>
          <w:szCs w:val="32"/>
          <w:lang w:eastAsia="zh-CN"/>
        </w:rPr>
        <w:t>6</w:t>
      </w:r>
      <w:r>
        <w:rPr>
          <w:rFonts w:cs="Times New Roman"/>
          <w:b/>
          <w:bCs/>
          <w:color w:val="000000" w:themeColor="text1"/>
          <w:spacing w:val="4"/>
          <w:sz w:val="32"/>
          <w:szCs w:val="32"/>
          <w:lang w:eastAsia="zh-CN"/>
        </w:rPr>
        <w:t>.</w:t>
      </w:r>
      <w:r>
        <w:rPr>
          <w:rFonts w:eastAsia="方正仿宋_GBK" w:cs="Times New Roman"/>
          <w:b/>
          <w:bCs/>
          <w:color w:val="000000" w:themeColor="text1"/>
          <w:spacing w:val="4"/>
          <w:sz w:val="32"/>
          <w:szCs w:val="32"/>
          <w:lang w:eastAsia="zh-CN"/>
        </w:rPr>
        <w:t>一般公共服务支出（类）海关事务（款）海关监管（项）。</w:t>
      </w:r>
      <w:r>
        <w:rPr>
          <w:rFonts w:eastAsia="方正仿宋_GBK" w:cs="Times New Roman"/>
          <w:color w:val="000000" w:themeColor="text1"/>
          <w:spacing w:val="4"/>
          <w:sz w:val="32"/>
          <w:szCs w:val="32"/>
          <w:lang w:eastAsia="zh-CN"/>
        </w:rPr>
        <w:t>年初预算为</w:t>
      </w:r>
      <w:r>
        <w:rPr>
          <w:rFonts w:hint="eastAsia" w:eastAsia="宋体" w:cs="Times New Roman"/>
          <w:color w:val="000000" w:themeColor="text1"/>
          <w:sz w:val="32"/>
          <w:szCs w:val="32"/>
          <w:lang w:eastAsia="zh-CN"/>
        </w:rPr>
        <w:t>7.02</w:t>
      </w:r>
      <w:r>
        <w:rPr>
          <w:rFonts w:eastAsia="方正仿宋_GBK" w:cs="Times New Roman"/>
          <w:color w:val="000000" w:themeColor="text1"/>
          <w:spacing w:val="4"/>
          <w:sz w:val="32"/>
          <w:szCs w:val="32"/>
          <w:lang w:eastAsia="zh-CN"/>
        </w:rPr>
        <w:t>万元，支出决算为</w:t>
      </w:r>
      <w:r>
        <w:rPr>
          <w:rFonts w:hint="eastAsia" w:eastAsia="宋体" w:cs="Times New Roman"/>
          <w:color w:val="000000" w:themeColor="text1"/>
          <w:sz w:val="32"/>
          <w:szCs w:val="32"/>
          <w:lang w:eastAsia="zh-CN"/>
        </w:rPr>
        <w:t>7.02</w:t>
      </w:r>
      <w:r>
        <w:rPr>
          <w:rFonts w:eastAsia="方正仿宋_GBK" w:cs="Times New Roman"/>
          <w:color w:val="000000" w:themeColor="text1"/>
          <w:spacing w:val="4"/>
          <w:sz w:val="32"/>
          <w:szCs w:val="32"/>
          <w:lang w:eastAsia="zh-CN"/>
        </w:rPr>
        <w:t>万元，完成年初</w:t>
      </w:r>
      <w:r>
        <w:rPr>
          <w:rFonts w:eastAsia="方正仿宋_GBK" w:cs="Times New Roman"/>
          <w:color w:val="000000" w:themeColor="text1"/>
          <w:spacing w:val="3"/>
          <w:sz w:val="32"/>
          <w:szCs w:val="32"/>
          <w:lang w:eastAsia="zh-CN"/>
        </w:rPr>
        <w:t>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eastAsia="方正仿宋_GBK" w:cs="Times New Roman"/>
          <w:color w:val="000000" w:themeColor="text1"/>
          <w:spacing w:val="3"/>
          <w:sz w:val="32"/>
          <w:szCs w:val="32"/>
          <w:lang w:eastAsia="zh-CN"/>
        </w:rPr>
        <w:t>。</w:t>
      </w:r>
    </w:p>
    <w:p w14:paraId="669192D9">
      <w:pPr>
        <w:pStyle w:val="42"/>
        <w:spacing w:line="560" w:lineRule="exact"/>
        <w:ind w:firstLine="659" w:firstLineChars="200"/>
        <w:jc w:val="both"/>
        <w:rPr>
          <w:rFonts w:eastAsia="方正仿宋_GBK" w:cs="Times New Roman"/>
          <w:color w:val="000000" w:themeColor="text1"/>
          <w:spacing w:val="3"/>
          <w:sz w:val="32"/>
          <w:szCs w:val="32"/>
          <w:lang w:eastAsia="zh-CN"/>
        </w:rPr>
      </w:pPr>
      <w:r>
        <w:rPr>
          <w:rFonts w:hint="eastAsia" w:eastAsia="宋体" w:cs="Times New Roman"/>
          <w:b/>
          <w:bCs/>
          <w:color w:val="000000" w:themeColor="text1"/>
          <w:spacing w:val="4"/>
          <w:sz w:val="32"/>
          <w:szCs w:val="32"/>
          <w:lang w:eastAsia="zh-CN"/>
        </w:rPr>
        <w:t>7</w:t>
      </w:r>
      <w:r>
        <w:rPr>
          <w:rFonts w:cs="Times New Roman"/>
          <w:b/>
          <w:bCs/>
          <w:color w:val="000000" w:themeColor="text1"/>
          <w:spacing w:val="4"/>
          <w:sz w:val="32"/>
          <w:szCs w:val="32"/>
          <w:lang w:eastAsia="zh-CN"/>
        </w:rPr>
        <w:t>.</w:t>
      </w:r>
      <w:r>
        <w:rPr>
          <w:rFonts w:eastAsia="方正仿宋_GBK" w:cs="Times New Roman"/>
          <w:b/>
          <w:bCs/>
          <w:color w:val="000000" w:themeColor="text1"/>
          <w:spacing w:val="4"/>
          <w:sz w:val="32"/>
          <w:szCs w:val="32"/>
          <w:lang w:eastAsia="zh-CN"/>
        </w:rPr>
        <w:t>一般公共服务支出（类）海关事务（款）检验检疫（项）。</w:t>
      </w:r>
      <w:r>
        <w:rPr>
          <w:rFonts w:eastAsia="方正仿宋_GBK" w:cs="Times New Roman"/>
          <w:color w:val="000000" w:themeColor="text1"/>
          <w:spacing w:val="4"/>
          <w:sz w:val="32"/>
          <w:szCs w:val="32"/>
          <w:lang w:eastAsia="zh-CN"/>
        </w:rPr>
        <w:t>年初预算为</w:t>
      </w:r>
      <w:r>
        <w:rPr>
          <w:rFonts w:hint="eastAsia" w:eastAsia="宋体" w:cs="Times New Roman"/>
          <w:color w:val="000000" w:themeColor="text1"/>
          <w:sz w:val="32"/>
          <w:szCs w:val="32"/>
          <w:lang w:eastAsia="zh-CN"/>
        </w:rPr>
        <w:t>47.72</w:t>
      </w:r>
      <w:r>
        <w:rPr>
          <w:rFonts w:eastAsia="方正仿宋_GBK" w:cs="Times New Roman"/>
          <w:color w:val="000000" w:themeColor="text1"/>
          <w:spacing w:val="4"/>
          <w:sz w:val="32"/>
          <w:szCs w:val="32"/>
          <w:lang w:eastAsia="zh-CN"/>
        </w:rPr>
        <w:t>万元，支出决算为</w:t>
      </w:r>
      <w:r>
        <w:rPr>
          <w:rFonts w:hint="eastAsia" w:eastAsia="宋体" w:cs="Times New Roman"/>
          <w:color w:val="000000" w:themeColor="text1"/>
          <w:sz w:val="32"/>
          <w:szCs w:val="32"/>
          <w:lang w:eastAsia="zh-CN"/>
        </w:rPr>
        <w:t>47.72</w:t>
      </w:r>
      <w:r>
        <w:rPr>
          <w:rFonts w:eastAsia="方正仿宋_GBK" w:cs="Times New Roman"/>
          <w:color w:val="000000" w:themeColor="text1"/>
          <w:spacing w:val="4"/>
          <w:sz w:val="32"/>
          <w:szCs w:val="32"/>
          <w:lang w:eastAsia="zh-CN"/>
        </w:rPr>
        <w:t>万元，完成</w:t>
      </w:r>
      <w:r>
        <w:rPr>
          <w:rFonts w:hint="eastAsia" w:eastAsia="方正仿宋_GBK" w:cs="Times New Roman"/>
          <w:color w:val="000000" w:themeColor="text1"/>
          <w:spacing w:val="4"/>
          <w:sz w:val="32"/>
          <w:szCs w:val="32"/>
          <w:lang w:eastAsia="zh-CN"/>
        </w:rPr>
        <w:t>年初</w:t>
      </w:r>
      <w:r>
        <w:rPr>
          <w:rFonts w:eastAsia="方正仿宋_GBK" w:cs="Times New Roman"/>
          <w:color w:val="000000" w:themeColor="text1"/>
          <w:spacing w:val="3"/>
          <w:sz w:val="32"/>
          <w:szCs w:val="32"/>
          <w:lang w:eastAsia="zh-CN"/>
        </w:rPr>
        <w:t>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eastAsia="方正仿宋_GBK" w:cs="Times New Roman"/>
          <w:color w:val="000000" w:themeColor="text1"/>
          <w:spacing w:val="3"/>
          <w:sz w:val="32"/>
          <w:szCs w:val="32"/>
          <w:lang w:eastAsia="zh-CN"/>
        </w:rPr>
        <w:t>。</w:t>
      </w:r>
    </w:p>
    <w:p w14:paraId="7D1EE96F">
      <w:pPr>
        <w:pStyle w:val="56"/>
        <w:spacing w:line="560" w:lineRule="exact"/>
        <w:ind w:firstLine="659" w:firstLineChars="200"/>
        <w:jc w:val="both"/>
        <w:rPr>
          <w:rFonts w:eastAsia="方正仿宋_GBK" w:cs="Times New Roman"/>
          <w:color w:val="000000" w:themeColor="text1"/>
          <w:spacing w:val="3"/>
          <w:sz w:val="32"/>
          <w:szCs w:val="32"/>
          <w:lang w:eastAsia="zh-CN"/>
        </w:rPr>
      </w:pPr>
      <w:r>
        <w:rPr>
          <w:rFonts w:hint="eastAsia" w:eastAsia="宋体" w:cs="Times New Roman"/>
          <w:b/>
          <w:bCs/>
          <w:color w:val="000000" w:themeColor="text1"/>
          <w:spacing w:val="4"/>
          <w:sz w:val="32"/>
          <w:szCs w:val="32"/>
          <w:lang w:eastAsia="zh-CN"/>
        </w:rPr>
        <w:t>8.</w:t>
      </w:r>
      <w:r>
        <w:rPr>
          <w:rFonts w:hint="eastAsia" w:eastAsia="方正仿宋_GBK" w:cs="Times New Roman"/>
          <w:b/>
          <w:bCs/>
          <w:color w:val="000000" w:themeColor="text1"/>
          <w:spacing w:val="4"/>
          <w:sz w:val="32"/>
          <w:szCs w:val="32"/>
          <w:lang w:eastAsia="zh-CN"/>
        </w:rPr>
        <w:t>公</w:t>
      </w:r>
      <w:r>
        <w:rPr>
          <w:rFonts w:eastAsia="方正仿宋_GBK" w:cs="Times New Roman"/>
          <w:b/>
          <w:bCs/>
          <w:color w:val="000000" w:themeColor="text1"/>
          <w:spacing w:val="4"/>
          <w:sz w:val="32"/>
          <w:szCs w:val="32"/>
          <w:lang w:eastAsia="zh-CN"/>
        </w:rPr>
        <w:t>共安全支出（类）缉私警察（款）</w:t>
      </w:r>
      <w:r>
        <w:rPr>
          <w:rFonts w:eastAsia="方正仿宋_GBK" w:cs="Times New Roman"/>
          <w:b/>
          <w:bCs/>
          <w:color w:val="000000" w:themeColor="text1"/>
          <w:spacing w:val="15"/>
          <w:sz w:val="32"/>
          <w:szCs w:val="32"/>
          <w:lang w:eastAsia="zh-CN"/>
        </w:rPr>
        <w:t>行政运行（项）。</w:t>
      </w:r>
      <w:r>
        <w:rPr>
          <w:rFonts w:eastAsia="方正仿宋_GBK" w:cs="Times New Roman"/>
          <w:color w:val="000000" w:themeColor="text1"/>
          <w:spacing w:val="4"/>
          <w:sz w:val="32"/>
          <w:szCs w:val="32"/>
          <w:lang w:eastAsia="zh-CN"/>
        </w:rPr>
        <w:t>年初预算为</w:t>
      </w:r>
      <w:r>
        <w:rPr>
          <w:rFonts w:hint="eastAsia" w:eastAsia="方正仿宋_GBK" w:cs="Times New Roman"/>
          <w:color w:val="000000" w:themeColor="text1"/>
          <w:spacing w:val="4"/>
          <w:sz w:val="32"/>
          <w:szCs w:val="32"/>
          <w:lang w:eastAsia="zh-CN"/>
        </w:rPr>
        <w:t>35.67</w:t>
      </w:r>
      <w:r>
        <w:rPr>
          <w:rFonts w:eastAsia="方正仿宋_GBK" w:cs="Times New Roman"/>
          <w:color w:val="000000" w:themeColor="text1"/>
          <w:spacing w:val="4"/>
          <w:sz w:val="32"/>
          <w:szCs w:val="32"/>
          <w:lang w:eastAsia="zh-CN"/>
        </w:rPr>
        <w:t>万元，</w:t>
      </w:r>
      <w:r>
        <w:rPr>
          <w:rFonts w:hint="eastAsia" w:eastAsia="方正仿宋_GBK" w:cs="Times New Roman"/>
          <w:color w:val="000000" w:themeColor="text1"/>
          <w:spacing w:val="4"/>
          <w:sz w:val="32"/>
          <w:szCs w:val="32"/>
          <w:lang w:eastAsia="zh-CN"/>
        </w:rPr>
        <w:t>调整预算0.53万元,</w:t>
      </w:r>
      <w:r>
        <w:rPr>
          <w:rFonts w:eastAsia="方正仿宋_GBK" w:cs="Times New Roman"/>
          <w:color w:val="000000" w:themeColor="text1"/>
          <w:spacing w:val="4"/>
          <w:sz w:val="32"/>
          <w:szCs w:val="32"/>
          <w:lang w:eastAsia="zh-CN"/>
        </w:rPr>
        <w:t>支出决算为</w:t>
      </w:r>
      <w:r>
        <w:rPr>
          <w:rFonts w:hint="eastAsia" w:eastAsia="方正仿宋_GBK" w:cs="Times New Roman"/>
          <w:color w:val="000000" w:themeColor="text1"/>
          <w:spacing w:val="4"/>
          <w:sz w:val="32"/>
          <w:szCs w:val="32"/>
          <w:lang w:eastAsia="zh-CN"/>
        </w:rPr>
        <w:t>36.20</w:t>
      </w:r>
      <w:r>
        <w:rPr>
          <w:rFonts w:eastAsia="方正仿宋_GBK" w:cs="Times New Roman"/>
          <w:color w:val="000000" w:themeColor="text1"/>
          <w:spacing w:val="4"/>
          <w:sz w:val="32"/>
          <w:szCs w:val="32"/>
          <w:lang w:eastAsia="zh-CN"/>
        </w:rPr>
        <w:t>万元，完成</w:t>
      </w:r>
      <w:r>
        <w:rPr>
          <w:rFonts w:hint="eastAsia" w:eastAsia="方正仿宋_GBK" w:cs="Times New Roman"/>
          <w:color w:val="000000" w:themeColor="text1"/>
          <w:spacing w:val="4"/>
          <w:sz w:val="32"/>
          <w:szCs w:val="32"/>
          <w:lang w:eastAsia="zh-CN"/>
        </w:rPr>
        <w:t>年初</w:t>
      </w:r>
      <w:r>
        <w:rPr>
          <w:rFonts w:eastAsia="方正仿宋_GBK" w:cs="Times New Roman"/>
          <w:color w:val="000000" w:themeColor="text1"/>
          <w:spacing w:val="3"/>
          <w:sz w:val="32"/>
          <w:szCs w:val="32"/>
          <w:lang w:eastAsia="zh-CN"/>
        </w:rPr>
        <w:t>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eastAsia="方正仿宋_GBK" w:cs="Times New Roman"/>
          <w:color w:val="000000" w:themeColor="text1"/>
          <w:spacing w:val="3"/>
          <w:sz w:val="32"/>
          <w:szCs w:val="32"/>
          <w:lang w:eastAsia="zh-CN"/>
        </w:rPr>
        <w:t>。</w:t>
      </w:r>
    </w:p>
    <w:p w14:paraId="22AA25CE">
      <w:pPr>
        <w:pStyle w:val="56"/>
        <w:spacing w:line="560" w:lineRule="exact"/>
        <w:ind w:firstLine="679" w:firstLineChars="200"/>
        <w:jc w:val="both"/>
        <w:rPr>
          <w:rFonts w:eastAsia="方正仿宋_GBK" w:cs="Times New Roman"/>
          <w:bCs/>
          <w:color w:val="000000" w:themeColor="text1"/>
          <w:spacing w:val="8"/>
          <w:sz w:val="32"/>
          <w:szCs w:val="32"/>
          <w:lang w:eastAsia="zh-CN"/>
        </w:rPr>
      </w:pPr>
      <w:r>
        <w:rPr>
          <w:rFonts w:hint="eastAsia" w:eastAsia="宋体" w:cs="Times New Roman"/>
          <w:b/>
          <w:bCs/>
          <w:color w:val="000000" w:themeColor="text1"/>
          <w:spacing w:val="9"/>
          <w:sz w:val="32"/>
          <w:szCs w:val="32"/>
          <w:lang w:eastAsia="zh-CN"/>
        </w:rPr>
        <w:t>9</w:t>
      </w:r>
      <w:r>
        <w:rPr>
          <w:rFonts w:cs="Times New Roman"/>
          <w:b/>
          <w:bCs/>
          <w:color w:val="000000" w:themeColor="text1"/>
          <w:spacing w:val="9"/>
          <w:sz w:val="32"/>
          <w:szCs w:val="32"/>
          <w:lang w:eastAsia="zh-CN"/>
        </w:rPr>
        <w:t>.</w:t>
      </w:r>
      <w:r>
        <w:rPr>
          <w:rFonts w:eastAsia="方正仿宋_GBK" w:cs="Times New Roman"/>
          <w:b/>
          <w:bCs/>
          <w:color w:val="000000" w:themeColor="text1"/>
          <w:spacing w:val="10"/>
          <w:sz w:val="32"/>
          <w:szCs w:val="32"/>
          <w:lang w:eastAsia="zh-CN"/>
        </w:rPr>
        <w:t>社会保障和就业支出（类）行政事业单位养老支出（款）行政单位离退休（项）</w:t>
      </w:r>
      <w:r>
        <w:rPr>
          <w:rFonts w:cs="Times New Roman"/>
          <w:b/>
          <w:bCs/>
          <w:color w:val="000000" w:themeColor="text1"/>
          <w:spacing w:val="9"/>
          <w:sz w:val="32"/>
          <w:szCs w:val="32"/>
          <w:lang w:eastAsia="zh-CN"/>
        </w:rPr>
        <w:t>。</w:t>
      </w:r>
      <w:r>
        <w:rPr>
          <w:rFonts w:eastAsia="方正仿宋_GBK" w:cs="Times New Roman"/>
          <w:bCs/>
          <w:color w:val="000000" w:themeColor="text1"/>
          <w:spacing w:val="8"/>
          <w:sz w:val="32"/>
          <w:szCs w:val="32"/>
          <w:lang w:eastAsia="zh-CN"/>
        </w:rPr>
        <w:t>年初预算为</w:t>
      </w:r>
      <w:r>
        <w:rPr>
          <w:rFonts w:hint="eastAsia" w:eastAsia="宋体" w:cs="Times New Roman"/>
          <w:color w:val="000000" w:themeColor="text1"/>
          <w:sz w:val="32"/>
          <w:szCs w:val="32"/>
          <w:lang w:eastAsia="zh-CN"/>
        </w:rPr>
        <w:t>0.63</w:t>
      </w:r>
      <w:r>
        <w:rPr>
          <w:rFonts w:eastAsia="方正仿宋_GBK" w:cs="Times New Roman"/>
          <w:bCs/>
          <w:color w:val="000000" w:themeColor="text1"/>
          <w:spacing w:val="8"/>
          <w:sz w:val="32"/>
          <w:szCs w:val="32"/>
          <w:lang w:eastAsia="zh-CN"/>
        </w:rPr>
        <w:t>万元，支出决算为</w:t>
      </w:r>
      <w:r>
        <w:rPr>
          <w:rFonts w:hint="eastAsia" w:eastAsia="宋体" w:cs="Times New Roman"/>
          <w:color w:val="000000" w:themeColor="text1"/>
          <w:sz w:val="32"/>
          <w:szCs w:val="32"/>
          <w:lang w:eastAsia="zh-CN"/>
        </w:rPr>
        <w:t>0.63</w:t>
      </w:r>
      <w:r>
        <w:rPr>
          <w:rFonts w:eastAsia="方正仿宋_GBK" w:cs="Times New Roman"/>
          <w:bCs/>
          <w:color w:val="000000" w:themeColor="text1"/>
          <w:spacing w:val="8"/>
          <w:sz w:val="32"/>
          <w:szCs w:val="32"/>
          <w:lang w:eastAsia="zh-CN"/>
        </w:rPr>
        <w:t>万元，完成年初预算的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eastAsia="方正仿宋_GBK" w:cs="Times New Roman"/>
          <w:bCs/>
          <w:color w:val="000000" w:themeColor="text1"/>
          <w:spacing w:val="8"/>
          <w:sz w:val="32"/>
          <w:szCs w:val="32"/>
          <w:lang w:eastAsia="zh-CN"/>
        </w:rPr>
        <w:t>。</w:t>
      </w:r>
    </w:p>
    <w:p w14:paraId="715240D4">
      <w:pPr>
        <w:pStyle w:val="77"/>
        <w:spacing w:line="560" w:lineRule="exact"/>
        <w:ind w:left="0" w:firstLine="656" w:firstLineChars="200"/>
        <w:jc w:val="both"/>
        <w:rPr>
          <w:rFonts w:ascii="Times New Roman" w:cs="Times New Roman"/>
          <w:b w:val="0"/>
          <w:color w:val="000000" w:themeColor="text1"/>
          <w:spacing w:val="8"/>
          <w:sz w:val="32"/>
          <w:szCs w:val="32"/>
          <w:lang w:eastAsia="zh-CN"/>
        </w:rPr>
      </w:pPr>
      <w:r>
        <w:rPr>
          <w:rFonts w:ascii="Times New Roman" w:eastAsia="Times New Roman" w:cs="Times New Roman"/>
          <w:color w:val="000000" w:themeColor="text1"/>
          <w:spacing w:val="4"/>
          <w:sz w:val="32"/>
          <w:szCs w:val="32"/>
          <w:lang w:eastAsia="zh-CN"/>
        </w:rPr>
        <w:t>1</w:t>
      </w:r>
      <w:r>
        <w:rPr>
          <w:rFonts w:hint="eastAsia" w:ascii="Times New Roman" w:eastAsia="宋体" w:cs="Times New Roman"/>
          <w:color w:val="000000" w:themeColor="text1"/>
          <w:spacing w:val="4"/>
          <w:sz w:val="32"/>
          <w:szCs w:val="32"/>
          <w:lang w:eastAsia="zh-CN"/>
        </w:rPr>
        <w:t>0</w:t>
      </w:r>
      <w:r>
        <w:rPr>
          <w:rFonts w:ascii="Times New Roman" w:eastAsia="Times New Roman" w:cs="Times New Roman"/>
          <w:color w:val="000000" w:themeColor="text1"/>
          <w:spacing w:val="4"/>
          <w:sz w:val="32"/>
          <w:szCs w:val="32"/>
          <w:lang w:eastAsia="zh-CN"/>
        </w:rPr>
        <w:t>.</w:t>
      </w:r>
      <w:r>
        <w:rPr>
          <w:rFonts w:ascii="Times New Roman" w:cs="Times New Roman"/>
          <w:color w:val="000000" w:themeColor="text1"/>
          <w:spacing w:val="3"/>
          <w:sz w:val="32"/>
          <w:szCs w:val="32"/>
          <w:lang w:eastAsia="zh-CN"/>
        </w:rPr>
        <w:t>社会保障和就业支出（类）行政事业单位养老支出（款）</w:t>
      </w:r>
      <w:r>
        <w:rPr>
          <w:rFonts w:ascii="Times New Roman" w:cs="Times New Roman"/>
          <w:color w:val="000000" w:themeColor="text1"/>
          <w:sz w:val="32"/>
          <w:szCs w:val="32"/>
          <w:lang w:eastAsia="zh-CN"/>
        </w:rPr>
        <w:t>机关事业单位基本养老保险缴费支出（项）。</w:t>
      </w:r>
      <w:r>
        <w:rPr>
          <w:rFonts w:ascii="Times New Roman" w:cs="Times New Roman"/>
          <w:b w:val="0"/>
          <w:color w:val="000000" w:themeColor="text1"/>
          <w:spacing w:val="8"/>
          <w:sz w:val="32"/>
          <w:szCs w:val="32"/>
          <w:lang w:eastAsia="zh-CN"/>
        </w:rPr>
        <w:t>年初预算为</w:t>
      </w:r>
      <w:r>
        <w:rPr>
          <w:rFonts w:hint="eastAsia" w:ascii="Times New Roman" w:eastAsia="宋体" w:cs="Times New Roman"/>
          <w:b w:val="0"/>
          <w:bCs w:val="0"/>
          <w:color w:val="000000" w:themeColor="text1"/>
          <w:sz w:val="32"/>
          <w:szCs w:val="32"/>
          <w:lang w:eastAsia="zh-CN"/>
        </w:rPr>
        <w:t>82.99</w:t>
      </w:r>
      <w:r>
        <w:rPr>
          <w:rFonts w:ascii="Times New Roman" w:cs="Times New Roman"/>
          <w:b w:val="0"/>
          <w:color w:val="000000" w:themeColor="text1"/>
          <w:spacing w:val="8"/>
          <w:sz w:val="32"/>
          <w:szCs w:val="32"/>
          <w:lang w:eastAsia="zh-CN"/>
        </w:rPr>
        <w:t>万元，支出决算为</w:t>
      </w:r>
      <w:r>
        <w:rPr>
          <w:rFonts w:hint="eastAsia" w:ascii="Times New Roman" w:eastAsia="宋体" w:cs="Times New Roman"/>
          <w:b w:val="0"/>
          <w:bCs w:val="0"/>
          <w:color w:val="000000" w:themeColor="text1"/>
          <w:sz w:val="32"/>
          <w:szCs w:val="32"/>
          <w:lang w:eastAsia="zh-CN"/>
        </w:rPr>
        <w:t>82.99</w:t>
      </w:r>
      <w:r>
        <w:rPr>
          <w:rFonts w:ascii="Times New Roman" w:cs="Times New Roman"/>
          <w:b w:val="0"/>
          <w:color w:val="000000" w:themeColor="text1"/>
          <w:spacing w:val="8"/>
          <w:sz w:val="32"/>
          <w:szCs w:val="32"/>
          <w:lang w:eastAsia="zh-CN"/>
        </w:rPr>
        <w:t>万元，完成年初预算的</w:t>
      </w:r>
      <w:r>
        <w:rPr>
          <w:rFonts w:hint="eastAsia" w:ascii="Times New Roman" w:eastAsia="宋体" w:cs="Times New Roman"/>
          <w:b w:val="0"/>
          <w:bCs w:val="0"/>
          <w:color w:val="000000" w:themeColor="text1"/>
          <w:sz w:val="32"/>
          <w:szCs w:val="32"/>
          <w:lang w:eastAsia="zh-CN"/>
        </w:rPr>
        <w:t>100</w:t>
      </w:r>
      <w:r>
        <w:rPr>
          <w:rFonts w:ascii="Times New Roman" w:eastAsia="Times New Roman" w:cs="Times New Roman"/>
          <w:b w:val="0"/>
          <w:bCs w:val="0"/>
          <w:color w:val="000000" w:themeColor="text1"/>
          <w:sz w:val="32"/>
          <w:szCs w:val="32"/>
          <w:lang w:eastAsia="zh-CN"/>
        </w:rPr>
        <w:t>%</w:t>
      </w:r>
      <w:r>
        <w:rPr>
          <w:rFonts w:ascii="Times New Roman" w:cs="Times New Roman"/>
          <w:b w:val="0"/>
          <w:color w:val="000000" w:themeColor="text1"/>
          <w:spacing w:val="8"/>
          <w:sz w:val="32"/>
          <w:szCs w:val="32"/>
          <w:lang w:eastAsia="zh-CN"/>
        </w:rPr>
        <w:t>。</w:t>
      </w:r>
    </w:p>
    <w:p w14:paraId="433699F6">
      <w:pPr>
        <w:pStyle w:val="77"/>
        <w:spacing w:line="560" w:lineRule="exact"/>
        <w:ind w:left="0" w:firstLine="656" w:firstLineChars="200"/>
        <w:jc w:val="both"/>
        <w:rPr>
          <w:rFonts w:ascii="Times New Roman" w:cs="Times New Roman"/>
          <w:b w:val="0"/>
          <w:color w:val="000000" w:themeColor="text1"/>
          <w:spacing w:val="3"/>
          <w:sz w:val="32"/>
          <w:szCs w:val="32"/>
          <w:lang w:eastAsia="zh-CN"/>
        </w:rPr>
      </w:pPr>
      <w:r>
        <w:rPr>
          <w:rFonts w:ascii="Times New Roman" w:eastAsia="Times New Roman" w:cs="Times New Roman"/>
          <w:color w:val="000000" w:themeColor="text1"/>
          <w:spacing w:val="4"/>
          <w:sz w:val="32"/>
          <w:szCs w:val="32"/>
          <w:lang w:eastAsia="zh-CN"/>
        </w:rPr>
        <w:t>1</w:t>
      </w:r>
      <w:r>
        <w:rPr>
          <w:rFonts w:hint="eastAsia" w:ascii="Times New Roman" w:eastAsia="宋体" w:cs="Times New Roman"/>
          <w:color w:val="000000" w:themeColor="text1"/>
          <w:spacing w:val="4"/>
          <w:sz w:val="32"/>
          <w:szCs w:val="32"/>
          <w:lang w:eastAsia="zh-CN"/>
        </w:rPr>
        <w:t>1</w:t>
      </w:r>
      <w:r>
        <w:rPr>
          <w:rFonts w:ascii="Times New Roman" w:eastAsia="Times New Roman" w:cs="Times New Roman"/>
          <w:color w:val="000000" w:themeColor="text1"/>
          <w:spacing w:val="4"/>
          <w:sz w:val="32"/>
          <w:szCs w:val="32"/>
          <w:lang w:eastAsia="zh-CN"/>
        </w:rPr>
        <w:t>.</w:t>
      </w:r>
      <w:r>
        <w:rPr>
          <w:rFonts w:ascii="Times New Roman" w:cs="Times New Roman"/>
          <w:color w:val="000000" w:themeColor="text1"/>
          <w:spacing w:val="3"/>
          <w:sz w:val="32"/>
          <w:szCs w:val="32"/>
          <w:lang w:eastAsia="zh-CN"/>
        </w:rPr>
        <w:t>社会保障和就业支出（类）行政事业单位养老支出（款）</w:t>
      </w:r>
      <w:r>
        <w:rPr>
          <w:rFonts w:ascii="Times New Roman" w:cs="Times New Roman"/>
          <w:color w:val="000000" w:themeColor="text1"/>
          <w:spacing w:val="4"/>
          <w:sz w:val="32"/>
          <w:szCs w:val="32"/>
          <w:lang w:eastAsia="zh-CN"/>
        </w:rPr>
        <w:t>机关事业单位职业年金缴费支出（项）。</w:t>
      </w:r>
      <w:r>
        <w:rPr>
          <w:rFonts w:ascii="Times New Roman" w:cs="Times New Roman"/>
          <w:b w:val="0"/>
          <w:color w:val="000000" w:themeColor="text1"/>
          <w:spacing w:val="3"/>
          <w:sz w:val="32"/>
          <w:szCs w:val="32"/>
          <w:lang w:eastAsia="zh-CN"/>
        </w:rPr>
        <w:t>年初预算为</w:t>
      </w:r>
      <w:r>
        <w:rPr>
          <w:rFonts w:hint="eastAsia" w:ascii="Times New Roman" w:eastAsia="宋体" w:cs="Times New Roman"/>
          <w:b w:val="0"/>
          <w:bCs w:val="0"/>
          <w:color w:val="000000" w:themeColor="text1"/>
          <w:sz w:val="32"/>
          <w:szCs w:val="32"/>
          <w:lang w:eastAsia="zh-CN"/>
        </w:rPr>
        <w:t>41.50</w:t>
      </w:r>
      <w:r>
        <w:rPr>
          <w:rFonts w:ascii="Times New Roman" w:cs="Times New Roman"/>
          <w:b w:val="0"/>
          <w:color w:val="000000" w:themeColor="text1"/>
          <w:spacing w:val="3"/>
          <w:sz w:val="32"/>
          <w:szCs w:val="32"/>
          <w:lang w:eastAsia="zh-CN"/>
        </w:rPr>
        <w:t>万元，支出决算为</w:t>
      </w:r>
      <w:r>
        <w:rPr>
          <w:rFonts w:hint="eastAsia" w:ascii="Times New Roman" w:eastAsia="宋体" w:cs="Times New Roman"/>
          <w:b w:val="0"/>
          <w:bCs w:val="0"/>
          <w:color w:val="000000" w:themeColor="text1"/>
          <w:sz w:val="32"/>
          <w:szCs w:val="32"/>
          <w:lang w:eastAsia="zh-CN"/>
        </w:rPr>
        <w:t>41.50</w:t>
      </w:r>
      <w:r>
        <w:rPr>
          <w:rFonts w:ascii="Times New Roman" w:cs="Times New Roman"/>
          <w:b w:val="0"/>
          <w:color w:val="000000" w:themeColor="text1"/>
          <w:spacing w:val="3"/>
          <w:sz w:val="32"/>
          <w:szCs w:val="32"/>
          <w:lang w:eastAsia="zh-CN"/>
        </w:rPr>
        <w:t>万元，完成年初预算的</w:t>
      </w:r>
      <w:r>
        <w:rPr>
          <w:rFonts w:ascii="Times New Roman" w:eastAsia="宋体" w:cs="Times New Roman"/>
          <w:b w:val="0"/>
          <w:bCs w:val="0"/>
          <w:color w:val="000000" w:themeColor="text1"/>
          <w:sz w:val="32"/>
          <w:szCs w:val="32"/>
          <w:lang w:eastAsia="zh-CN"/>
        </w:rPr>
        <w:t>1</w:t>
      </w:r>
      <w:r>
        <w:rPr>
          <w:rFonts w:hint="eastAsia" w:ascii="Times New Roman" w:eastAsia="宋体" w:cs="Times New Roman"/>
          <w:b w:val="0"/>
          <w:bCs w:val="0"/>
          <w:color w:val="000000" w:themeColor="text1"/>
          <w:sz w:val="32"/>
          <w:szCs w:val="32"/>
          <w:lang w:eastAsia="zh-CN"/>
        </w:rPr>
        <w:t>00</w:t>
      </w:r>
      <w:r>
        <w:rPr>
          <w:rFonts w:ascii="Times New Roman" w:eastAsia="Times New Roman" w:cs="Times New Roman"/>
          <w:b w:val="0"/>
          <w:bCs w:val="0"/>
          <w:color w:val="000000" w:themeColor="text1"/>
          <w:sz w:val="32"/>
          <w:szCs w:val="32"/>
          <w:lang w:eastAsia="zh-CN"/>
        </w:rPr>
        <w:t>%</w:t>
      </w:r>
      <w:r>
        <w:rPr>
          <w:rFonts w:ascii="Times New Roman" w:cs="Times New Roman"/>
          <w:b w:val="0"/>
          <w:color w:val="000000" w:themeColor="text1"/>
          <w:spacing w:val="3"/>
          <w:sz w:val="32"/>
          <w:szCs w:val="32"/>
          <w:lang w:eastAsia="zh-CN"/>
        </w:rPr>
        <w:t>。</w:t>
      </w:r>
    </w:p>
    <w:p w14:paraId="16C89BA2">
      <w:pPr>
        <w:pStyle w:val="77"/>
        <w:spacing w:line="560" w:lineRule="exact"/>
        <w:ind w:left="0" w:firstLine="659" w:firstLineChars="200"/>
        <w:jc w:val="both"/>
        <w:rPr>
          <w:rFonts w:ascii="Times New Roman" w:cs="Times New Roman"/>
          <w:b w:val="0"/>
          <w:color w:val="000000" w:themeColor="text1"/>
          <w:spacing w:val="8"/>
          <w:sz w:val="32"/>
          <w:szCs w:val="32"/>
          <w:lang w:eastAsia="zh-CN"/>
        </w:rPr>
      </w:pPr>
      <w:r>
        <w:rPr>
          <w:rFonts w:ascii="Times New Roman" w:cs="Times New Roman"/>
          <w:color w:val="000000" w:themeColor="text1"/>
          <w:spacing w:val="4"/>
          <w:sz w:val="32"/>
          <w:szCs w:val="32"/>
          <w:lang w:eastAsia="zh-CN"/>
        </w:rPr>
        <w:t>1</w:t>
      </w:r>
      <w:r>
        <w:rPr>
          <w:rFonts w:hint="eastAsia" w:ascii="Times New Roman" w:cs="Times New Roman"/>
          <w:color w:val="000000" w:themeColor="text1"/>
          <w:spacing w:val="4"/>
          <w:sz w:val="32"/>
          <w:szCs w:val="32"/>
          <w:lang w:eastAsia="zh-CN"/>
        </w:rPr>
        <w:t>2</w:t>
      </w:r>
      <w:r>
        <w:rPr>
          <w:rFonts w:ascii="Times New Roman" w:cs="Times New Roman"/>
          <w:color w:val="000000" w:themeColor="text1"/>
          <w:spacing w:val="4"/>
          <w:sz w:val="32"/>
          <w:szCs w:val="32"/>
          <w:lang w:eastAsia="zh-CN"/>
        </w:rPr>
        <w:t>.卫生健康支出（类）行政事业单位医疗（款）行政单位医疗（项）。</w:t>
      </w:r>
      <w:r>
        <w:rPr>
          <w:rFonts w:ascii="Times New Roman" w:cs="Times New Roman"/>
          <w:b w:val="0"/>
          <w:color w:val="000000" w:themeColor="text1"/>
          <w:spacing w:val="4"/>
          <w:sz w:val="32"/>
          <w:szCs w:val="32"/>
          <w:lang w:eastAsia="zh-CN"/>
        </w:rPr>
        <w:t>年初预算为</w:t>
      </w:r>
      <w:r>
        <w:rPr>
          <w:rFonts w:hint="eastAsia" w:ascii="Times New Roman" w:eastAsia="宋体" w:cs="Times New Roman"/>
          <w:b w:val="0"/>
          <w:color w:val="000000" w:themeColor="text1"/>
          <w:sz w:val="32"/>
          <w:szCs w:val="32"/>
          <w:lang w:eastAsia="zh-CN"/>
        </w:rPr>
        <w:t>35.41</w:t>
      </w:r>
      <w:r>
        <w:rPr>
          <w:rFonts w:ascii="Times New Roman" w:cs="Times New Roman"/>
          <w:b w:val="0"/>
          <w:color w:val="000000" w:themeColor="text1"/>
          <w:spacing w:val="4"/>
          <w:sz w:val="32"/>
          <w:szCs w:val="32"/>
          <w:lang w:eastAsia="zh-CN"/>
        </w:rPr>
        <w:t>万元，支出决算为</w:t>
      </w:r>
      <w:r>
        <w:rPr>
          <w:rFonts w:hint="eastAsia" w:ascii="Times New Roman" w:eastAsia="宋体" w:cs="Times New Roman"/>
          <w:b w:val="0"/>
          <w:color w:val="000000" w:themeColor="text1"/>
          <w:sz w:val="32"/>
          <w:szCs w:val="32"/>
          <w:lang w:eastAsia="zh-CN"/>
        </w:rPr>
        <w:t>35.41</w:t>
      </w:r>
      <w:r>
        <w:rPr>
          <w:rFonts w:ascii="Times New Roman" w:cs="Times New Roman"/>
          <w:b w:val="0"/>
          <w:color w:val="000000" w:themeColor="text1"/>
          <w:spacing w:val="4"/>
          <w:sz w:val="32"/>
          <w:szCs w:val="32"/>
          <w:lang w:eastAsia="zh-CN"/>
        </w:rPr>
        <w:t>万</w:t>
      </w:r>
      <w:r>
        <w:rPr>
          <w:rFonts w:ascii="Times New Roman" w:cs="Times New Roman"/>
          <w:b w:val="0"/>
          <w:color w:val="000000" w:themeColor="text1"/>
          <w:spacing w:val="15"/>
          <w:sz w:val="32"/>
          <w:szCs w:val="32"/>
          <w:lang w:eastAsia="zh-CN"/>
        </w:rPr>
        <w:t>元，完成年初预算的</w:t>
      </w:r>
      <w:r>
        <w:rPr>
          <w:rFonts w:hint="eastAsia" w:ascii="Times New Roman" w:eastAsia="宋体" w:cs="Times New Roman"/>
          <w:b w:val="0"/>
          <w:color w:val="000000" w:themeColor="text1"/>
          <w:sz w:val="32"/>
          <w:szCs w:val="32"/>
          <w:lang w:eastAsia="zh-CN"/>
        </w:rPr>
        <w:t>100</w:t>
      </w:r>
      <w:r>
        <w:rPr>
          <w:rFonts w:ascii="Times New Roman" w:eastAsia="Times New Roman" w:cs="Times New Roman"/>
          <w:b w:val="0"/>
          <w:color w:val="000000" w:themeColor="text1"/>
          <w:sz w:val="32"/>
          <w:szCs w:val="32"/>
          <w:lang w:eastAsia="zh-CN"/>
        </w:rPr>
        <w:t>%</w:t>
      </w:r>
      <w:r>
        <w:rPr>
          <w:rFonts w:ascii="Times New Roman" w:cs="Times New Roman"/>
          <w:b w:val="0"/>
          <w:color w:val="000000" w:themeColor="text1"/>
          <w:spacing w:val="15"/>
          <w:sz w:val="32"/>
          <w:szCs w:val="32"/>
          <w:lang w:eastAsia="zh-CN"/>
        </w:rPr>
        <w:t>。</w:t>
      </w:r>
    </w:p>
    <w:p w14:paraId="45C2AB5E">
      <w:pPr>
        <w:pStyle w:val="79"/>
        <w:spacing w:line="560" w:lineRule="exact"/>
        <w:ind w:left="0" w:firstLine="659" w:firstLineChars="200"/>
        <w:jc w:val="both"/>
        <w:rPr>
          <w:rFonts w:ascii="Times New Roman" w:cs="Times New Roman"/>
          <w:b w:val="0"/>
          <w:color w:val="000000" w:themeColor="text1"/>
          <w:spacing w:val="4"/>
          <w:sz w:val="32"/>
          <w:szCs w:val="32"/>
          <w:lang w:eastAsia="zh-CN"/>
        </w:rPr>
      </w:pPr>
      <w:r>
        <w:rPr>
          <w:rFonts w:ascii="Times New Roman" w:cs="Times New Roman"/>
          <w:bCs w:val="0"/>
          <w:color w:val="000000" w:themeColor="text1"/>
          <w:spacing w:val="4"/>
          <w:sz w:val="32"/>
          <w:szCs w:val="32"/>
          <w:lang w:eastAsia="zh-CN"/>
        </w:rPr>
        <w:t>1</w:t>
      </w:r>
      <w:r>
        <w:rPr>
          <w:rFonts w:hint="eastAsia" w:ascii="Times New Roman" w:cs="Times New Roman"/>
          <w:bCs w:val="0"/>
          <w:color w:val="000000" w:themeColor="text1"/>
          <w:spacing w:val="4"/>
          <w:sz w:val="32"/>
          <w:szCs w:val="32"/>
          <w:lang w:eastAsia="zh-CN"/>
        </w:rPr>
        <w:t>3</w:t>
      </w:r>
      <w:r>
        <w:rPr>
          <w:rFonts w:ascii="Times New Roman" w:cs="Times New Roman"/>
          <w:bCs w:val="0"/>
          <w:color w:val="000000" w:themeColor="text1"/>
          <w:spacing w:val="4"/>
          <w:sz w:val="32"/>
          <w:szCs w:val="32"/>
          <w:lang w:eastAsia="zh-CN"/>
        </w:rPr>
        <w:t>.</w:t>
      </w:r>
      <w:r>
        <w:rPr>
          <w:rFonts w:ascii="Times New Roman" w:cs="Times New Roman"/>
          <w:bCs w:val="0"/>
          <w:color w:val="000000" w:themeColor="text1"/>
          <w:spacing w:val="9"/>
          <w:sz w:val="32"/>
          <w:szCs w:val="32"/>
          <w:lang w:eastAsia="zh-CN"/>
        </w:rPr>
        <w:t>卫生健康支出（</w:t>
      </w:r>
      <w:r>
        <w:rPr>
          <w:rFonts w:ascii="Times New Roman" w:cs="Times New Roman"/>
          <w:bCs w:val="0"/>
          <w:color w:val="000000" w:themeColor="text1"/>
          <w:spacing w:val="6"/>
          <w:sz w:val="32"/>
          <w:szCs w:val="32"/>
          <w:lang w:eastAsia="zh-CN"/>
        </w:rPr>
        <w:t>类）</w:t>
      </w:r>
      <w:r>
        <w:rPr>
          <w:rFonts w:ascii="Times New Roman" w:cs="Times New Roman"/>
          <w:bCs w:val="0"/>
          <w:color w:val="000000" w:themeColor="text1"/>
          <w:spacing w:val="13"/>
          <w:sz w:val="32"/>
          <w:szCs w:val="32"/>
          <w:lang w:eastAsia="zh-CN"/>
        </w:rPr>
        <w:t>行政事业单位医疗（</w:t>
      </w:r>
      <w:r>
        <w:rPr>
          <w:rFonts w:ascii="Times New Roman" w:cs="Times New Roman"/>
          <w:bCs w:val="0"/>
          <w:color w:val="000000" w:themeColor="text1"/>
          <w:spacing w:val="6"/>
          <w:sz w:val="32"/>
          <w:szCs w:val="32"/>
          <w:lang w:eastAsia="zh-CN"/>
        </w:rPr>
        <w:t>款）</w:t>
      </w:r>
      <w:r>
        <w:rPr>
          <w:rFonts w:ascii="Times New Roman" w:cs="Times New Roman"/>
          <w:bCs w:val="0"/>
          <w:color w:val="000000" w:themeColor="text1"/>
          <w:spacing w:val="12"/>
          <w:sz w:val="32"/>
          <w:szCs w:val="32"/>
          <w:lang w:eastAsia="zh-CN"/>
        </w:rPr>
        <w:t>公务员医</w:t>
      </w:r>
      <w:r>
        <w:rPr>
          <w:rFonts w:ascii="Times New Roman" w:cs="Times New Roman"/>
          <w:bCs w:val="0"/>
          <w:color w:val="000000" w:themeColor="text1"/>
          <w:spacing w:val="4"/>
          <w:sz w:val="32"/>
          <w:szCs w:val="32"/>
          <w:lang w:eastAsia="zh-CN"/>
        </w:rPr>
        <w:t>疗补助（项）。</w:t>
      </w:r>
      <w:r>
        <w:rPr>
          <w:rFonts w:ascii="Times New Roman" w:hAnsi="Times New Roman" w:eastAsia="方正仿宋_GBK" w:cs="Times New Roman"/>
          <w:b w:val="0"/>
          <w:bCs/>
          <w:color w:val="000000" w:themeColor="text1"/>
          <w:spacing w:val="4"/>
          <w:sz w:val="32"/>
          <w:szCs w:val="32"/>
          <w:lang w:val="en-US" w:eastAsia="zh-CN" w:bidi="ar-SA"/>
        </w:rPr>
        <w:t>年初预算为</w:t>
      </w:r>
      <w:r>
        <w:rPr>
          <w:rFonts w:hint="eastAsia" w:ascii="Times New Roman" w:hAnsi="Times New Roman" w:eastAsia="方正仿宋_GBK" w:cs="Times New Roman"/>
          <w:b w:val="0"/>
          <w:bCs/>
          <w:color w:val="000000" w:themeColor="text1"/>
          <w:spacing w:val="4"/>
          <w:sz w:val="32"/>
          <w:szCs w:val="32"/>
          <w:lang w:val="en-US" w:eastAsia="zh-CN" w:bidi="ar-SA"/>
        </w:rPr>
        <w:t>45.00</w:t>
      </w:r>
      <w:r>
        <w:rPr>
          <w:rFonts w:ascii="Times New Roman" w:hAnsi="Times New Roman" w:eastAsia="方正仿宋_GBK" w:cs="Times New Roman"/>
          <w:b w:val="0"/>
          <w:bCs/>
          <w:color w:val="000000" w:themeColor="text1"/>
          <w:spacing w:val="4"/>
          <w:sz w:val="32"/>
          <w:szCs w:val="32"/>
          <w:lang w:val="en-US" w:eastAsia="zh-CN" w:bidi="ar-SA"/>
        </w:rPr>
        <w:t>万元，支出决算为</w:t>
      </w:r>
      <w:r>
        <w:rPr>
          <w:rFonts w:hint="eastAsia" w:ascii="Times New Roman" w:hAnsi="Times New Roman" w:eastAsia="方正仿宋_GBK" w:cs="Times New Roman"/>
          <w:b w:val="0"/>
          <w:bCs/>
          <w:color w:val="000000" w:themeColor="text1"/>
          <w:spacing w:val="4"/>
          <w:sz w:val="32"/>
          <w:szCs w:val="32"/>
          <w:lang w:val="en-US" w:eastAsia="zh-CN" w:bidi="ar-SA"/>
        </w:rPr>
        <w:t>45.00</w:t>
      </w:r>
      <w:r>
        <w:rPr>
          <w:rFonts w:ascii="Times New Roman" w:hAnsi="Times New Roman" w:eastAsia="方正仿宋_GBK" w:cs="Times New Roman"/>
          <w:b w:val="0"/>
          <w:bCs/>
          <w:color w:val="000000" w:themeColor="text1"/>
          <w:spacing w:val="4"/>
          <w:sz w:val="32"/>
          <w:szCs w:val="32"/>
          <w:lang w:val="en-US" w:eastAsia="zh-CN" w:bidi="ar-SA"/>
        </w:rPr>
        <w:t>万元，</w:t>
      </w:r>
      <w:r>
        <w:rPr>
          <w:rFonts w:ascii="Times New Roman" w:cs="Times New Roman"/>
          <w:b w:val="0"/>
          <w:color w:val="000000" w:themeColor="text1"/>
          <w:spacing w:val="4"/>
          <w:sz w:val="32"/>
          <w:szCs w:val="32"/>
          <w:lang w:eastAsia="zh-CN"/>
        </w:rPr>
        <w:t>完成年初预算的</w:t>
      </w:r>
      <w:r>
        <w:rPr>
          <w:rFonts w:hint="eastAsia" w:ascii="Times New Roman" w:eastAsia="宋体" w:cs="Times New Roman"/>
          <w:b w:val="0"/>
          <w:color w:val="000000" w:themeColor="text1"/>
          <w:sz w:val="32"/>
          <w:szCs w:val="32"/>
          <w:lang w:eastAsia="zh-CN"/>
        </w:rPr>
        <w:t>100</w:t>
      </w:r>
      <w:r>
        <w:rPr>
          <w:rFonts w:ascii="Times New Roman" w:cs="Times New Roman"/>
          <w:b w:val="0"/>
          <w:color w:val="000000" w:themeColor="text1"/>
          <w:sz w:val="32"/>
          <w:szCs w:val="32"/>
          <w:lang w:eastAsia="zh-CN"/>
        </w:rPr>
        <w:t>%</w:t>
      </w:r>
      <w:r>
        <w:rPr>
          <w:rFonts w:ascii="Times New Roman" w:cs="Times New Roman"/>
          <w:b w:val="0"/>
          <w:color w:val="000000" w:themeColor="text1"/>
          <w:spacing w:val="4"/>
          <w:sz w:val="32"/>
          <w:szCs w:val="32"/>
          <w:lang w:eastAsia="zh-CN"/>
        </w:rPr>
        <w:t>。</w:t>
      </w:r>
    </w:p>
    <w:p w14:paraId="03658949">
      <w:pPr>
        <w:pStyle w:val="81"/>
        <w:spacing w:line="560" w:lineRule="exact"/>
        <w:ind w:firstLine="659" w:firstLineChars="200"/>
        <w:jc w:val="both"/>
        <w:rPr>
          <w:rFonts w:eastAsia="方正仿宋_GBK" w:cs="Times New Roman"/>
          <w:color w:val="000000" w:themeColor="text1"/>
          <w:spacing w:val="4"/>
          <w:sz w:val="32"/>
          <w:szCs w:val="32"/>
          <w:lang w:eastAsia="zh-CN"/>
        </w:rPr>
      </w:pPr>
      <w:r>
        <w:rPr>
          <w:rFonts w:hint="eastAsia" w:eastAsia="宋体" w:cs="Times New Roman"/>
          <w:b/>
          <w:bCs/>
          <w:color w:val="000000" w:themeColor="text1"/>
          <w:spacing w:val="4"/>
          <w:sz w:val="32"/>
          <w:szCs w:val="32"/>
          <w:lang w:eastAsia="zh-CN"/>
        </w:rPr>
        <w:t>14</w:t>
      </w:r>
      <w:r>
        <w:rPr>
          <w:rFonts w:cs="Times New Roman"/>
          <w:b/>
          <w:bCs/>
          <w:color w:val="000000" w:themeColor="text1"/>
          <w:spacing w:val="4"/>
          <w:sz w:val="32"/>
          <w:szCs w:val="32"/>
          <w:lang w:eastAsia="zh-CN"/>
        </w:rPr>
        <w:t>.</w:t>
      </w:r>
      <w:r>
        <w:rPr>
          <w:rFonts w:eastAsia="方正仿宋_GBK" w:cs="Times New Roman"/>
          <w:b/>
          <w:bCs/>
          <w:color w:val="000000" w:themeColor="text1"/>
          <w:spacing w:val="9"/>
          <w:sz w:val="32"/>
          <w:szCs w:val="32"/>
          <w:lang w:eastAsia="zh-CN"/>
        </w:rPr>
        <w:t>卫生健康支出（</w:t>
      </w:r>
      <w:r>
        <w:rPr>
          <w:rFonts w:eastAsia="方正仿宋_GBK" w:cs="Times New Roman"/>
          <w:b/>
          <w:bCs/>
          <w:color w:val="000000" w:themeColor="text1"/>
          <w:spacing w:val="6"/>
          <w:sz w:val="32"/>
          <w:szCs w:val="32"/>
          <w:lang w:eastAsia="zh-CN"/>
        </w:rPr>
        <w:t>类）</w:t>
      </w:r>
      <w:r>
        <w:rPr>
          <w:rFonts w:eastAsia="方正仿宋_GBK" w:cs="Times New Roman"/>
          <w:b/>
          <w:bCs/>
          <w:color w:val="000000" w:themeColor="text1"/>
          <w:spacing w:val="13"/>
          <w:sz w:val="32"/>
          <w:szCs w:val="32"/>
          <w:lang w:eastAsia="zh-CN"/>
        </w:rPr>
        <w:t>行政事业单位医疗（</w:t>
      </w:r>
      <w:r>
        <w:rPr>
          <w:rFonts w:eastAsia="方正仿宋_GBK" w:cs="Times New Roman"/>
          <w:b/>
          <w:bCs/>
          <w:color w:val="000000" w:themeColor="text1"/>
          <w:spacing w:val="6"/>
          <w:sz w:val="32"/>
          <w:szCs w:val="32"/>
          <w:lang w:eastAsia="zh-CN"/>
        </w:rPr>
        <w:t>款）</w:t>
      </w:r>
      <w:r>
        <w:rPr>
          <w:rFonts w:hint="eastAsia" w:eastAsia="方正仿宋_GBK" w:cs="Times New Roman"/>
          <w:b/>
          <w:bCs/>
          <w:color w:val="000000" w:themeColor="text1"/>
          <w:spacing w:val="6"/>
          <w:sz w:val="32"/>
          <w:szCs w:val="32"/>
          <w:lang w:eastAsia="zh-CN"/>
        </w:rPr>
        <w:t>其他</w:t>
      </w:r>
      <w:r>
        <w:rPr>
          <w:rFonts w:eastAsia="方正仿宋_GBK" w:cs="Times New Roman"/>
          <w:b/>
          <w:bCs/>
          <w:color w:val="000000" w:themeColor="text1"/>
          <w:spacing w:val="9"/>
          <w:sz w:val="32"/>
          <w:szCs w:val="32"/>
          <w:lang w:eastAsia="zh-CN"/>
        </w:rPr>
        <w:t>行政</w:t>
      </w:r>
      <w:r>
        <w:rPr>
          <w:rFonts w:hint="eastAsia" w:eastAsia="方正仿宋_GBK" w:cs="Times New Roman"/>
          <w:b/>
          <w:bCs/>
          <w:color w:val="000000" w:themeColor="text1"/>
          <w:spacing w:val="9"/>
          <w:sz w:val="32"/>
          <w:szCs w:val="32"/>
          <w:lang w:eastAsia="zh-CN"/>
        </w:rPr>
        <w:t>事业</w:t>
      </w:r>
      <w:r>
        <w:rPr>
          <w:rFonts w:eastAsia="方正仿宋_GBK" w:cs="Times New Roman"/>
          <w:b/>
          <w:bCs/>
          <w:color w:val="000000" w:themeColor="text1"/>
          <w:spacing w:val="9"/>
          <w:sz w:val="32"/>
          <w:szCs w:val="32"/>
          <w:lang w:eastAsia="zh-CN"/>
        </w:rPr>
        <w:t>单位医疗</w:t>
      </w:r>
      <w:r>
        <w:rPr>
          <w:rFonts w:hint="eastAsia" w:eastAsia="方正仿宋_GBK" w:cs="Times New Roman"/>
          <w:b/>
          <w:bCs/>
          <w:color w:val="000000" w:themeColor="text1"/>
          <w:spacing w:val="9"/>
          <w:sz w:val="32"/>
          <w:szCs w:val="32"/>
          <w:lang w:eastAsia="zh-CN"/>
        </w:rPr>
        <w:t>支出</w:t>
      </w:r>
      <w:r>
        <w:rPr>
          <w:rFonts w:eastAsia="方正仿宋_GBK" w:cs="Times New Roman"/>
          <w:b/>
          <w:bCs/>
          <w:color w:val="000000" w:themeColor="text1"/>
          <w:spacing w:val="4"/>
          <w:sz w:val="32"/>
          <w:szCs w:val="32"/>
          <w:lang w:eastAsia="zh-CN"/>
        </w:rPr>
        <w:t>（项）。</w:t>
      </w:r>
      <w:r>
        <w:rPr>
          <w:rFonts w:eastAsia="方正仿宋_GBK" w:cs="Times New Roman"/>
          <w:color w:val="000000" w:themeColor="text1"/>
          <w:spacing w:val="4"/>
          <w:sz w:val="32"/>
          <w:szCs w:val="32"/>
          <w:lang w:eastAsia="zh-CN"/>
        </w:rPr>
        <w:t>年初预算为</w:t>
      </w:r>
      <w:r>
        <w:rPr>
          <w:rFonts w:hint="eastAsia" w:eastAsia="宋体" w:cs="Times New Roman"/>
          <w:color w:val="000000" w:themeColor="text1"/>
          <w:sz w:val="32"/>
          <w:szCs w:val="32"/>
          <w:lang w:eastAsia="zh-CN"/>
        </w:rPr>
        <w:t>2.00</w:t>
      </w:r>
      <w:r>
        <w:rPr>
          <w:rFonts w:eastAsia="方正仿宋_GBK" w:cs="Times New Roman"/>
          <w:color w:val="000000" w:themeColor="text1"/>
          <w:spacing w:val="4"/>
          <w:sz w:val="32"/>
          <w:szCs w:val="32"/>
          <w:lang w:eastAsia="zh-CN"/>
        </w:rPr>
        <w:t>万元，支出决</w:t>
      </w:r>
      <w:r>
        <w:rPr>
          <w:rFonts w:ascii="Times New Roman" w:hAnsi="Times New Roman" w:eastAsia="方正仿宋_GBK" w:cs="Times New Roman"/>
          <w:b w:val="0"/>
          <w:bCs/>
          <w:color w:val="000000" w:themeColor="text1"/>
          <w:spacing w:val="4"/>
          <w:sz w:val="32"/>
          <w:szCs w:val="32"/>
          <w:lang w:val="en-US" w:eastAsia="zh-CN" w:bidi="ar-SA"/>
        </w:rPr>
        <w:t>算为</w:t>
      </w:r>
      <w:r>
        <w:rPr>
          <w:rFonts w:hint="eastAsia" w:ascii="Times New Roman" w:hAnsi="Times New Roman" w:eastAsia="方正仿宋_GBK" w:cs="Times New Roman"/>
          <w:b w:val="0"/>
          <w:bCs/>
          <w:color w:val="000000" w:themeColor="text1"/>
          <w:spacing w:val="4"/>
          <w:sz w:val="32"/>
          <w:szCs w:val="32"/>
          <w:lang w:val="en-US" w:eastAsia="zh-CN" w:bidi="ar-SA"/>
        </w:rPr>
        <w:t>2.00</w:t>
      </w:r>
      <w:r>
        <w:rPr>
          <w:rFonts w:ascii="Times New Roman" w:hAnsi="Times New Roman" w:eastAsia="方正仿宋_GBK" w:cs="Times New Roman"/>
          <w:b w:val="0"/>
          <w:bCs/>
          <w:color w:val="000000" w:themeColor="text1"/>
          <w:spacing w:val="4"/>
          <w:sz w:val="32"/>
          <w:szCs w:val="32"/>
          <w:lang w:val="en-US" w:eastAsia="zh-CN" w:bidi="ar-SA"/>
        </w:rPr>
        <w:t>万元，完</w:t>
      </w:r>
      <w:r>
        <w:rPr>
          <w:rFonts w:eastAsia="方正仿宋_GBK" w:cs="Times New Roman"/>
          <w:color w:val="000000" w:themeColor="text1"/>
          <w:spacing w:val="4"/>
          <w:sz w:val="32"/>
          <w:szCs w:val="32"/>
          <w:lang w:eastAsia="zh-CN"/>
        </w:rPr>
        <w:t>成年初预算的</w:t>
      </w:r>
      <w:r>
        <w:rPr>
          <w:rFonts w:hint="eastAsia" w:eastAsia="宋体" w:cs="Times New Roman"/>
          <w:color w:val="000000" w:themeColor="text1"/>
          <w:sz w:val="32"/>
          <w:szCs w:val="32"/>
          <w:lang w:eastAsia="zh-CN"/>
        </w:rPr>
        <w:t>100</w:t>
      </w:r>
      <w:r>
        <w:rPr>
          <w:rFonts w:cs="Times New Roman"/>
          <w:color w:val="000000" w:themeColor="text1"/>
          <w:sz w:val="32"/>
          <w:szCs w:val="32"/>
          <w:lang w:eastAsia="zh-CN"/>
        </w:rPr>
        <w:t>%</w:t>
      </w:r>
      <w:r>
        <w:rPr>
          <w:rFonts w:eastAsia="方正仿宋_GBK" w:cs="Times New Roman"/>
          <w:color w:val="000000" w:themeColor="text1"/>
          <w:spacing w:val="4"/>
          <w:sz w:val="32"/>
          <w:szCs w:val="32"/>
          <w:lang w:eastAsia="zh-CN"/>
        </w:rPr>
        <w:t>。</w:t>
      </w:r>
    </w:p>
    <w:p w14:paraId="694A6688">
      <w:pPr>
        <w:pStyle w:val="83"/>
        <w:spacing w:line="560" w:lineRule="exact"/>
        <w:ind w:left="0" w:firstLine="659" w:firstLineChars="200"/>
        <w:jc w:val="both"/>
        <w:rPr>
          <w:rFonts w:ascii="Times New Roman" w:cs="Times New Roman"/>
          <w:b w:val="0"/>
          <w:bCs w:val="0"/>
          <w:color w:val="000000" w:themeColor="text1"/>
          <w:sz w:val="32"/>
          <w:szCs w:val="32"/>
          <w:lang w:eastAsia="zh-CN"/>
        </w:rPr>
      </w:pPr>
      <w:r>
        <w:rPr>
          <w:rFonts w:hint="eastAsia" w:ascii="Times New Roman" w:eastAsia="宋体" w:cs="Times New Roman"/>
          <w:color w:val="000000" w:themeColor="text1"/>
          <w:spacing w:val="4"/>
          <w:sz w:val="32"/>
          <w:szCs w:val="32"/>
          <w:lang w:eastAsia="zh-CN"/>
        </w:rPr>
        <w:t>15</w:t>
      </w:r>
      <w:r>
        <w:rPr>
          <w:rFonts w:ascii="Times New Roman" w:eastAsia="Times New Roman" w:cs="Times New Roman"/>
          <w:color w:val="000000" w:themeColor="text1"/>
          <w:spacing w:val="4"/>
          <w:sz w:val="32"/>
          <w:szCs w:val="32"/>
          <w:lang w:eastAsia="zh-CN"/>
        </w:rPr>
        <w:t>.</w:t>
      </w:r>
      <w:r>
        <w:rPr>
          <w:rFonts w:ascii="Times New Roman" w:cs="Times New Roman"/>
          <w:color w:val="000000" w:themeColor="text1"/>
          <w:spacing w:val="18"/>
          <w:sz w:val="32"/>
          <w:szCs w:val="32"/>
          <w:lang w:eastAsia="zh-CN"/>
        </w:rPr>
        <w:t>住房保障支出（</w:t>
      </w:r>
      <w:r>
        <w:rPr>
          <w:rFonts w:ascii="Times New Roman" w:cs="Times New Roman"/>
          <w:color w:val="000000" w:themeColor="text1"/>
          <w:spacing w:val="16"/>
          <w:sz w:val="32"/>
          <w:szCs w:val="32"/>
          <w:lang w:eastAsia="zh-CN"/>
        </w:rPr>
        <w:t>类）</w:t>
      </w:r>
      <w:r>
        <w:rPr>
          <w:rFonts w:ascii="Times New Roman" w:cs="Times New Roman"/>
          <w:color w:val="000000" w:themeColor="text1"/>
          <w:spacing w:val="26"/>
          <w:sz w:val="32"/>
          <w:szCs w:val="32"/>
          <w:lang w:eastAsia="zh-CN"/>
        </w:rPr>
        <w:t>住房改革支出（</w:t>
      </w:r>
      <w:r>
        <w:rPr>
          <w:rFonts w:ascii="Times New Roman" w:cs="Times New Roman"/>
          <w:color w:val="000000" w:themeColor="text1"/>
          <w:spacing w:val="13"/>
          <w:sz w:val="32"/>
          <w:szCs w:val="32"/>
          <w:lang w:eastAsia="zh-CN"/>
        </w:rPr>
        <w:t>款）</w:t>
      </w:r>
      <w:r>
        <w:rPr>
          <w:rFonts w:ascii="Times New Roman" w:cs="Times New Roman"/>
          <w:color w:val="000000" w:themeColor="text1"/>
          <w:spacing w:val="24"/>
          <w:sz w:val="32"/>
          <w:szCs w:val="32"/>
          <w:lang w:eastAsia="zh-CN"/>
        </w:rPr>
        <w:t>住房公积金</w:t>
      </w:r>
      <w:r>
        <w:rPr>
          <w:rFonts w:ascii="Times New Roman" w:cs="Times New Roman"/>
          <w:color w:val="000000" w:themeColor="text1"/>
          <w:spacing w:val="4"/>
          <w:sz w:val="32"/>
          <w:szCs w:val="32"/>
          <w:lang w:eastAsia="zh-CN"/>
        </w:rPr>
        <w:t>（项）。</w:t>
      </w:r>
      <w:r>
        <w:rPr>
          <w:rFonts w:ascii="Times New Roman" w:cs="Times New Roman"/>
          <w:b w:val="0"/>
          <w:color w:val="000000" w:themeColor="text1"/>
          <w:spacing w:val="4"/>
          <w:sz w:val="32"/>
          <w:szCs w:val="32"/>
          <w:lang w:eastAsia="zh-CN"/>
        </w:rPr>
        <w:t>年初预算为</w:t>
      </w:r>
      <w:r>
        <w:rPr>
          <w:rFonts w:hint="eastAsia" w:ascii="Times New Roman" w:eastAsia="宋体" w:cs="Times New Roman"/>
          <w:b w:val="0"/>
          <w:bCs w:val="0"/>
          <w:color w:val="000000" w:themeColor="text1"/>
          <w:sz w:val="32"/>
          <w:szCs w:val="32"/>
          <w:lang w:eastAsia="zh-CN"/>
        </w:rPr>
        <w:t>97.57</w:t>
      </w:r>
      <w:r>
        <w:rPr>
          <w:rFonts w:ascii="Times New Roman" w:cs="Times New Roman"/>
          <w:b w:val="0"/>
          <w:color w:val="000000" w:themeColor="text1"/>
          <w:spacing w:val="4"/>
          <w:sz w:val="32"/>
          <w:szCs w:val="32"/>
          <w:lang w:eastAsia="zh-CN"/>
        </w:rPr>
        <w:t>万元，支出决算为</w:t>
      </w:r>
      <w:r>
        <w:rPr>
          <w:rFonts w:hint="eastAsia" w:ascii="Times New Roman" w:eastAsia="宋体" w:cs="Times New Roman"/>
          <w:b w:val="0"/>
          <w:bCs w:val="0"/>
          <w:color w:val="000000" w:themeColor="text1"/>
          <w:sz w:val="32"/>
          <w:szCs w:val="32"/>
          <w:lang w:eastAsia="zh-CN"/>
        </w:rPr>
        <w:t>97.57</w:t>
      </w:r>
      <w:r>
        <w:rPr>
          <w:rFonts w:ascii="Times New Roman" w:cs="Times New Roman"/>
          <w:b w:val="0"/>
          <w:color w:val="000000" w:themeColor="text1"/>
          <w:spacing w:val="4"/>
          <w:sz w:val="32"/>
          <w:szCs w:val="32"/>
          <w:lang w:eastAsia="zh-CN"/>
        </w:rPr>
        <w:t>万元，完成年初预算的</w:t>
      </w:r>
      <w:r>
        <w:rPr>
          <w:rFonts w:hint="eastAsia" w:ascii="Times New Roman" w:eastAsia="宋体" w:cs="Times New Roman"/>
          <w:b w:val="0"/>
          <w:bCs w:val="0"/>
          <w:color w:val="000000" w:themeColor="text1"/>
          <w:sz w:val="32"/>
          <w:szCs w:val="32"/>
          <w:lang w:eastAsia="zh-CN"/>
        </w:rPr>
        <w:t>100</w:t>
      </w:r>
      <w:r>
        <w:rPr>
          <w:rFonts w:ascii="Times New Roman" w:eastAsia="Times New Roman" w:cs="Times New Roman"/>
          <w:b w:val="0"/>
          <w:bCs w:val="0"/>
          <w:color w:val="000000" w:themeColor="text1"/>
          <w:sz w:val="32"/>
          <w:szCs w:val="32"/>
          <w:lang w:eastAsia="zh-CN"/>
        </w:rPr>
        <w:t>%</w:t>
      </w:r>
      <w:r>
        <w:rPr>
          <w:rFonts w:ascii="Times New Roman" w:cs="Times New Roman"/>
          <w:b w:val="0"/>
          <w:color w:val="000000" w:themeColor="text1"/>
          <w:spacing w:val="4"/>
          <w:sz w:val="32"/>
          <w:szCs w:val="32"/>
          <w:lang w:eastAsia="zh-CN"/>
        </w:rPr>
        <w:t>。</w:t>
      </w:r>
    </w:p>
    <w:p w14:paraId="402985F5">
      <w:pPr>
        <w:pStyle w:val="77"/>
        <w:spacing w:line="560" w:lineRule="exact"/>
        <w:ind w:left="0" w:firstLine="659" w:firstLineChars="200"/>
        <w:jc w:val="both"/>
        <w:rPr>
          <w:rFonts w:ascii="Times New Roman" w:cs="Times New Roman"/>
          <w:b w:val="0"/>
          <w:spacing w:val="8"/>
          <w:sz w:val="32"/>
          <w:szCs w:val="32"/>
          <w:lang w:eastAsia="zh-CN"/>
        </w:rPr>
      </w:pPr>
      <w:r>
        <w:rPr>
          <w:rFonts w:hint="eastAsia" w:ascii="Times New Roman" w:eastAsia="宋体" w:cs="Times New Roman"/>
          <w:color w:val="000000" w:themeColor="text1"/>
          <w:spacing w:val="4"/>
          <w:sz w:val="32"/>
          <w:szCs w:val="32"/>
          <w:lang w:eastAsia="zh-CN"/>
        </w:rPr>
        <w:t>16</w:t>
      </w:r>
      <w:r>
        <w:rPr>
          <w:rFonts w:ascii="Times New Roman" w:eastAsia="Times New Roman" w:cs="Times New Roman"/>
          <w:color w:val="000000" w:themeColor="text1"/>
          <w:spacing w:val="4"/>
          <w:sz w:val="32"/>
          <w:szCs w:val="32"/>
          <w:lang w:eastAsia="zh-CN"/>
        </w:rPr>
        <w:t>.</w:t>
      </w:r>
      <w:r>
        <w:rPr>
          <w:rFonts w:ascii="Times New Roman" w:cs="Times New Roman"/>
          <w:color w:val="000000" w:themeColor="text1"/>
          <w:sz w:val="32"/>
          <w:szCs w:val="32"/>
          <w:lang w:eastAsia="zh-CN"/>
        </w:rPr>
        <w:t>住房保障支出（类）住房改革支出（款）购房补助</w:t>
      </w:r>
      <w:r>
        <w:rPr>
          <w:rFonts w:ascii="Times New Roman" w:cs="Times New Roman"/>
          <w:color w:val="000000" w:themeColor="text1"/>
          <w:spacing w:val="4"/>
          <w:sz w:val="32"/>
          <w:szCs w:val="32"/>
          <w:lang w:eastAsia="zh-CN"/>
        </w:rPr>
        <w:t>（项）。</w:t>
      </w:r>
      <w:r>
        <w:rPr>
          <w:rFonts w:ascii="Times New Roman" w:cs="Times New Roman"/>
          <w:b w:val="0"/>
          <w:color w:val="000000" w:themeColor="text1"/>
          <w:spacing w:val="4"/>
          <w:sz w:val="32"/>
          <w:szCs w:val="32"/>
          <w:lang w:eastAsia="zh-CN"/>
        </w:rPr>
        <w:t>年初预算为</w:t>
      </w:r>
      <w:r>
        <w:rPr>
          <w:rFonts w:hint="eastAsia" w:ascii="Times New Roman" w:eastAsia="宋体" w:cs="Times New Roman"/>
          <w:b w:val="0"/>
          <w:bCs w:val="0"/>
          <w:color w:val="000000" w:themeColor="text1"/>
          <w:sz w:val="32"/>
          <w:szCs w:val="32"/>
          <w:lang w:eastAsia="zh-CN"/>
        </w:rPr>
        <w:t>25.41</w:t>
      </w:r>
      <w:r>
        <w:rPr>
          <w:rFonts w:ascii="Times New Roman" w:cs="Times New Roman"/>
          <w:b w:val="0"/>
          <w:spacing w:val="4"/>
          <w:sz w:val="32"/>
          <w:szCs w:val="32"/>
          <w:lang w:eastAsia="zh-CN"/>
        </w:rPr>
        <w:t>万元，支出决算为</w:t>
      </w:r>
      <w:r>
        <w:rPr>
          <w:rFonts w:hint="eastAsia" w:ascii="Times New Roman" w:eastAsia="宋体" w:cs="Times New Roman"/>
          <w:b w:val="0"/>
          <w:bCs w:val="0"/>
          <w:sz w:val="32"/>
          <w:szCs w:val="32"/>
          <w:lang w:eastAsia="zh-CN"/>
        </w:rPr>
        <w:t>25.41</w:t>
      </w:r>
      <w:r>
        <w:rPr>
          <w:rFonts w:ascii="Times New Roman" w:cs="Times New Roman"/>
          <w:b w:val="0"/>
          <w:spacing w:val="4"/>
          <w:sz w:val="32"/>
          <w:szCs w:val="32"/>
          <w:lang w:eastAsia="zh-CN"/>
        </w:rPr>
        <w:t>万元，完成年初预算的</w:t>
      </w:r>
      <w:r>
        <w:rPr>
          <w:rFonts w:ascii="Times New Roman" w:eastAsia="宋体" w:cs="Times New Roman"/>
          <w:b w:val="0"/>
          <w:bCs w:val="0"/>
          <w:sz w:val="32"/>
          <w:szCs w:val="32"/>
          <w:lang w:eastAsia="zh-CN"/>
        </w:rPr>
        <w:t>10</w:t>
      </w:r>
      <w:r>
        <w:rPr>
          <w:rFonts w:hint="eastAsia" w:ascii="Times New Roman" w:eastAsia="宋体" w:cs="Times New Roman"/>
          <w:b w:val="0"/>
          <w:bCs w:val="0"/>
          <w:sz w:val="32"/>
          <w:szCs w:val="32"/>
          <w:lang w:eastAsia="zh-CN"/>
        </w:rPr>
        <w:t>0</w:t>
      </w:r>
      <w:r>
        <w:rPr>
          <w:rFonts w:ascii="Times New Roman" w:eastAsia="Times New Roman" w:cs="Times New Roman"/>
          <w:b w:val="0"/>
          <w:bCs w:val="0"/>
          <w:sz w:val="32"/>
          <w:szCs w:val="32"/>
          <w:lang w:eastAsia="zh-CN"/>
        </w:rPr>
        <w:t>%</w:t>
      </w:r>
      <w:r>
        <w:rPr>
          <w:rFonts w:ascii="Times New Roman" w:cs="Times New Roman"/>
          <w:b w:val="0"/>
          <w:spacing w:val="4"/>
          <w:sz w:val="32"/>
          <w:szCs w:val="32"/>
          <w:lang w:eastAsia="zh-CN"/>
        </w:rPr>
        <w:t>。</w:t>
      </w:r>
    </w:p>
    <w:p w14:paraId="42905EDE">
      <w:pPr>
        <w:pStyle w:val="15"/>
        <w:spacing w:line="560" w:lineRule="exact"/>
        <w:ind w:left="0" w:firstLine="640" w:firstLineChars="200"/>
        <w:jc w:val="both"/>
        <w:outlineLvl w:val="1"/>
        <w:rPr>
          <w:rFonts w:ascii="Times New Roman" w:eastAsia="方正黑体_GBK" w:cs="Times New Roman"/>
          <w:b w:val="0"/>
          <w:bCs w:val="0"/>
          <w:spacing w:val="29"/>
          <w:sz w:val="32"/>
          <w:szCs w:val="32"/>
          <w:lang w:eastAsia="zh-CN"/>
        </w:rPr>
      </w:pPr>
      <w:bookmarkStart w:id="23" w:name="_Toc21020"/>
      <w:r>
        <w:rPr>
          <w:rFonts w:ascii="Times New Roman" w:eastAsia="方正黑体_GBK" w:cs="Times New Roman"/>
          <w:b w:val="0"/>
          <w:bCs w:val="0"/>
          <w:sz w:val="32"/>
          <w:szCs w:val="32"/>
          <w:lang w:eastAsia="zh-CN"/>
        </w:rPr>
        <w:t>六、一般公共预算财政拨款基本支出决算情况说明</w:t>
      </w:r>
      <w:bookmarkEnd w:id="23"/>
    </w:p>
    <w:p w14:paraId="219BF35C">
      <w:pPr>
        <w:pStyle w:val="15"/>
        <w:spacing w:line="560" w:lineRule="exact"/>
        <w:ind w:left="0" w:firstLine="640" w:firstLineChars="200"/>
        <w:jc w:val="both"/>
        <w:rPr>
          <w:rFonts w:ascii="Times New Roman" w:cs="Times New Roman"/>
          <w:b w:val="0"/>
          <w:sz w:val="32"/>
          <w:szCs w:val="32"/>
          <w:lang w:eastAsia="zh-CN"/>
        </w:rPr>
      </w:pPr>
      <w:r>
        <w:rPr>
          <w:rFonts w:ascii="Times New Roman" w:eastAsia="Times New Roman" w:cs="Times New Roman"/>
          <w:b w:val="0"/>
          <w:sz w:val="32"/>
          <w:szCs w:val="32"/>
          <w:lang w:eastAsia="zh-CN"/>
        </w:rPr>
        <w:t>2025</w:t>
      </w:r>
      <w:r>
        <w:rPr>
          <w:rFonts w:ascii="Times New Roman" w:cs="Times New Roman"/>
          <w:b w:val="0"/>
          <w:sz w:val="32"/>
          <w:szCs w:val="32"/>
          <w:lang w:eastAsia="zh-CN"/>
        </w:rPr>
        <w:t>年度财政拨款基本支出</w:t>
      </w:r>
      <w:r>
        <w:rPr>
          <w:rFonts w:hint="eastAsia" w:ascii="Times New Roman" w:eastAsia="宋体" w:cs="Times New Roman"/>
          <w:b w:val="0"/>
          <w:bCs w:val="0"/>
          <w:sz w:val="32"/>
          <w:szCs w:val="32"/>
          <w:lang w:eastAsia="zh-CN"/>
        </w:rPr>
        <w:t>1,151.32</w:t>
      </w:r>
      <w:r>
        <w:rPr>
          <w:rFonts w:ascii="Times New Roman" w:cs="Times New Roman"/>
          <w:b w:val="0"/>
          <w:sz w:val="32"/>
          <w:szCs w:val="32"/>
          <w:lang w:eastAsia="zh-CN"/>
        </w:rPr>
        <w:t>万元，其中：</w:t>
      </w:r>
    </w:p>
    <w:p w14:paraId="4FAEB66C">
      <w:pPr>
        <w:pStyle w:val="15"/>
        <w:spacing w:line="560" w:lineRule="exact"/>
        <w:ind w:left="0" w:firstLine="659" w:firstLineChars="200"/>
        <w:jc w:val="both"/>
        <w:rPr>
          <w:rFonts w:ascii="Times New Roman" w:cs="Times New Roman"/>
          <w:b w:val="0"/>
          <w:spacing w:val="4"/>
          <w:sz w:val="32"/>
          <w:szCs w:val="32"/>
          <w:lang w:eastAsia="zh-CN"/>
        </w:rPr>
      </w:pPr>
      <w:r>
        <w:rPr>
          <w:rFonts w:ascii="Times New Roman" w:cs="Times New Roman"/>
          <w:bCs w:val="0"/>
          <w:spacing w:val="4"/>
          <w:sz w:val="32"/>
          <w:szCs w:val="32"/>
          <w:lang w:eastAsia="zh-CN"/>
        </w:rPr>
        <w:t>人员经费</w:t>
      </w:r>
      <w:r>
        <w:rPr>
          <w:rFonts w:hint="eastAsia" w:ascii="Times New Roman" w:eastAsia="宋体" w:cs="Times New Roman"/>
          <w:bCs w:val="0"/>
          <w:spacing w:val="4"/>
          <w:sz w:val="32"/>
          <w:szCs w:val="32"/>
          <w:lang w:eastAsia="zh-CN"/>
        </w:rPr>
        <w:t>918.85</w:t>
      </w:r>
      <w:r>
        <w:rPr>
          <w:rFonts w:ascii="Times New Roman" w:cs="Times New Roman"/>
          <w:bCs w:val="0"/>
          <w:spacing w:val="4"/>
          <w:sz w:val="32"/>
          <w:szCs w:val="32"/>
          <w:lang w:eastAsia="zh-CN"/>
        </w:rPr>
        <w:t>万元，</w:t>
      </w:r>
      <w:r>
        <w:rPr>
          <w:rFonts w:ascii="Times New Roman" w:cs="Times New Roman"/>
          <w:b w:val="0"/>
          <w:spacing w:val="4"/>
          <w:sz w:val="32"/>
          <w:szCs w:val="32"/>
          <w:lang w:eastAsia="zh-CN"/>
        </w:rPr>
        <w:t>主要包括基本工资、津贴补贴、机关事业单位基本养老保险缴费、职业年金缴费、职工基本医疗保险缴费、公务员医疗补助缴费、其他社会保障缴费、住房公积金。</w:t>
      </w:r>
    </w:p>
    <w:p w14:paraId="637BCA1C">
      <w:pPr>
        <w:pStyle w:val="15"/>
        <w:spacing w:line="560" w:lineRule="exact"/>
        <w:ind w:left="0" w:firstLine="659" w:firstLineChars="200"/>
        <w:jc w:val="both"/>
        <w:rPr>
          <w:rFonts w:ascii="Times New Roman" w:cs="Times New Roman"/>
          <w:b w:val="0"/>
          <w:color w:val="000000" w:themeColor="text1"/>
          <w:spacing w:val="4"/>
          <w:sz w:val="32"/>
          <w:szCs w:val="32"/>
          <w:lang w:eastAsia="zh-CN"/>
        </w:rPr>
      </w:pPr>
      <w:r>
        <w:rPr>
          <w:rFonts w:ascii="Times New Roman" w:cs="Times New Roman"/>
          <w:bCs w:val="0"/>
          <w:spacing w:val="4"/>
          <w:sz w:val="32"/>
          <w:szCs w:val="32"/>
          <w:lang w:eastAsia="zh-CN"/>
        </w:rPr>
        <w:t>公用经费</w:t>
      </w:r>
      <w:r>
        <w:rPr>
          <w:rFonts w:hint="eastAsia" w:ascii="Times New Roman" w:eastAsia="宋体" w:cs="Times New Roman"/>
          <w:bCs w:val="0"/>
          <w:spacing w:val="4"/>
          <w:sz w:val="32"/>
          <w:szCs w:val="32"/>
          <w:lang w:eastAsia="zh-CN"/>
        </w:rPr>
        <w:t>232.47</w:t>
      </w:r>
      <w:r>
        <w:rPr>
          <w:rFonts w:ascii="Times New Roman" w:cs="Times New Roman"/>
          <w:bCs w:val="0"/>
          <w:spacing w:val="4"/>
          <w:sz w:val="32"/>
          <w:szCs w:val="32"/>
          <w:lang w:eastAsia="zh-CN"/>
        </w:rPr>
        <w:t>万元，</w:t>
      </w:r>
      <w:r>
        <w:rPr>
          <w:rFonts w:ascii="Times New Roman" w:cs="Times New Roman"/>
          <w:b w:val="0"/>
          <w:spacing w:val="4"/>
          <w:sz w:val="32"/>
          <w:szCs w:val="32"/>
          <w:lang w:eastAsia="zh-CN"/>
        </w:rPr>
        <w:t>主要包括办公费、印刷费、水费、电费、邮</w:t>
      </w:r>
      <w:r>
        <w:rPr>
          <w:rFonts w:ascii="Times New Roman" w:cs="Times New Roman"/>
          <w:b w:val="0"/>
          <w:color w:val="000000" w:themeColor="text1"/>
          <w:spacing w:val="4"/>
          <w:sz w:val="32"/>
          <w:szCs w:val="32"/>
          <w:lang w:eastAsia="zh-CN"/>
        </w:rPr>
        <w:t>电费、物业管理费、差旅费、维修（护）费、租赁费、培训费、公务接待费、劳务费、委托业务费、福利费、公务用车运行维护费、其他交通费用、其他商品和服务支出、</w:t>
      </w:r>
      <w:r>
        <w:rPr>
          <w:rFonts w:hint="eastAsia" w:ascii="Times New Roman" w:cs="Times New Roman"/>
          <w:b w:val="0"/>
          <w:color w:val="000000" w:themeColor="text1"/>
          <w:spacing w:val="4"/>
          <w:sz w:val="32"/>
          <w:szCs w:val="32"/>
          <w:lang w:eastAsia="zh-CN"/>
        </w:rPr>
        <w:t>资本性支出、</w:t>
      </w:r>
      <w:r>
        <w:rPr>
          <w:rFonts w:ascii="Times New Roman" w:cs="Times New Roman"/>
          <w:b w:val="0"/>
          <w:color w:val="000000" w:themeColor="text1"/>
          <w:spacing w:val="4"/>
          <w:sz w:val="32"/>
          <w:szCs w:val="32"/>
          <w:lang w:eastAsia="zh-CN"/>
        </w:rPr>
        <w:t>办公设备购置。</w:t>
      </w:r>
    </w:p>
    <w:p w14:paraId="3CC47A40">
      <w:pPr>
        <w:pStyle w:val="3"/>
        <w:numPr>
          <w:ilvl w:val="0"/>
          <w:numId w:val="1"/>
        </w:numPr>
        <w:spacing w:line="560" w:lineRule="exact"/>
        <w:ind w:firstLine="640"/>
        <w:jc w:val="both"/>
        <w:outlineLvl w:val="1"/>
        <w:rPr>
          <w:rFonts w:ascii="Times New Roman" w:eastAsia="方正黑体_GBK" w:cs="Times New Roman"/>
          <w:color w:val="000000" w:themeColor="text1"/>
          <w:sz w:val="32"/>
          <w:szCs w:val="32"/>
          <w:lang w:eastAsia="zh-CN"/>
        </w:rPr>
      </w:pPr>
      <w:r>
        <w:rPr>
          <w:rFonts w:hint="eastAsia" w:ascii="Times New Roman" w:eastAsia="方正黑体_GBK" w:cs="Times New Roman"/>
          <w:color w:val="000000" w:themeColor="text1"/>
          <w:sz w:val="32"/>
          <w:szCs w:val="32"/>
          <w:lang w:eastAsia="zh-CN"/>
        </w:rPr>
        <w:t>政府性基金预算财政拨款支出决算情况说明</w:t>
      </w:r>
    </w:p>
    <w:p w14:paraId="015A1C0A">
      <w:pPr>
        <w:spacing w:line="560" w:lineRule="exact"/>
        <w:ind w:left="440" w:leftChars="200" w:firstLine="660" w:firstLineChars="200"/>
        <w:jc w:val="both"/>
        <w:outlineLvl w:val="1"/>
        <w:rPr>
          <w:rFonts w:eastAsia="方正仿宋_GBK" w:cs="Times New Roman"/>
          <w:color w:val="000000" w:themeColor="text1"/>
          <w:spacing w:val="5"/>
          <w:sz w:val="32"/>
          <w:szCs w:val="32"/>
          <w:lang w:eastAsia="zh-CN"/>
        </w:rPr>
      </w:pPr>
      <w:r>
        <w:rPr>
          <w:rFonts w:eastAsia="方正仿宋_GBK" w:cs="Times New Roman"/>
          <w:color w:val="000000" w:themeColor="text1"/>
          <w:spacing w:val="5"/>
          <w:sz w:val="32"/>
          <w:szCs w:val="32"/>
          <w:lang w:eastAsia="zh-CN"/>
        </w:rPr>
        <w:t xml:space="preserve"> 2025年度</w:t>
      </w:r>
      <w:r>
        <w:rPr>
          <w:rFonts w:hint="eastAsia" w:eastAsia="方正仿宋_GBK" w:cs="Times New Roman"/>
          <w:color w:val="000000" w:themeColor="text1"/>
          <w:spacing w:val="5"/>
          <w:sz w:val="32"/>
          <w:szCs w:val="32"/>
          <w:lang w:eastAsia="zh-CN"/>
        </w:rPr>
        <w:t>年初结转和结余1.20万元，</w:t>
      </w:r>
      <w:r>
        <w:rPr>
          <w:rFonts w:hint="eastAsia" w:eastAsia="方正仿宋_GBK" w:cs="Times New Roman"/>
          <w:color w:val="000000" w:themeColor="text1"/>
          <w:spacing w:val="5"/>
          <w:sz w:val="32"/>
          <w:szCs w:val="32"/>
          <w:lang w:eastAsia="zh-CN"/>
        </w:rPr>
        <w:t>年末结转和结余1.20万元</w:t>
      </w:r>
      <w:r>
        <w:rPr>
          <w:rFonts w:eastAsia="方正仿宋_GBK" w:cs="Times New Roman"/>
          <w:color w:val="000000" w:themeColor="text1"/>
          <w:spacing w:val="5"/>
          <w:sz w:val="32"/>
          <w:szCs w:val="32"/>
          <w:lang w:eastAsia="zh-CN"/>
        </w:rPr>
        <w:t>。</w:t>
      </w:r>
    </w:p>
    <w:p w14:paraId="4C90E0A0">
      <w:pPr>
        <w:pStyle w:val="3"/>
        <w:spacing w:line="560" w:lineRule="exact"/>
        <w:ind w:left="0" w:firstLine="640" w:firstLineChars="200"/>
        <w:jc w:val="both"/>
        <w:outlineLvl w:val="1"/>
        <w:rPr>
          <w:rFonts w:ascii="Times New Roman" w:eastAsia="方正黑体_GBK" w:cs="Times New Roman"/>
          <w:color w:val="000000" w:themeColor="text1"/>
          <w:sz w:val="32"/>
          <w:szCs w:val="32"/>
          <w:lang w:eastAsia="zh-CN"/>
        </w:rPr>
      </w:pPr>
      <w:r>
        <w:rPr>
          <w:rFonts w:hint="eastAsia" w:ascii="Times New Roman" w:eastAsia="方正黑体_GBK" w:cs="Times New Roman"/>
          <w:color w:val="000000" w:themeColor="text1"/>
          <w:sz w:val="32"/>
          <w:szCs w:val="32"/>
          <w:lang w:eastAsia="zh-CN"/>
        </w:rPr>
        <w:t>八</w:t>
      </w:r>
      <w:r>
        <w:rPr>
          <w:rFonts w:ascii="Times New Roman" w:eastAsia="方正黑体_GBK" w:cs="Times New Roman"/>
          <w:color w:val="000000" w:themeColor="text1"/>
          <w:sz w:val="32"/>
          <w:szCs w:val="32"/>
          <w:lang w:eastAsia="zh-CN"/>
        </w:rPr>
        <w:t>、财政拨款“三公”经费支出决算情况说明</w:t>
      </w:r>
    </w:p>
    <w:p w14:paraId="5214AB25">
      <w:pPr>
        <w:pStyle w:val="3"/>
        <w:spacing w:line="560" w:lineRule="exact"/>
        <w:ind w:left="0" w:firstLine="643" w:firstLineChars="200"/>
        <w:jc w:val="both"/>
        <w:rPr>
          <w:rFonts w:ascii="Times New Roman" w:eastAsia="方正楷体_GBK" w:cs="Times New Roman"/>
          <w:b/>
          <w:bCs/>
          <w:color w:val="000000" w:themeColor="text1"/>
          <w:sz w:val="32"/>
          <w:szCs w:val="32"/>
          <w:lang w:eastAsia="zh-CN"/>
        </w:rPr>
      </w:pPr>
      <w:r>
        <w:rPr>
          <w:rFonts w:ascii="Times New Roman" w:eastAsia="方正楷体_GBK" w:cs="Times New Roman"/>
          <w:b/>
          <w:bCs/>
          <w:color w:val="000000" w:themeColor="text1"/>
          <w:sz w:val="32"/>
          <w:szCs w:val="32"/>
          <w:lang w:eastAsia="zh-CN"/>
        </w:rPr>
        <w:t>（一）“三公”经费财政拨款支出决算总体情况说明。</w:t>
      </w:r>
    </w:p>
    <w:p w14:paraId="460D67EA">
      <w:pPr>
        <w:pStyle w:val="3"/>
        <w:spacing w:line="560" w:lineRule="exact"/>
        <w:ind w:left="0" w:firstLine="664" w:firstLineChars="200"/>
        <w:jc w:val="both"/>
        <w:rPr>
          <w:rFonts w:ascii="Times New Roman" w:cs="Times New Roman"/>
          <w:sz w:val="32"/>
          <w:szCs w:val="32"/>
          <w:lang w:eastAsia="zh-CN"/>
        </w:rPr>
      </w:pPr>
      <w:r>
        <w:rPr>
          <w:rFonts w:ascii="Times New Roman" w:eastAsia="Times New Roman" w:cs="Times New Roman"/>
          <w:color w:val="000000" w:themeColor="text1"/>
          <w:spacing w:val="6"/>
          <w:sz w:val="32"/>
          <w:szCs w:val="32"/>
          <w:lang w:eastAsia="zh-CN"/>
        </w:rPr>
        <w:t>2025</w:t>
      </w:r>
      <w:r>
        <w:rPr>
          <w:rFonts w:ascii="Times New Roman" w:cs="Times New Roman"/>
          <w:color w:val="000000" w:themeColor="text1"/>
          <w:spacing w:val="6"/>
          <w:sz w:val="32"/>
          <w:szCs w:val="32"/>
          <w:lang w:eastAsia="zh-CN"/>
        </w:rPr>
        <w:t>年度</w:t>
      </w:r>
      <w:r>
        <w:rPr>
          <w:rFonts w:ascii="Times New Roman" w:eastAsia="Times New Roman" w:cs="Times New Roman"/>
          <w:color w:val="000000" w:themeColor="text1"/>
          <w:spacing w:val="6"/>
          <w:sz w:val="32"/>
          <w:szCs w:val="32"/>
          <w:lang w:eastAsia="zh-CN"/>
        </w:rPr>
        <w:t>“</w:t>
      </w:r>
      <w:r>
        <w:rPr>
          <w:rFonts w:ascii="Times New Roman" w:cs="Times New Roman"/>
          <w:color w:val="000000" w:themeColor="text1"/>
          <w:spacing w:val="6"/>
          <w:sz w:val="32"/>
          <w:szCs w:val="32"/>
          <w:lang w:eastAsia="zh-CN"/>
        </w:rPr>
        <w:t>三公</w:t>
      </w:r>
      <w:r>
        <w:rPr>
          <w:rFonts w:ascii="Times New Roman" w:eastAsia="Times New Roman" w:cs="Times New Roman"/>
          <w:color w:val="000000" w:themeColor="text1"/>
          <w:spacing w:val="6"/>
          <w:sz w:val="32"/>
          <w:szCs w:val="32"/>
          <w:lang w:eastAsia="zh-CN"/>
        </w:rPr>
        <w:t>”</w:t>
      </w:r>
      <w:r>
        <w:rPr>
          <w:rFonts w:ascii="Times New Roman" w:cs="Times New Roman"/>
          <w:color w:val="000000" w:themeColor="text1"/>
          <w:spacing w:val="6"/>
          <w:sz w:val="32"/>
          <w:szCs w:val="32"/>
          <w:lang w:eastAsia="zh-CN"/>
        </w:rPr>
        <w:t>经费</w:t>
      </w:r>
      <w:r>
        <w:rPr>
          <w:rFonts w:ascii="Times New Roman" w:cs="Times New Roman"/>
          <w:spacing w:val="6"/>
          <w:sz w:val="32"/>
          <w:szCs w:val="32"/>
          <w:lang w:eastAsia="zh-CN"/>
        </w:rPr>
        <w:t>财政拨款支出预算为</w:t>
      </w:r>
      <w:r>
        <w:rPr>
          <w:rFonts w:hint="eastAsia" w:ascii="Times New Roman" w:eastAsia="宋体" w:cs="Times New Roman"/>
          <w:spacing w:val="9"/>
          <w:sz w:val="32"/>
          <w:szCs w:val="32"/>
          <w:lang w:eastAsia="zh-CN"/>
        </w:rPr>
        <w:t>24.37</w:t>
      </w:r>
      <w:r>
        <w:rPr>
          <w:rFonts w:ascii="Times New Roman" w:cs="Times New Roman"/>
          <w:spacing w:val="6"/>
          <w:sz w:val="32"/>
          <w:szCs w:val="32"/>
          <w:lang w:eastAsia="zh-CN"/>
        </w:rPr>
        <w:t>万元，</w:t>
      </w:r>
      <w:r>
        <w:rPr>
          <w:rFonts w:ascii="Times New Roman" w:cs="Times New Roman"/>
          <w:spacing w:val="9"/>
          <w:sz w:val="32"/>
          <w:szCs w:val="32"/>
          <w:lang w:eastAsia="zh-CN"/>
        </w:rPr>
        <w:t>支出决算为</w:t>
      </w:r>
      <w:r>
        <w:rPr>
          <w:rFonts w:hint="eastAsia" w:ascii="Times New Roman" w:eastAsia="宋体" w:cs="Times New Roman"/>
          <w:spacing w:val="9"/>
          <w:sz w:val="32"/>
          <w:szCs w:val="32"/>
          <w:lang w:eastAsia="zh-CN"/>
        </w:rPr>
        <w:t>22.37</w:t>
      </w:r>
      <w:r>
        <w:rPr>
          <w:rFonts w:ascii="Times New Roman" w:cs="Times New Roman"/>
          <w:spacing w:val="9"/>
          <w:sz w:val="32"/>
          <w:szCs w:val="32"/>
          <w:lang w:eastAsia="zh-CN"/>
        </w:rPr>
        <w:t>万元，完成预算的</w:t>
      </w:r>
      <w:r>
        <w:rPr>
          <w:rFonts w:hint="eastAsia" w:ascii="Times New Roman" w:eastAsia="宋体" w:cs="Times New Roman"/>
          <w:spacing w:val="9"/>
          <w:sz w:val="32"/>
          <w:szCs w:val="32"/>
          <w:lang w:eastAsia="zh-CN"/>
        </w:rPr>
        <w:t>91.79</w:t>
      </w:r>
      <w:r>
        <w:rPr>
          <w:rFonts w:ascii="Times New Roman" w:eastAsia="Times New Roman" w:cs="Times New Roman"/>
          <w:spacing w:val="9"/>
          <w:sz w:val="32"/>
          <w:szCs w:val="32"/>
          <w:lang w:eastAsia="zh-CN"/>
        </w:rPr>
        <w:t>%</w:t>
      </w:r>
      <w:r>
        <w:rPr>
          <w:rFonts w:ascii="Times New Roman" w:cs="Times New Roman"/>
          <w:spacing w:val="9"/>
          <w:sz w:val="32"/>
          <w:szCs w:val="32"/>
          <w:lang w:eastAsia="zh-CN"/>
        </w:rPr>
        <w:t>。决算数小于预</w:t>
      </w:r>
      <w:r>
        <w:rPr>
          <w:rFonts w:ascii="Times New Roman" w:cs="Times New Roman"/>
          <w:spacing w:val="6"/>
          <w:sz w:val="32"/>
          <w:szCs w:val="32"/>
          <w:lang w:eastAsia="zh-CN"/>
        </w:rPr>
        <w:t>算数的主要原因</w:t>
      </w:r>
      <w:r>
        <w:rPr>
          <w:rFonts w:ascii="Times New Roman" w:cs="Times New Roman"/>
          <w:bCs/>
          <w:spacing w:val="6"/>
          <w:sz w:val="32"/>
          <w:szCs w:val="32"/>
          <w:lang w:eastAsia="zh-CN"/>
        </w:rPr>
        <w:t>是</w:t>
      </w:r>
      <w:r>
        <w:rPr>
          <w:rFonts w:ascii="Times New Roman" w:cs="Times New Roman"/>
          <w:spacing w:val="6"/>
          <w:sz w:val="32"/>
          <w:szCs w:val="32"/>
          <w:lang w:eastAsia="zh-CN"/>
        </w:rPr>
        <w:t>认真贯彻落实“党政机关要坚持过紧日子”要求，厉行节约，从严控制“三公”经费开</w:t>
      </w:r>
      <w:r>
        <w:rPr>
          <w:rFonts w:ascii="Times New Roman" w:cs="Times New Roman"/>
          <w:sz w:val="32"/>
          <w:szCs w:val="32"/>
          <w:lang w:eastAsia="zh-CN"/>
        </w:rPr>
        <w:t xml:space="preserve">支 </w:t>
      </w:r>
      <w:r>
        <w:rPr>
          <w:rFonts w:hint="eastAsia" w:ascii="Times New Roman" w:cs="Times New Roman"/>
          <w:sz w:val="32"/>
          <w:szCs w:val="32"/>
          <w:lang w:eastAsia="zh-CN"/>
        </w:rPr>
        <w:t>。</w:t>
      </w:r>
    </w:p>
    <w:p w14:paraId="4C1126FF">
      <w:pPr>
        <w:pStyle w:val="3"/>
        <w:spacing w:line="560" w:lineRule="exact"/>
        <w:ind w:left="0" w:firstLine="643" w:firstLineChars="200"/>
        <w:jc w:val="both"/>
        <w:rPr>
          <w:rFonts w:ascii="Times New Roman" w:eastAsia="方正楷体_GBK" w:cs="Times New Roman"/>
          <w:b/>
          <w:bCs/>
          <w:sz w:val="32"/>
          <w:szCs w:val="32"/>
          <w:lang w:eastAsia="zh-CN"/>
        </w:rPr>
      </w:pPr>
      <w:r>
        <w:rPr>
          <w:rFonts w:ascii="Times New Roman" w:eastAsia="方正楷体_GBK" w:cs="Times New Roman"/>
          <w:b/>
          <w:bCs/>
          <w:sz w:val="32"/>
          <w:szCs w:val="32"/>
          <w:lang w:eastAsia="zh-CN"/>
        </w:rPr>
        <w:t>（二）“三公”经费财政拨款支出决算具体情况说明。</w:t>
      </w:r>
    </w:p>
    <w:p w14:paraId="436934F5">
      <w:pPr>
        <w:spacing w:line="560" w:lineRule="exact"/>
        <w:ind w:firstLine="675" w:firstLineChars="200"/>
        <w:jc w:val="both"/>
        <w:rPr>
          <w:rFonts w:eastAsia="方正仿宋_GBK" w:cs="Times New Roman"/>
          <w:color w:val="000000" w:themeColor="text1"/>
          <w:spacing w:val="6"/>
          <w:sz w:val="32"/>
          <w:szCs w:val="32"/>
          <w:lang w:eastAsia="zh-CN"/>
        </w:rPr>
      </w:pPr>
      <w:r>
        <w:rPr>
          <w:rFonts w:hint="eastAsia" w:eastAsia="宋体" w:cs="Times New Roman"/>
          <w:b/>
          <w:bCs/>
          <w:spacing w:val="8"/>
          <w:sz w:val="32"/>
          <w:szCs w:val="32"/>
          <w:lang w:eastAsia="zh-CN"/>
        </w:rPr>
        <w:t>1</w:t>
      </w:r>
      <w:r>
        <w:rPr>
          <w:rFonts w:cs="Times New Roman"/>
          <w:b/>
          <w:bCs/>
          <w:spacing w:val="8"/>
          <w:sz w:val="32"/>
          <w:szCs w:val="32"/>
          <w:lang w:eastAsia="zh-CN"/>
        </w:rPr>
        <w:t>.</w:t>
      </w:r>
      <w:r>
        <w:rPr>
          <w:rFonts w:eastAsia="方正仿宋_GBK" w:cs="Times New Roman"/>
          <w:b/>
          <w:bCs/>
          <w:spacing w:val="8"/>
          <w:sz w:val="32"/>
          <w:szCs w:val="32"/>
          <w:lang w:eastAsia="zh-CN"/>
        </w:rPr>
        <w:t>公务用车购置及运行</w:t>
      </w:r>
      <w:r>
        <w:rPr>
          <w:rFonts w:eastAsia="方正仿宋_GBK" w:cs="Times New Roman"/>
          <w:b/>
          <w:bCs/>
          <w:color w:val="000000" w:themeColor="text1"/>
          <w:spacing w:val="8"/>
          <w:sz w:val="32"/>
          <w:szCs w:val="32"/>
          <w:lang w:eastAsia="zh-CN"/>
        </w:rPr>
        <w:t>费。</w:t>
      </w:r>
      <w:r>
        <w:rPr>
          <w:rFonts w:eastAsia="方正仿宋_GBK" w:cs="Times New Roman"/>
          <w:color w:val="000000" w:themeColor="text1"/>
          <w:spacing w:val="8"/>
          <w:sz w:val="32"/>
          <w:szCs w:val="32"/>
          <w:lang w:eastAsia="zh-CN"/>
        </w:rPr>
        <w:t>预算为</w:t>
      </w:r>
      <w:r>
        <w:rPr>
          <w:rFonts w:hint="eastAsia" w:eastAsia="宋体" w:cs="Times New Roman"/>
          <w:color w:val="000000" w:themeColor="text1"/>
          <w:spacing w:val="9"/>
          <w:sz w:val="32"/>
          <w:szCs w:val="32"/>
          <w:lang w:eastAsia="zh-CN"/>
        </w:rPr>
        <w:t>22.00</w:t>
      </w:r>
      <w:r>
        <w:rPr>
          <w:rFonts w:eastAsia="方正仿宋_GBK" w:cs="Times New Roman"/>
          <w:color w:val="000000" w:themeColor="text1"/>
          <w:spacing w:val="8"/>
          <w:sz w:val="32"/>
          <w:szCs w:val="32"/>
          <w:lang w:eastAsia="zh-CN"/>
        </w:rPr>
        <w:t>万元，支出决</w:t>
      </w:r>
      <w:r>
        <w:rPr>
          <w:rFonts w:eastAsia="方正仿宋_GBK" w:cs="Times New Roman"/>
          <w:color w:val="000000" w:themeColor="text1"/>
          <w:sz w:val="32"/>
          <w:szCs w:val="32"/>
          <w:lang w:eastAsia="zh-CN"/>
        </w:rPr>
        <w:t>算为</w:t>
      </w:r>
      <w:r>
        <w:rPr>
          <w:rFonts w:hint="eastAsia" w:eastAsia="宋体" w:cs="Times New Roman"/>
          <w:color w:val="000000" w:themeColor="text1"/>
          <w:spacing w:val="9"/>
          <w:sz w:val="32"/>
          <w:szCs w:val="32"/>
          <w:lang w:eastAsia="zh-CN"/>
        </w:rPr>
        <w:t>20</w:t>
      </w:r>
      <w:r>
        <w:rPr>
          <w:rFonts w:eastAsia="方正仿宋_GBK" w:cs="Times New Roman"/>
          <w:color w:val="000000" w:themeColor="text1"/>
          <w:sz w:val="32"/>
          <w:szCs w:val="32"/>
          <w:lang w:eastAsia="zh-CN"/>
        </w:rPr>
        <w:t>万元，完成年初预算的</w:t>
      </w:r>
      <w:r>
        <w:rPr>
          <w:rFonts w:hint="eastAsia" w:eastAsia="宋体" w:cs="Times New Roman"/>
          <w:color w:val="000000" w:themeColor="text1"/>
          <w:spacing w:val="9"/>
          <w:sz w:val="32"/>
          <w:szCs w:val="32"/>
          <w:lang w:eastAsia="zh-CN"/>
        </w:rPr>
        <w:t>90.91%</w:t>
      </w:r>
      <w:r>
        <w:rPr>
          <w:rFonts w:eastAsia="方正仿宋_GBK" w:cs="Times New Roman"/>
          <w:color w:val="000000" w:themeColor="text1"/>
          <w:sz w:val="32"/>
          <w:szCs w:val="32"/>
          <w:lang w:eastAsia="zh-CN"/>
        </w:rPr>
        <w:t>。</w:t>
      </w:r>
      <w:r>
        <w:rPr>
          <w:rFonts w:hint="eastAsia" w:eastAsia="方正仿宋_GBK" w:cs="Times New Roman"/>
          <w:color w:val="000000" w:themeColor="text1"/>
          <w:sz w:val="32"/>
          <w:szCs w:val="32"/>
          <w:lang w:eastAsia="zh-CN"/>
        </w:rPr>
        <w:t>其中：</w:t>
      </w:r>
    </w:p>
    <w:p w14:paraId="3D0B767F">
      <w:pPr>
        <w:spacing w:line="560" w:lineRule="exact"/>
        <w:ind w:firstLine="667" w:firstLineChars="200"/>
        <w:jc w:val="both"/>
        <w:rPr>
          <w:rFonts w:eastAsia="方正仿宋_GBK" w:cs="Times New Roman"/>
          <w:color w:val="000000" w:themeColor="text1"/>
          <w:sz w:val="32"/>
          <w:szCs w:val="32"/>
          <w:lang w:eastAsia="zh-CN"/>
        </w:rPr>
      </w:pPr>
      <w:r>
        <w:rPr>
          <w:rFonts w:hint="eastAsia" w:eastAsia="方正仿宋_GBK" w:cs="Times New Roman"/>
          <w:b/>
          <w:bCs/>
          <w:color w:val="000000" w:themeColor="text1"/>
          <w:spacing w:val="6"/>
          <w:sz w:val="32"/>
          <w:szCs w:val="32"/>
          <w:lang w:eastAsia="zh-CN"/>
        </w:rPr>
        <w:t>公务用车购置费</w:t>
      </w:r>
      <w:r>
        <w:rPr>
          <w:rFonts w:hint="eastAsia" w:eastAsia="方正仿宋_GBK" w:cs="Times New Roman"/>
          <w:color w:val="000000" w:themeColor="text1"/>
          <w:spacing w:val="6"/>
          <w:sz w:val="32"/>
          <w:szCs w:val="32"/>
          <w:lang w:eastAsia="zh-CN"/>
        </w:rPr>
        <w:t>支出</w:t>
      </w:r>
      <w:r>
        <w:rPr>
          <w:rFonts w:hint="eastAsia" w:eastAsia="方正仿宋_GBK" w:cs="Times New Roman"/>
          <w:color w:val="000000" w:themeColor="text1"/>
          <w:sz w:val="32"/>
          <w:szCs w:val="32"/>
          <w:lang w:eastAsia="zh-CN"/>
        </w:rPr>
        <w:t>0.00万元</w:t>
      </w:r>
      <w:r>
        <w:rPr>
          <w:rFonts w:hint="eastAsia" w:eastAsia="方正仿宋_GBK" w:cs="Times New Roman"/>
          <w:color w:val="000000" w:themeColor="text1"/>
          <w:spacing w:val="6"/>
          <w:sz w:val="32"/>
          <w:szCs w:val="32"/>
          <w:lang w:eastAsia="zh-CN"/>
        </w:rPr>
        <w:t>，本年度无车辆购置计划。</w:t>
      </w:r>
    </w:p>
    <w:p w14:paraId="0364AA47">
      <w:pPr>
        <w:pStyle w:val="3"/>
        <w:spacing w:line="560" w:lineRule="exact"/>
        <w:ind w:left="0" w:firstLine="667" w:firstLineChars="200"/>
        <w:jc w:val="both"/>
        <w:rPr>
          <w:rFonts w:ascii="Times New Roman" w:cs="Times New Roman"/>
          <w:color w:val="000000" w:themeColor="text1"/>
          <w:sz w:val="32"/>
          <w:szCs w:val="32"/>
          <w:lang w:eastAsia="zh-CN"/>
        </w:rPr>
      </w:pPr>
      <w:r>
        <w:rPr>
          <w:rFonts w:ascii="Times New Roman" w:cs="Times New Roman"/>
          <w:b/>
          <w:bCs/>
          <w:color w:val="000000" w:themeColor="text1"/>
          <w:spacing w:val="6"/>
          <w:sz w:val="32"/>
          <w:szCs w:val="32"/>
          <w:lang w:eastAsia="zh-CN"/>
        </w:rPr>
        <w:t>公务用车运行维护费</w:t>
      </w:r>
      <w:r>
        <w:rPr>
          <w:rFonts w:hint="eastAsia" w:ascii="Times New Roman" w:cs="Times New Roman"/>
          <w:color w:val="000000" w:themeColor="text1"/>
          <w:spacing w:val="6"/>
          <w:sz w:val="32"/>
          <w:szCs w:val="32"/>
          <w:lang w:eastAsia="zh-CN"/>
        </w:rPr>
        <w:t>支出20.00万元。主要是</w:t>
      </w:r>
      <w:r>
        <w:rPr>
          <w:rFonts w:ascii="Times New Roman" w:cs="Times New Roman"/>
          <w:color w:val="000000" w:themeColor="text1"/>
          <w:spacing w:val="6"/>
          <w:sz w:val="32"/>
          <w:szCs w:val="32"/>
          <w:lang w:eastAsia="zh-CN"/>
        </w:rPr>
        <w:t>按规定保留的公务用车车辆燃料费、维修费、过桥过路费、保险费、安全奖励费用</w:t>
      </w:r>
      <w:r>
        <w:rPr>
          <w:rFonts w:ascii="Times New Roman" w:cs="Times New Roman"/>
          <w:color w:val="000000" w:themeColor="text1"/>
          <w:spacing w:val="5"/>
          <w:sz w:val="32"/>
          <w:szCs w:val="32"/>
          <w:lang w:eastAsia="zh-CN"/>
        </w:rPr>
        <w:t>等支出。截至</w:t>
      </w:r>
      <w:r>
        <w:rPr>
          <w:rFonts w:ascii="Times New Roman" w:eastAsia="Times New Roman" w:cs="Times New Roman"/>
          <w:color w:val="000000" w:themeColor="text1"/>
          <w:spacing w:val="9"/>
          <w:sz w:val="32"/>
          <w:szCs w:val="32"/>
          <w:lang w:eastAsia="zh-CN"/>
        </w:rPr>
        <w:t>2025</w:t>
      </w:r>
      <w:r>
        <w:rPr>
          <w:rFonts w:ascii="Times New Roman" w:cs="Times New Roman"/>
          <w:color w:val="000000" w:themeColor="text1"/>
          <w:spacing w:val="5"/>
          <w:sz w:val="32"/>
          <w:szCs w:val="32"/>
          <w:lang w:eastAsia="zh-CN"/>
        </w:rPr>
        <w:t>年</w:t>
      </w:r>
      <w:r>
        <w:rPr>
          <w:rFonts w:ascii="Times New Roman" w:eastAsia="Times New Roman" w:cs="Times New Roman"/>
          <w:color w:val="000000" w:themeColor="text1"/>
          <w:spacing w:val="9"/>
          <w:sz w:val="32"/>
          <w:szCs w:val="32"/>
          <w:lang w:eastAsia="zh-CN"/>
        </w:rPr>
        <w:t>12</w:t>
      </w:r>
      <w:r>
        <w:rPr>
          <w:rFonts w:ascii="Times New Roman" w:cs="Times New Roman"/>
          <w:color w:val="000000" w:themeColor="text1"/>
          <w:spacing w:val="5"/>
          <w:sz w:val="32"/>
          <w:szCs w:val="32"/>
          <w:lang w:eastAsia="zh-CN"/>
        </w:rPr>
        <w:t>月</w:t>
      </w:r>
      <w:r>
        <w:rPr>
          <w:rFonts w:ascii="Times New Roman" w:eastAsia="Times New Roman" w:cs="Times New Roman"/>
          <w:color w:val="000000" w:themeColor="text1"/>
          <w:spacing w:val="9"/>
          <w:sz w:val="32"/>
          <w:szCs w:val="32"/>
          <w:lang w:eastAsia="zh-CN"/>
        </w:rPr>
        <w:t>31</w:t>
      </w:r>
      <w:r>
        <w:rPr>
          <w:rFonts w:ascii="Times New Roman" w:cs="Times New Roman"/>
          <w:color w:val="000000" w:themeColor="text1"/>
          <w:spacing w:val="5"/>
          <w:sz w:val="32"/>
          <w:szCs w:val="32"/>
          <w:lang w:eastAsia="zh-CN"/>
        </w:rPr>
        <w:t>日，</w:t>
      </w:r>
      <w:r>
        <w:rPr>
          <w:rFonts w:hint="eastAsia" w:ascii="Times New Roman" w:cs="Times New Roman"/>
          <w:color w:val="000000" w:themeColor="text1"/>
          <w:spacing w:val="5"/>
          <w:sz w:val="32"/>
          <w:szCs w:val="32"/>
          <w:lang w:eastAsia="zh-CN"/>
        </w:rPr>
        <w:t>丽水</w:t>
      </w:r>
      <w:r>
        <w:rPr>
          <w:rFonts w:ascii="Times New Roman" w:cs="Times New Roman"/>
          <w:color w:val="000000" w:themeColor="text1"/>
          <w:spacing w:val="5"/>
          <w:sz w:val="32"/>
          <w:szCs w:val="32"/>
          <w:lang w:eastAsia="zh-CN"/>
        </w:rPr>
        <w:t>海关开支财政拨款的公务</w:t>
      </w:r>
      <w:r>
        <w:rPr>
          <w:rFonts w:ascii="Times New Roman" w:cs="Times New Roman"/>
          <w:color w:val="000000" w:themeColor="text1"/>
          <w:spacing w:val="2"/>
          <w:sz w:val="32"/>
          <w:szCs w:val="32"/>
          <w:lang w:eastAsia="zh-CN"/>
        </w:rPr>
        <w:t>用车保有量为</w:t>
      </w:r>
      <w:r>
        <w:rPr>
          <w:rFonts w:hint="eastAsia" w:ascii="Times New Roman" w:eastAsia="宋体" w:cs="Times New Roman"/>
          <w:color w:val="000000" w:themeColor="text1"/>
          <w:spacing w:val="9"/>
          <w:sz w:val="32"/>
          <w:szCs w:val="32"/>
          <w:lang w:eastAsia="zh-CN"/>
        </w:rPr>
        <w:t>6</w:t>
      </w:r>
      <w:r>
        <w:rPr>
          <w:rFonts w:ascii="Times New Roman" w:cs="Times New Roman"/>
          <w:color w:val="000000" w:themeColor="text1"/>
          <w:spacing w:val="2"/>
          <w:sz w:val="32"/>
          <w:szCs w:val="32"/>
          <w:lang w:eastAsia="zh-CN"/>
        </w:rPr>
        <w:t>辆</w:t>
      </w:r>
      <w:r>
        <w:rPr>
          <w:rFonts w:hint="eastAsia" w:ascii="Times New Roman" w:cs="Times New Roman"/>
          <w:color w:val="000000" w:themeColor="text1"/>
          <w:spacing w:val="2"/>
          <w:sz w:val="32"/>
          <w:szCs w:val="32"/>
          <w:lang w:eastAsia="zh-CN"/>
        </w:rPr>
        <w:t>。</w:t>
      </w:r>
      <w:r>
        <w:rPr>
          <w:rFonts w:ascii="Times New Roman" w:cs="Times New Roman"/>
          <w:color w:val="000000" w:themeColor="text1"/>
          <w:spacing w:val="6"/>
          <w:sz w:val="32"/>
          <w:szCs w:val="32"/>
          <w:lang w:eastAsia="zh-CN"/>
        </w:rPr>
        <w:t>承担着国家赋予的税收征管、贸易监管、打击走私、维护国家政治经济安全任务。车辆大部分为执法执勤用车，是海关执法执勤</w:t>
      </w:r>
      <w:r>
        <w:rPr>
          <w:rFonts w:ascii="Times New Roman" w:cs="Times New Roman"/>
          <w:color w:val="000000" w:themeColor="text1"/>
          <w:sz w:val="32"/>
          <w:szCs w:val="32"/>
          <w:lang w:eastAsia="zh-CN"/>
        </w:rPr>
        <w:t>装备，为海关系统正常开展执法执勤工作的必要保障。</w:t>
      </w:r>
    </w:p>
    <w:p w14:paraId="43D41496">
      <w:pPr>
        <w:spacing w:line="560" w:lineRule="exact"/>
        <w:ind w:firstLine="672" w:firstLineChars="200"/>
        <w:jc w:val="both"/>
        <w:rPr>
          <w:rFonts w:eastAsia="方正仿宋_GBK" w:cs="Times New Roman"/>
          <w:color w:val="000000" w:themeColor="text1"/>
          <w:sz w:val="32"/>
          <w:szCs w:val="32"/>
          <w:lang w:eastAsia="zh-CN"/>
        </w:rPr>
      </w:pPr>
      <w:r>
        <w:rPr>
          <w:rFonts w:hint="eastAsia" w:cs="Times New Roman"/>
          <w:b/>
          <w:bCs/>
          <w:color w:val="000000" w:themeColor="text1"/>
          <w:spacing w:val="8"/>
          <w:sz w:val="32"/>
          <w:szCs w:val="32"/>
          <w:lang w:eastAsia="zh-CN"/>
        </w:rPr>
        <w:t>2.因公出国境费。</w:t>
      </w:r>
      <w:r>
        <w:rPr>
          <w:rFonts w:hint="eastAsia" w:eastAsia="方正仿宋_GBK" w:cs="Times New Roman"/>
          <w:color w:val="000000" w:themeColor="text1"/>
          <w:spacing w:val="6"/>
          <w:sz w:val="32"/>
          <w:szCs w:val="32"/>
          <w:lang w:eastAsia="zh-CN"/>
        </w:rPr>
        <w:t>支出0.00</w:t>
      </w:r>
      <w:r>
        <w:rPr>
          <w:rFonts w:hint="eastAsia" w:eastAsia="方正仿宋_GBK" w:cs="Times New Roman"/>
          <w:color w:val="000000" w:themeColor="text1"/>
          <w:spacing w:val="6"/>
          <w:sz w:val="32"/>
          <w:szCs w:val="32"/>
          <w:lang w:eastAsia="zh-CN"/>
        </w:rPr>
        <w:t>万元，本年度无相关经费支出。</w:t>
      </w:r>
    </w:p>
    <w:p w14:paraId="7BFBB059">
      <w:pPr>
        <w:pStyle w:val="3"/>
        <w:spacing w:line="560" w:lineRule="exact"/>
        <w:ind w:left="0" w:firstLine="672" w:firstLineChars="200"/>
        <w:jc w:val="both"/>
        <w:rPr>
          <w:rFonts w:ascii="Times New Roman" w:cs="Times New Roman"/>
          <w:color w:val="000000" w:themeColor="text1"/>
          <w:spacing w:val="6"/>
          <w:sz w:val="32"/>
          <w:szCs w:val="32"/>
          <w:lang w:eastAsia="zh-CN"/>
        </w:rPr>
      </w:pPr>
      <w:r>
        <w:rPr>
          <w:rFonts w:hint="eastAsia" w:ascii="Times New Roman" w:eastAsia="Times New Roman" w:cs="Times New Roman"/>
          <w:b/>
          <w:bCs/>
          <w:color w:val="000000" w:themeColor="text1"/>
          <w:spacing w:val="8"/>
          <w:sz w:val="32"/>
          <w:szCs w:val="32"/>
          <w:lang w:eastAsia="zh-CN"/>
        </w:rPr>
        <w:t>3.公务接待费。</w:t>
      </w:r>
      <w:r>
        <w:rPr>
          <w:rFonts w:ascii="Times New Roman" w:cs="Times New Roman"/>
          <w:color w:val="000000" w:themeColor="text1"/>
          <w:spacing w:val="4"/>
          <w:sz w:val="32"/>
          <w:szCs w:val="32"/>
          <w:lang w:eastAsia="zh-CN"/>
        </w:rPr>
        <w:t>预算为</w:t>
      </w:r>
      <w:r>
        <w:rPr>
          <w:rFonts w:hint="eastAsia" w:ascii="Times New Roman" w:eastAsia="宋体" w:cs="Times New Roman"/>
          <w:color w:val="000000" w:themeColor="text1"/>
          <w:spacing w:val="9"/>
          <w:sz w:val="32"/>
          <w:szCs w:val="32"/>
          <w:lang w:eastAsia="zh-CN"/>
        </w:rPr>
        <w:t>2.37</w:t>
      </w:r>
      <w:r>
        <w:rPr>
          <w:rFonts w:ascii="Times New Roman" w:cs="Times New Roman"/>
          <w:color w:val="000000" w:themeColor="text1"/>
          <w:spacing w:val="4"/>
          <w:sz w:val="32"/>
          <w:szCs w:val="32"/>
          <w:lang w:eastAsia="zh-CN"/>
        </w:rPr>
        <w:t>万元，支出决算为</w:t>
      </w:r>
      <w:r>
        <w:rPr>
          <w:rFonts w:hint="eastAsia" w:ascii="Times New Roman" w:eastAsia="宋体" w:cs="Times New Roman"/>
          <w:color w:val="000000" w:themeColor="text1"/>
          <w:spacing w:val="9"/>
          <w:sz w:val="32"/>
          <w:szCs w:val="32"/>
          <w:lang w:eastAsia="zh-CN"/>
        </w:rPr>
        <w:t>2.37</w:t>
      </w:r>
      <w:r>
        <w:rPr>
          <w:rFonts w:ascii="Times New Roman" w:cs="Times New Roman"/>
          <w:color w:val="000000" w:themeColor="text1"/>
          <w:spacing w:val="4"/>
          <w:sz w:val="32"/>
          <w:szCs w:val="32"/>
          <w:lang w:eastAsia="zh-CN"/>
        </w:rPr>
        <w:t>万元，完成年初预算的</w:t>
      </w:r>
      <w:r>
        <w:rPr>
          <w:rFonts w:hint="eastAsia" w:ascii="Times New Roman" w:eastAsia="宋体" w:cs="Times New Roman"/>
          <w:color w:val="000000" w:themeColor="text1"/>
          <w:spacing w:val="9"/>
          <w:sz w:val="32"/>
          <w:szCs w:val="32"/>
          <w:lang w:eastAsia="zh-CN"/>
        </w:rPr>
        <w:t>100</w:t>
      </w:r>
      <w:r>
        <w:rPr>
          <w:rFonts w:ascii="Times New Roman" w:eastAsia="Times New Roman" w:cs="Times New Roman"/>
          <w:color w:val="000000" w:themeColor="text1"/>
          <w:spacing w:val="9"/>
          <w:sz w:val="32"/>
          <w:szCs w:val="32"/>
          <w:lang w:eastAsia="zh-CN"/>
        </w:rPr>
        <w:t>%</w:t>
      </w:r>
      <w:r>
        <w:rPr>
          <w:rFonts w:hint="eastAsia" w:ascii="Times New Roman" w:cs="Times New Roman"/>
          <w:color w:val="000000" w:themeColor="text1"/>
          <w:spacing w:val="4"/>
          <w:sz w:val="32"/>
          <w:szCs w:val="32"/>
          <w:lang w:eastAsia="zh-CN"/>
        </w:rPr>
        <w:t>，均为其他国内公务接待支出2.37万元</w:t>
      </w:r>
      <w:r>
        <w:rPr>
          <w:rFonts w:ascii="Times New Roman" w:cs="Times New Roman"/>
          <w:color w:val="000000" w:themeColor="text1"/>
          <w:spacing w:val="4"/>
          <w:sz w:val="32"/>
          <w:szCs w:val="32"/>
          <w:lang w:eastAsia="zh-CN"/>
        </w:rPr>
        <w:t>，</w:t>
      </w:r>
      <w:r>
        <w:rPr>
          <w:rFonts w:ascii="Times New Roman" w:cs="Times New Roman"/>
          <w:color w:val="000000" w:themeColor="text1"/>
          <w:spacing w:val="8"/>
          <w:sz w:val="32"/>
          <w:szCs w:val="32"/>
          <w:lang w:eastAsia="zh-CN"/>
        </w:rPr>
        <w:t>主要用于</w:t>
      </w:r>
      <w:r>
        <w:rPr>
          <w:rFonts w:hint="eastAsia" w:ascii="Times New Roman" w:cs="Times New Roman"/>
          <w:color w:val="000000" w:themeColor="text1"/>
          <w:spacing w:val="8"/>
          <w:sz w:val="32"/>
          <w:szCs w:val="32"/>
          <w:lang w:eastAsia="zh-CN"/>
        </w:rPr>
        <w:t>丽水</w:t>
      </w:r>
      <w:r>
        <w:rPr>
          <w:rFonts w:ascii="Times New Roman" w:cs="Times New Roman"/>
          <w:color w:val="000000" w:themeColor="text1"/>
          <w:spacing w:val="8"/>
          <w:sz w:val="32"/>
          <w:szCs w:val="32"/>
          <w:lang w:eastAsia="zh-CN"/>
        </w:rPr>
        <w:t>海关</w:t>
      </w:r>
      <w:r>
        <w:rPr>
          <w:rFonts w:ascii="Times New Roman" w:cs="Times New Roman"/>
          <w:color w:val="000000" w:themeColor="text1"/>
          <w:spacing w:val="6"/>
          <w:sz w:val="32"/>
          <w:szCs w:val="32"/>
          <w:lang w:eastAsia="zh-CN"/>
        </w:rPr>
        <w:t>对外开展海关事务合作与业务工作交流及接受工作检查指导</w:t>
      </w:r>
      <w:r>
        <w:rPr>
          <w:rFonts w:ascii="Times New Roman" w:cs="Times New Roman"/>
          <w:color w:val="000000" w:themeColor="text1"/>
          <w:spacing w:val="2"/>
          <w:sz w:val="32"/>
          <w:szCs w:val="32"/>
          <w:lang w:eastAsia="zh-CN"/>
        </w:rPr>
        <w:t>等发生的公务接待支出</w:t>
      </w:r>
      <w:r>
        <w:rPr>
          <w:rFonts w:hint="eastAsia" w:ascii="Times New Roman" w:cs="Times New Roman"/>
          <w:color w:val="000000" w:themeColor="text1"/>
          <w:spacing w:val="6"/>
          <w:sz w:val="32"/>
          <w:szCs w:val="32"/>
          <w:lang w:eastAsia="zh-CN"/>
        </w:rPr>
        <w:t>。当年</w:t>
      </w:r>
      <w:r>
        <w:rPr>
          <w:rFonts w:ascii="Times New Roman" w:cs="Times New Roman"/>
          <w:color w:val="000000" w:themeColor="text1"/>
          <w:spacing w:val="6"/>
          <w:sz w:val="32"/>
          <w:szCs w:val="32"/>
          <w:lang w:eastAsia="zh-CN"/>
        </w:rPr>
        <w:t>共安排国内接待</w:t>
      </w:r>
      <w:r>
        <w:rPr>
          <w:rFonts w:hint="eastAsia" w:ascii="Times New Roman" w:cs="Times New Roman"/>
          <w:color w:val="000000" w:themeColor="text1"/>
          <w:spacing w:val="6"/>
          <w:sz w:val="32"/>
          <w:szCs w:val="32"/>
          <w:lang w:eastAsia="zh-CN"/>
        </w:rPr>
        <w:t>20</w:t>
      </w:r>
      <w:r>
        <w:rPr>
          <w:rFonts w:ascii="Times New Roman" w:cs="Times New Roman"/>
          <w:color w:val="000000" w:themeColor="text1"/>
          <w:spacing w:val="6"/>
          <w:sz w:val="32"/>
          <w:szCs w:val="32"/>
          <w:lang w:eastAsia="zh-CN"/>
        </w:rPr>
        <w:t>批次、</w:t>
      </w:r>
      <w:r>
        <w:rPr>
          <w:rFonts w:hint="eastAsia" w:ascii="Times New Roman" w:cs="Times New Roman"/>
          <w:color w:val="000000" w:themeColor="text1"/>
          <w:spacing w:val="6"/>
          <w:sz w:val="32"/>
          <w:szCs w:val="32"/>
          <w:lang w:eastAsia="zh-CN"/>
        </w:rPr>
        <w:t>137</w:t>
      </w:r>
      <w:r>
        <w:rPr>
          <w:rFonts w:ascii="Times New Roman" w:cs="Times New Roman"/>
          <w:color w:val="000000" w:themeColor="text1"/>
          <w:spacing w:val="6"/>
          <w:sz w:val="32"/>
          <w:szCs w:val="32"/>
          <w:lang w:eastAsia="zh-CN"/>
        </w:rPr>
        <w:t>人次。</w:t>
      </w:r>
    </w:p>
    <w:p w14:paraId="485CBB5F">
      <w:pPr>
        <w:pStyle w:val="3"/>
        <w:spacing w:line="560" w:lineRule="exact"/>
        <w:ind w:left="0" w:firstLine="640" w:firstLineChars="200"/>
        <w:jc w:val="both"/>
        <w:outlineLvl w:val="1"/>
        <w:rPr>
          <w:rFonts w:ascii="方正黑体_GBK" w:eastAsia="方正黑体_GBK" w:cs="方正黑体_GBK"/>
          <w:color w:val="000000" w:themeColor="text1"/>
          <w:sz w:val="32"/>
          <w:szCs w:val="32"/>
          <w:lang w:eastAsia="zh-CN"/>
        </w:rPr>
      </w:pPr>
      <w:bookmarkStart w:id="24" w:name="_Toc26211"/>
      <w:r>
        <w:rPr>
          <w:rFonts w:hint="eastAsia" w:ascii="方正黑体_GBK" w:eastAsia="方正黑体_GBK" w:cs="方正黑体_GBK"/>
          <w:color w:val="000000" w:themeColor="text1"/>
          <w:sz w:val="32"/>
          <w:szCs w:val="32"/>
          <w:lang w:eastAsia="zh-CN"/>
        </w:rPr>
        <w:t>九</w:t>
      </w:r>
      <w:r>
        <w:rPr>
          <w:rFonts w:ascii="方正黑体_GBK" w:eastAsia="方正黑体_GBK" w:cs="方正黑体_GBK"/>
          <w:color w:val="000000" w:themeColor="text1"/>
          <w:sz w:val="32"/>
          <w:szCs w:val="32"/>
          <w:lang w:eastAsia="zh-CN"/>
        </w:rPr>
        <w:t>、机关运行经费支出说明</w:t>
      </w:r>
      <w:bookmarkEnd w:id="24"/>
    </w:p>
    <w:p w14:paraId="26F56884">
      <w:pPr>
        <w:pStyle w:val="3"/>
        <w:spacing w:line="560" w:lineRule="exact"/>
        <w:ind w:left="0" w:firstLine="680" w:firstLineChars="200"/>
        <w:jc w:val="both"/>
        <w:rPr>
          <w:rFonts w:ascii="Times New Roman" w:cs="Times New Roman"/>
          <w:color w:val="000000" w:themeColor="text1"/>
          <w:spacing w:val="10"/>
          <w:sz w:val="32"/>
          <w:szCs w:val="32"/>
          <w:lang w:eastAsia="zh-CN"/>
        </w:rPr>
      </w:pPr>
      <w:r>
        <w:rPr>
          <w:rFonts w:hint="eastAsia" w:ascii="Times New Roman" w:cs="Times New Roman"/>
          <w:color w:val="000000" w:themeColor="text1"/>
          <w:spacing w:val="10"/>
          <w:sz w:val="32"/>
          <w:szCs w:val="32"/>
          <w:lang w:eastAsia="zh-CN"/>
        </w:rPr>
        <w:t>丽水</w:t>
      </w:r>
      <w:r>
        <w:rPr>
          <w:rFonts w:ascii="Times New Roman" w:cs="Times New Roman"/>
          <w:color w:val="000000" w:themeColor="text1"/>
          <w:spacing w:val="10"/>
          <w:sz w:val="32"/>
          <w:szCs w:val="32"/>
          <w:lang w:eastAsia="zh-CN"/>
        </w:rPr>
        <w:t>海关</w:t>
      </w:r>
      <w:r>
        <w:rPr>
          <w:rFonts w:ascii="Times New Roman" w:eastAsia="Times New Roman" w:cs="Times New Roman"/>
          <w:color w:val="000000" w:themeColor="text1"/>
          <w:spacing w:val="9"/>
          <w:sz w:val="32"/>
          <w:szCs w:val="32"/>
          <w:lang w:eastAsia="zh-CN"/>
        </w:rPr>
        <w:t>2025</w:t>
      </w:r>
      <w:r>
        <w:rPr>
          <w:rFonts w:ascii="Times New Roman" w:cs="Times New Roman"/>
          <w:color w:val="000000" w:themeColor="text1"/>
          <w:spacing w:val="10"/>
          <w:sz w:val="32"/>
          <w:szCs w:val="32"/>
          <w:lang w:eastAsia="zh-CN"/>
        </w:rPr>
        <w:t>年度机关运行经费支出</w:t>
      </w:r>
      <w:r>
        <w:rPr>
          <w:rFonts w:hint="eastAsia" w:ascii="Times New Roman" w:cs="Times New Roman"/>
          <w:color w:val="000000" w:themeColor="text1"/>
          <w:spacing w:val="10"/>
          <w:sz w:val="32"/>
          <w:szCs w:val="32"/>
          <w:lang w:eastAsia="zh-CN"/>
        </w:rPr>
        <w:t>232.47</w:t>
      </w:r>
      <w:r>
        <w:rPr>
          <w:rFonts w:ascii="Times New Roman" w:cs="Times New Roman"/>
          <w:color w:val="000000" w:themeColor="text1"/>
          <w:spacing w:val="10"/>
          <w:sz w:val="32"/>
          <w:szCs w:val="32"/>
          <w:lang w:eastAsia="zh-CN"/>
        </w:rPr>
        <w:t>万元，比202</w:t>
      </w:r>
      <w:r>
        <w:rPr>
          <w:rFonts w:hint="eastAsia" w:ascii="Times New Roman" w:cs="Times New Roman"/>
          <w:color w:val="000000" w:themeColor="text1"/>
          <w:spacing w:val="10"/>
          <w:sz w:val="32"/>
          <w:szCs w:val="32"/>
          <w:lang w:eastAsia="zh-CN"/>
        </w:rPr>
        <w:t>4</w:t>
      </w:r>
      <w:r>
        <w:rPr>
          <w:rFonts w:ascii="Times New Roman" w:cs="Times New Roman"/>
          <w:color w:val="000000" w:themeColor="text1"/>
          <w:spacing w:val="10"/>
          <w:sz w:val="32"/>
          <w:szCs w:val="32"/>
          <w:lang w:eastAsia="zh-CN"/>
        </w:rPr>
        <w:t>年</w:t>
      </w:r>
      <w:r>
        <w:rPr>
          <w:rFonts w:hint="eastAsia" w:ascii="Times New Roman" w:cs="Times New Roman"/>
          <w:color w:val="000000" w:themeColor="text1"/>
          <w:spacing w:val="10"/>
          <w:sz w:val="32"/>
          <w:szCs w:val="32"/>
          <w:lang w:eastAsia="zh-CN"/>
        </w:rPr>
        <w:t>增加1.87</w:t>
      </w:r>
      <w:r>
        <w:rPr>
          <w:rFonts w:ascii="Times New Roman" w:cs="Times New Roman"/>
          <w:color w:val="000000" w:themeColor="text1"/>
          <w:spacing w:val="10"/>
          <w:sz w:val="32"/>
          <w:szCs w:val="32"/>
          <w:lang w:eastAsia="zh-CN"/>
        </w:rPr>
        <w:t>万元，</w:t>
      </w:r>
      <w:r>
        <w:rPr>
          <w:rFonts w:hint="eastAsia" w:ascii="Times New Roman" w:cs="Times New Roman"/>
          <w:color w:val="000000" w:themeColor="text1"/>
          <w:spacing w:val="10"/>
          <w:sz w:val="32"/>
          <w:szCs w:val="32"/>
          <w:lang w:eastAsia="zh-CN"/>
        </w:rPr>
        <w:t>上升0.81</w:t>
      </w:r>
      <w:r>
        <w:rPr>
          <w:rFonts w:ascii="Times New Roman" w:cs="Times New Roman"/>
          <w:color w:val="000000" w:themeColor="text1"/>
          <w:spacing w:val="10"/>
          <w:sz w:val="32"/>
          <w:szCs w:val="32"/>
          <w:lang w:eastAsia="zh-CN"/>
        </w:rPr>
        <w:t>%</w:t>
      </w:r>
      <w:r>
        <w:rPr>
          <w:rFonts w:hint="eastAsia" w:ascii="Times New Roman" w:cs="Times New Roman"/>
          <w:color w:val="000000" w:themeColor="text1"/>
          <w:spacing w:val="10"/>
          <w:sz w:val="32"/>
          <w:szCs w:val="32"/>
          <w:lang w:eastAsia="zh-CN"/>
        </w:rPr>
        <w:t>，与上年度基本持平</w:t>
      </w:r>
      <w:r>
        <w:rPr>
          <w:rFonts w:ascii="Times New Roman" w:cs="Times New Roman"/>
          <w:color w:val="000000" w:themeColor="text1"/>
          <w:spacing w:val="10"/>
          <w:sz w:val="32"/>
          <w:szCs w:val="32"/>
          <w:lang w:eastAsia="zh-CN"/>
        </w:rPr>
        <w:t>。</w:t>
      </w:r>
    </w:p>
    <w:p w14:paraId="0E329739">
      <w:pPr>
        <w:pStyle w:val="3"/>
        <w:spacing w:line="560" w:lineRule="exact"/>
        <w:ind w:left="0" w:firstLine="640" w:firstLineChars="200"/>
        <w:jc w:val="both"/>
        <w:outlineLvl w:val="1"/>
        <w:rPr>
          <w:rFonts w:ascii="方正黑体_GBK" w:eastAsia="方正黑体_GBK" w:cs="方正黑体_GBK"/>
          <w:color w:val="000000" w:themeColor="text1"/>
          <w:sz w:val="32"/>
          <w:szCs w:val="32"/>
          <w:lang w:eastAsia="zh-CN"/>
        </w:rPr>
      </w:pPr>
      <w:bookmarkStart w:id="25" w:name="_Toc26589"/>
      <w:r>
        <w:rPr>
          <w:rFonts w:hint="eastAsia" w:ascii="方正黑体_GBK" w:eastAsia="方正黑体_GBK" w:cs="方正黑体_GBK"/>
          <w:color w:val="000000" w:themeColor="text1"/>
          <w:sz w:val="32"/>
          <w:szCs w:val="32"/>
          <w:lang w:eastAsia="zh-CN"/>
        </w:rPr>
        <w:t>十</w:t>
      </w:r>
      <w:r>
        <w:rPr>
          <w:rFonts w:ascii="方正黑体_GBK" w:eastAsia="方正黑体_GBK" w:cs="方正黑体_GBK"/>
          <w:color w:val="000000" w:themeColor="text1"/>
          <w:sz w:val="32"/>
          <w:szCs w:val="32"/>
          <w:lang w:eastAsia="zh-CN"/>
        </w:rPr>
        <w:t>、政府采购支出说明</w:t>
      </w:r>
      <w:bookmarkEnd w:id="25"/>
    </w:p>
    <w:p w14:paraId="46558433">
      <w:pPr>
        <w:pStyle w:val="3"/>
        <w:spacing w:line="560" w:lineRule="exact"/>
        <w:ind w:left="0" w:firstLine="680" w:firstLineChars="200"/>
        <w:jc w:val="both"/>
        <w:rPr>
          <w:rFonts w:ascii="Times New Roman" w:cs="Times New Roman"/>
          <w:color w:val="000000" w:themeColor="text1"/>
          <w:sz w:val="32"/>
          <w:szCs w:val="32"/>
          <w:lang w:eastAsia="zh-CN"/>
        </w:rPr>
      </w:pPr>
      <w:r>
        <w:rPr>
          <w:rFonts w:hint="eastAsia" w:ascii="Times New Roman" w:cs="Times New Roman"/>
          <w:color w:val="000000" w:themeColor="text1"/>
          <w:spacing w:val="10"/>
          <w:sz w:val="32"/>
          <w:szCs w:val="32"/>
          <w:lang w:eastAsia="zh-CN"/>
        </w:rPr>
        <w:t>丽水</w:t>
      </w:r>
      <w:r>
        <w:rPr>
          <w:rFonts w:ascii="Times New Roman" w:cs="Times New Roman"/>
          <w:color w:val="000000" w:themeColor="text1"/>
          <w:spacing w:val="10"/>
          <w:sz w:val="32"/>
          <w:szCs w:val="32"/>
          <w:lang w:eastAsia="zh-CN"/>
        </w:rPr>
        <w:t>海关</w:t>
      </w:r>
      <w:r>
        <w:rPr>
          <w:rFonts w:ascii="Times New Roman" w:eastAsia="Times New Roman" w:cs="Times New Roman"/>
          <w:color w:val="000000" w:themeColor="text1"/>
          <w:spacing w:val="9"/>
          <w:sz w:val="32"/>
          <w:szCs w:val="32"/>
          <w:lang w:eastAsia="zh-CN"/>
        </w:rPr>
        <w:t>2025</w:t>
      </w:r>
      <w:r>
        <w:rPr>
          <w:rFonts w:ascii="Times New Roman" w:cs="Times New Roman"/>
          <w:color w:val="000000" w:themeColor="text1"/>
          <w:spacing w:val="10"/>
          <w:sz w:val="32"/>
          <w:szCs w:val="32"/>
          <w:lang w:eastAsia="zh-CN"/>
        </w:rPr>
        <w:t>年度政府采购支出总额</w:t>
      </w:r>
      <w:r>
        <w:rPr>
          <w:rFonts w:hint="eastAsia" w:ascii="Times New Roman" w:eastAsia="宋体" w:cs="Times New Roman"/>
          <w:color w:val="000000" w:themeColor="text1"/>
          <w:spacing w:val="9"/>
          <w:sz w:val="32"/>
          <w:szCs w:val="32"/>
          <w:lang w:eastAsia="zh-CN"/>
        </w:rPr>
        <w:t>359.18</w:t>
      </w:r>
      <w:r>
        <w:rPr>
          <w:rFonts w:ascii="Times New Roman" w:cs="Times New Roman"/>
          <w:color w:val="000000" w:themeColor="text1"/>
          <w:spacing w:val="10"/>
          <w:sz w:val="32"/>
          <w:szCs w:val="32"/>
          <w:lang w:eastAsia="zh-CN"/>
        </w:rPr>
        <w:t>万元，其中：</w:t>
      </w:r>
      <w:r>
        <w:rPr>
          <w:rFonts w:ascii="Times New Roman" w:cs="Times New Roman"/>
          <w:color w:val="000000" w:themeColor="text1"/>
          <w:sz w:val="32"/>
          <w:szCs w:val="32"/>
          <w:lang w:eastAsia="zh-CN"/>
        </w:rPr>
        <w:t>政府采购货物支出</w:t>
      </w:r>
      <w:r>
        <w:rPr>
          <w:rFonts w:hint="eastAsia" w:ascii="Times New Roman" w:eastAsia="宋体" w:cs="Times New Roman"/>
          <w:color w:val="000000" w:themeColor="text1"/>
          <w:spacing w:val="9"/>
          <w:sz w:val="32"/>
          <w:szCs w:val="32"/>
          <w:lang w:eastAsia="zh-CN"/>
        </w:rPr>
        <w:t>3.09</w:t>
      </w:r>
      <w:r>
        <w:rPr>
          <w:rFonts w:ascii="Times New Roman" w:cs="Times New Roman"/>
          <w:color w:val="000000" w:themeColor="text1"/>
          <w:sz w:val="32"/>
          <w:szCs w:val="32"/>
          <w:lang w:eastAsia="zh-CN"/>
        </w:rPr>
        <w:t>万元、</w:t>
      </w:r>
      <w:r>
        <w:rPr>
          <w:rFonts w:ascii="Times New Roman" w:cs="Times New Roman"/>
          <w:color w:val="000000" w:themeColor="text1"/>
          <w:spacing w:val="9"/>
          <w:sz w:val="32"/>
          <w:szCs w:val="32"/>
          <w:lang w:eastAsia="zh-CN"/>
        </w:rPr>
        <w:t>政府采购服务支出</w:t>
      </w:r>
      <w:r>
        <w:rPr>
          <w:rFonts w:hint="eastAsia" w:ascii="Times New Roman" w:eastAsia="宋体" w:cs="Times New Roman"/>
          <w:color w:val="000000" w:themeColor="text1"/>
          <w:spacing w:val="9"/>
          <w:sz w:val="32"/>
          <w:szCs w:val="32"/>
          <w:lang w:eastAsia="zh-CN"/>
        </w:rPr>
        <w:t>176.09</w:t>
      </w:r>
      <w:r>
        <w:rPr>
          <w:rFonts w:ascii="Times New Roman" w:cs="Times New Roman"/>
          <w:color w:val="000000" w:themeColor="text1"/>
          <w:spacing w:val="9"/>
          <w:sz w:val="32"/>
          <w:szCs w:val="32"/>
          <w:lang w:eastAsia="zh-CN"/>
        </w:rPr>
        <w:t>万元</w:t>
      </w:r>
      <w:r>
        <w:rPr>
          <w:rFonts w:hint="eastAsia" w:ascii="Times New Roman" w:cs="Times New Roman"/>
          <w:color w:val="000000" w:themeColor="text1"/>
          <w:spacing w:val="9"/>
          <w:sz w:val="32"/>
          <w:szCs w:val="32"/>
          <w:lang w:eastAsia="zh-CN"/>
        </w:rPr>
        <w:t>、</w:t>
      </w:r>
      <w:r>
        <w:rPr>
          <w:rFonts w:ascii="Times New Roman" w:cs="Times New Roman"/>
          <w:color w:val="000000" w:themeColor="text1"/>
          <w:spacing w:val="9"/>
          <w:sz w:val="32"/>
          <w:szCs w:val="32"/>
          <w:lang w:eastAsia="zh-CN"/>
        </w:rPr>
        <w:t>政府采购</w:t>
      </w:r>
      <w:r>
        <w:rPr>
          <w:rFonts w:hint="eastAsia" w:ascii="Times New Roman" w:cs="Times New Roman"/>
          <w:color w:val="000000" w:themeColor="text1"/>
          <w:spacing w:val="9"/>
          <w:sz w:val="32"/>
          <w:szCs w:val="32"/>
          <w:lang w:eastAsia="zh-CN"/>
        </w:rPr>
        <w:t>工程</w:t>
      </w:r>
      <w:r>
        <w:rPr>
          <w:rFonts w:ascii="Times New Roman" w:cs="Times New Roman"/>
          <w:color w:val="000000" w:themeColor="text1"/>
          <w:spacing w:val="9"/>
          <w:sz w:val="32"/>
          <w:szCs w:val="32"/>
          <w:lang w:eastAsia="zh-CN"/>
        </w:rPr>
        <w:t>支出</w:t>
      </w:r>
      <w:r>
        <w:rPr>
          <w:rFonts w:hint="eastAsia" w:ascii="Times New Roman" w:cs="Times New Roman"/>
          <w:color w:val="000000" w:themeColor="text1"/>
          <w:spacing w:val="9"/>
          <w:sz w:val="32"/>
          <w:szCs w:val="32"/>
          <w:lang w:eastAsia="zh-CN"/>
        </w:rPr>
        <w:t>180.00</w:t>
      </w:r>
      <w:r>
        <w:rPr>
          <w:rFonts w:ascii="Times New Roman" w:cs="Times New Roman"/>
          <w:color w:val="000000" w:themeColor="text1"/>
          <w:spacing w:val="9"/>
          <w:sz w:val="32"/>
          <w:szCs w:val="32"/>
          <w:lang w:eastAsia="zh-CN"/>
        </w:rPr>
        <w:t>万元。授予中小企业合同金额</w:t>
      </w:r>
      <w:r>
        <w:rPr>
          <w:rFonts w:hint="eastAsia" w:ascii="Times New Roman" w:cs="Times New Roman"/>
          <w:color w:val="000000" w:themeColor="text1"/>
          <w:spacing w:val="9"/>
          <w:sz w:val="32"/>
          <w:szCs w:val="32"/>
          <w:lang w:eastAsia="zh-CN"/>
        </w:rPr>
        <w:t>177.</w:t>
      </w:r>
      <w:bookmarkStart w:id="29" w:name="_GoBack"/>
      <w:bookmarkEnd w:id="29"/>
      <w:r>
        <w:rPr>
          <w:rFonts w:hint="eastAsia" w:ascii="Times New Roman" w:cs="Times New Roman"/>
          <w:color w:val="000000" w:themeColor="text1"/>
          <w:spacing w:val="9"/>
          <w:sz w:val="32"/>
          <w:szCs w:val="32"/>
          <w:lang w:eastAsia="zh-CN"/>
        </w:rPr>
        <w:t>29</w:t>
      </w:r>
      <w:r>
        <w:rPr>
          <w:rFonts w:ascii="Times New Roman" w:cs="Times New Roman"/>
          <w:color w:val="000000" w:themeColor="text1"/>
          <w:spacing w:val="9"/>
          <w:sz w:val="32"/>
          <w:szCs w:val="32"/>
          <w:lang w:eastAsia="zh-CN"/>
        </w:rPr>
        <w:t>万元，占政府采购支出总额的</w:t>
      </w:r>
      <w:r>
        <w:rPr>
          <w:rFonts w:hint="eastAsia" w:ascii="Times New Roman" w:cs="Times New Roman"/>
          <w:color w:val="000000" w:themeColor="text1"/>
          <w:spacing w:val="9"/>
          <w:sz w:val="32"/>
          <w:szCs w:val="32"/>
          <w:lang w:eastAsia="zh-CN"/>
        </w:rPr>
        <w:t>49.36</w:t>
      </w:r>
      <w:r>
        <w:rPr>
          <w:rFonts w:ascii="Times New Roman" w:cs="Times New Roman"/>
          <w:color w:val="000000" w:themeColor="text1"/>
          <w:spacing w:val="9"/>
          <w:sz w:val="32"/>
          <w:szCs w:val="32"/>
          <w:lang w:eastAsia="zh-CN"/>
        </w:rPr>
        <w:t>%，其中：授予小微企业合同金额</w:t>
      </w:r>
      <w:r>
        <w:rPr>
          <w:rFonts w:hint="eastAsia" w:ascii="Times New Roman" w:cs="Times New Roman"/>
          <w:color w:val="000000" w:themeColor="text1"/>
          <w:spacing w:val="9"/>
          <w:sz w:val="32"/>
          <w:szCs w:val="32"/>
          <w:lang w:eastAsia="zh-CN"/>
        </w:rPr>
        <w:t>177.29</w:t>
      </w:r>
      <w:r>
        <w:rPr>
          <w:rFonts w:ascii="Times New Roman" w:cs="Times New Roman"/>
          <w:color w:val="000000" w:themeColor="text1"/>
          <w:spacing w:val="9"/>
          <w:sz w:val="32"/>
          <w:szCs w:val="32"/>
          <w:lang w:eastAsia="zh-CN"/>
        </w:rPr>
        <w:t>万元，占授予中小企业合同金额的</w:t>
      </w:r>
      <w:r>
        <w:rPr>
          <w:rFonts w:hint="eastAsia" w:ascii="Times New Roman" w:cs="Times New Roman"/>
          <w:color w:val="000000" w:themeColor="text1"/>
          <w:spacing w:val="9"/>
          <w:sz w:val="32"/>
          <w:szCs w:val="32"/>
          <w:lang w:eastAsia="zh-CN"/>
        </w:rPr>
        <w:t>100</w:t>
      </w:r>
      <w:r>
        <w:rPr>
          <w:rFonts w:ascii="Times New Roman" w:cs="Times New Roman"/>
          <w:color w:val="000000" w:themeColor="text1"/>
          <w:spacing w:val="9"/>
          <w:sz w:val="32"/>
          <w:szCs w:val="32"/>
          <w:lang w:eastAsia="zh-CN"/>
        </w:rPr>
        <w:t>%</w:t>
      </w:r>
      <w:r>
        <w:rPr>
          <w:rFonts w:ascii="Times New Roman" w:cs="Times New Roman"/>
          <w:color w:val="000000" w:themeColor="text1"/>
          <w:sz w:val="32"/>
          <w:szCs w:val="32"/>
          <w:lang w:eastAsia="zh-CN"/>
        </w:rPr>
        <w:t>。</w:t>
      </w:r>
    </w:p>
    <w:p w14:paraId="15D7FC52">
      <w:pPr>
        <w:pStyle w:val="3"/>
        <w:spacing w:line="560" w:lineRule="exact"/>
        <w:ind w:left="0" w:firstLine="620" w:firstLineChars="200"/>
        <w:jc w:val="both"/>
        <w:outlineLvl w:val="1"/>
        <w:rPr>
          <w:rFonts w:ascii="方正黑体_GBK" w:eastAsia="方正黑体_GBK" w:cs="方正黑体_GBK"/>
          <w:color w:val="000000" w:themeColor="text1"/>
          <w:sz w:val="32"/>
          <w:szCs w:val="32"/>
          <w:lang w:eastAsia="zh-CN"/>
        </w:rPr>
      </w:pPr>
      <w:bookmarkStart w:id="26" w:name="_Toc30495"/>
      <w:r>
        <w:rPr>
          <w:rFonts w:ascii="方正黑体_GBK" w:eastAsia="方正黑体_GBK" w:cs="方正黑体_GBK"/>
          <w:color w:val="000000" w:themeColor="text1"/>
          <w:lang w:eastAsia="zh-CN"/>
        </w:rPr>
        <w:t>十一</w:t>
      </w:r>
      <w:r>
        <w:rPr>
          <w:rFonts w:ascii="方正黑体_GBK" w:eastAsia="方正黑体_GBK" w:cs="方正黑体_GBK"/>
          <w:color w:val="000000" w:themeColor="text1"/>
          <w:sz w:val="32"/>
          <w:szCs w:val="32"/>
          <w:lang w:eastAsia="zh-CN"/>
        </w:rPr>
        <w:t>、国有资产占用情况说明</w:t>
      </w:r>
      <w:bookmarkEnd w:id="26"/>
    </w:p>
    <w:p w14:paraId="7A9C03A0">
      <w:pPr>
        <w:pStyle w:val="94"/>
        <w:spacing w:line="560" w:lineRule="exact"/>
        <w:ind w:left="0" w:firstLine="648" w:firstLineChars="200"/>
        <w:jc w:val="both"/>
        <w:rPr>
          <w:rFonts w:ascii="Times New Roman" w:cs="Times New Roman"/>
          <w:color w:val="000000" w:themeColor="text1"/>
          <w:sz w:val="32"/>
          <w:szCs w:val="32"/>
          <w:lang w:eastAsia="zh-CN"/>
        </w:rPr>
      </w:pPr>
      <w:r>
        <w:rPr>
          <w:rFonts w:ascii="Times New Roman" w:cs="Times New Roman"/>
          <w:color w:val="000000" w:themeColor="text1"/>
          <w:spacing w:val="2"/>
          <w:sz w:val="32"/>
          <w:szCs w:val="32"/>
          <w:lang w:eastAsia="zh-CN"/>
        </w:rPr>
        <w:t>截至</w:t>
      </w:r>
      <w:r>
        <w:rPr>
          <w:rFonts w:ascii="Times New Roman" w:eastAsia="Times New Roman" w:cs="Times New Roman"/>
          <w:color w:val="000000" w:themeColor="text1"/>
          <w:spacing w:val="9"/>
          <w:sz w:val="32"/>
          <w:szCs w:val="32"/>
          <w:lang w:eastAsia="zh-CN"/>
        </w:rPr>
        <w:t>2025</w:t>
      </w:r>
      <w:r>
        <w:rPr>
          <w:rFonts w:ascii="Times New Roman" w:cs="Times New Roman"/>
          <w:color w:val="000000" w:themeColor="text1"/>
          <w:spacing w:val="2"/>
          <w:sz w:val="32"/>
          <w:szCs w:val="32"/>
          <w:lang w:eastAsia="zh-CN"/>
        </w:rPr>
        <w:t>年</w:t>
      </w:r>
      <w:r>
        <w:rPr>
          <w:rFonts w:ascii="Times New Roman" w:eastAsia="Times New Roman" w:cs="Times New Roman"/>
          <w:color w:val="000000" w:themeColor="text1"/>
          <w:spacing w:val="9"/>
          <w:sz w:val="32"/>
          <w:szCs w:val="32"/>
          <w:lang w:eastAsia="zh-CN"/>
        </w:rPr>
        <w:t>12</w:t>
      </w:r>
      <w:r>
        <w:rPr>
          <w:rFonts w:ascii="Times New Roman" w:cs="Times New Roman"/>
          <w:color w:val="000000" w:themeColor="text1"/>
          <w:spacing w:val="2"/>
          <w:sz w:val="32"/>
          <w:szCs w:val="32"/>
          <w:lang w:eastAsia="zh-CN"/>
        </w:rPr>
        <w:t>月</w:t>
      </w:r>
      <w:r>
        <w:rPr>
          <w:rFonts w:ascii="Times New Roman" w:eastAsia="Times New Roman" w:cs="Times New Roman"/>
          <w:color w:val="000000" w:themeColor="text1"/>
          <w:spacing w:val="9"/>
          <w:sz w:val="32"/>
          <w:szCs w:val="32"/>
          <w:lang w:eastAsia="zh-CN"/>
        </w:rPr>
        <w:t>31</w:t>
      </w:r>
      <w:r>
        <w:rPr>
          <w:rFonts w:ascii="Times New Roman" w:cs="Times New Roman"/>
          <w:color w:val="000000" w:themeColor="text1"/>
          <w:spacing w:val="2"/>
          <w:sz w:val="32"/>
          <w:szCs w:val="32"/>
          <w:lang w:eastAsia="zh-CN"/>
        </w:rPr>
        <w:t>日，</w:t>
      </w:r>
      <w:r>
        <w:rPr>
          <w:rFonts w:hint="eastAsia" w:ascii="Times New Roman" w:cs="Times New Roman"/>
          <w:color w:val="000000" w:themeColor="text1"/>
          <w:spacing w:val="2"/>
          <w:sz w:val="32"/>
          <w:szCs w:val="32"/>
          <w:lang w:eastAsia="zh-CN"/>
        </w:rPr>
        <w:t>丽水</w:t>
      </w:r>
      <w:r>
        <w:rPr>
          <w:rFonts w:ascii="Times New Roman" w:cs="Times New Roman"/>
          <w:color w:val="000000" w:themeColor="text1"/>
          <w:spacing w:val="2"/>
          <w:sz w:val="32"/>
          <w:szCs w:val="32"/>
          <w:lang w:eastAsia="zh-CN"/>
        </w:rPr>
        <w:t>海关共有车辆</w:t>
      </w:r>
      <w:r>
        <w:rPr>
          <w:rFonts w:ascii="Times New Roman" w:eastAsia="宋体" w:cs="Times New Roman"/>
          <w:color w:val="000000" w:themeColor="text1"/>
          <w:spacing w:val="9"/>
          <w:sz w:val="32"/>
          <w:szCs w:val="32"/>
          <w:lang w:eastAsia="zh-CN"/>
        </w:rPr>
        <w:t>6</w:t>
      </w:r>
      <w:r>
        <w:rPr>
          <w:rFonts w:ascii="Times New Roman" w:cs="Times New Roman"/>
          <w:color w:val="000000" w:themeColor="text1"/>
          <w:spacing w:val="2"/>
          <w:sz w:val="32"/>
          <w:szCs w:val="32"/>
          <w:lang w:eastAsia="zh-CN"/>
        </w:rPr>
        <w:t>辆（台），</w:t>
      </w:r>
      <w:r>
        <w:rPr>
          <w:rFonts w:ascii="Times New Roman" w:cs="Times New Roman"/>
          <w:color w:val="000000" w:themeColor="text1"/>
          <w:spacing w:val="6"/>
          <w:sz w:val="32"/>
          <w:szCs w:val="32"/>
          <w:lang w:eastAsia="zh-CN"/>
        </w:rPr>
        <w:t>其中：</w:t>
      </w:r>
      <w:r>
        <w:rPr>
          <w:rFonts w:ascii="Times New Roman" w:cs="Times New Roman"/>
          <w:color w:val="000000" w:themeColor="text1"/>
          <w:spacing w:val="5"/>
          <w:sz w:val="32"/>
          <w:szCs w:val="32"/>
          <w:lang w:eastAsia="zh-CN"/>
        </w:rPr>
        <w:t>应急保障用车</w:t>
      </w:r>
      <w:r>
        <w:rPr>
          <w:rFonts w:ascii="Times New Roman" w:eastAsia="宋体" w:cs="Times New Roman"/>
          <w:color w:val="000000" w:themeColor="text1"/>
          <w:spacing w:val="9"/>
          <w:sz w:val="32"/>
          <w:szCs w:val="32"/>
          <w:lang w:eastAsia="zh-CN"/>
        </w:rPr>
        <w:t>1</w:t>
      </w:r>
      <w:r>
        <w:rPr>
          <w:rFonts w:ascii="Times New Roman" w:cs="Times New Roman"/>
          <w:color w:val="000000" w:themeColor="text1"/>
          <w:spacing w:val="5"/>
          <w:sz w:val="32"/>
          <w:szCs w:val="32"/>
          <w:lang w:eastAsia="zh-CN"/>
        </w:rPr>
        <w:t>辆、执法执勤用</w:t>
      </w:r>
      <w:r>
        <w:rPr>
          <w:rFonts w:ascii="Times New Roman" w:cs="Times New Roman"/>
          <w:color w:val="000000" w:themeColor="text1"/>
          <w:spacing w:val="2"/>
          <w:sz w:val="32"/>
          <w:szCs w:val="32"/>
          <w:lang w:eastAsia="zh-CN"/>
        </w:rPr>
        <w:t>车</w:t>
      </w:r>
      <w:r>
        <w:rPr>
          <w:rFonts w:hint="eastAsia" w:ascii="Times New Roman" w:eastAsia="宋体" w:cs="Times New Roman"/>
          <w:color w:val="000000" w:themeColor="text1"/>
          <w:spacing w:val="9"/>
          <w:sz w:val="32"/>
          <w:szCs w:val="32"/>
          <w:lang w:eastAsia="zh-CN"/>
        </w:rPr>
        <w:t>5</w:t>
      </w:r>
      <w:r>
        <w:rPr>
          <w:rFonts w:ascii="Times New Roman" w:cs="Times New Roman"/>
          <w:color w:val="000000" w:themeColor="text1"/>
          <w:spacing w:val="2"/>
          <w:sz w:val="32"/>
          <w:szCs w:val="32"/>
          <w:lang w:eastAsia="zh-CN"/>
        </w:rPr>
        <w:t>辆</w:t>
      </w:r>
      <w:r>
        <w:rPr>
          <w:rFonts w:ascii="Times New Roman" w:cs="Times New Roman"/>
          <w:color w:val="000000" w:themeColor="text1"/>
          <w:spacing w:val="6"/>
          <w:sz w:val="32"/>
          <w:szCs w:val="32"/>
          <w:lang w:eastAsia="zh-CN"/>
        </w:rPr>
        <w:t>。单价</w:t>
      </w:r>
      <w:r>
        <w:rPr>
          <w:rFonts w:ascii="Times New Roman" w:eastAsia="Times New Roman" w:cs="Times New Roman"/>
          <w:color w:val="000000" w:themeColor="text1"/>
          <w:spacing w:val="9"/>
          <w:sz w:val="32"/>
          <w:szCs w:val="32"/>
          <w:lang w:eastAsia="zh-CN"/>
        </w:rPr>
        <w:t>100</w:t>
      </w:r>
      <w:r>
        <w:rPr>
          <w:rFonts w:ascii="Times New Roman" w:cs="Times New Roman"/>
          <w:color w:val="000000" w:themeColor="text1"/>
          <w:spacing w:val="6"/>
          <w:sz w:val="32"/>
          <w:szCs w:val="32"/>
          <w:lang w:eastAsia="zh-CN"/>
        </w:rPr>
        <w:t>万元（含）</w:t>
      </w:r>
      <w:r>
        <w:rPr>
          <w:rFonts w:ascii="Times New Roman" w:cs="Times New Roman"/>
          <w:color w:val="000000" w:themeColor="text1"/>
          <w:sz w:val="32"/>
          <w:szCs w:val="32"/>
          <w:lang w:eastAsia="zh-CN"/>
        </w:rPr>
        <w:t>以上的设备</w:t>
      </w:r>
      <w:r>
        <w:rPr>
          <w:rFonts w:hint="eastAsia" w:ascii="Times New Roman" w:eastAsia="宋体" w:cs="Times New Roman"/>
          <w:color w:val="000000" w:themeColor="text1"/>
          <w:spacing w:val="9"/>
          <w:sz w:val="32"/>
          <w:szCs w:val="32"/>
          <w:lang w:eastAsia="zh-CN"/>
        </w:rPr>
        <w:t>7</w:t>
      </w:r>
      <w:r>
        <w:rPr>
          <w:rFonts w:ascii="Times New Roman" w:cs="Times New Roman"/>
          <w:color w:val="000000" w:themeColor="text1"/>
          <w:sz w:val="32"/>
          <w:szCs w:val="32"/>
          <w:lang w:eastAsia="zh-CN"/>
        </w:rPr>
        <w:t>台（套）。</w:t>
      </w:r>
    </w:p>
    <w:p w14:paraId="5CA54D6A">
      <w:pPr>
        <w:pStyle w:val="170"/>
        <w:tabs>
          <w:tab w:val="right" w:leader="dot" w:pos="8613"/>
        </w:tabs>
        <w:ind w:left="119" w:leftChars="54" w:firstLine="640" w:firstLineChars="200"/>
        <w:rPr>
          <w:rFonts w:ascii="方正仿宋_GBK" w:eastAsia="方正仿宋_GBK"/>
          <w:color w:val="000000" w:themeColor="text1"/>
        </w:rPr>
      </w:pPr>
      <w:bookmarkStart w:id="27" w:name="_Toc30074"/>
      <w:r>
        <w:rPr>
          <w:rFonts w:ascii="方正黑体_GBK" w:eastAsia="方正黑体_GBK" w:cs="方正黑体_GBK"/>
          <w:color w:val="000000" w:themeColor="text1"/>
        </w:rPr>
        <w:t>十</w:t>
      </w:r>
      <w:r>
        <w:rPr>
          <w:rFonts w:hint="eastAsia" w:ascii="方正黑体_GBK" w:eastAsia="方正黑体_GBK" w:cs="方正黑体_GBK"/>
          <w:color w:val="000000" w:themeColor="text1"/>
        </w:rPr>
        <w:t>二</w:t>
      </w:r>
      <w:r>
        <w:rPr>
          <w:rFonts w:ascii="方正黑体_GBK" w:eastAsia="方正黑体_GBK" w:cs="方正黑体_GBK"/>
          <w:color w:val="000000" w:themeColor="text1"/>
        </w:rPr>
        <w:t>、</w:t>
      </w:r>
      <w:bookmarkEnd w:id="27"/>
      <w:r>
        <w:rPr>
          <w:rFonts w:hint="eastAsia" w:ascii="方正黑体_GBK" w:eastAsia="方正黑体_GBK" w:cs="方正黑体_GBK"/>
          <w:color w:val="000000" w:themeColor="text1"/>
        </w:rPr>
        <w:t>关于</w:t>
      </w:r>
      <w:r>
        <w:rPr>
          <w:rFonts w:ascii="方正黑体_GBK" w:eastAsia="方正黑体_GBK" w:cs="方正黑体_GBK"/>
          <w:color w:val="000000" w:themeColor="text1"/>
        </w:rPr>
        <w:t>2025</w:t>
      </w:r>
      <w:r>
        <w:rPr>
          <w:rFonts w:hint="eastAsia" w:ascii="方正黑体_GBK" w:eastAsia="方正黑体_GBK" w:cs="方正黑体_GBK"/>
          <w:color w:val="000000" w:themeColor="text1"/>
        </w:rPr>
        <w:t>年度绩效评价情况的说明</w:t>
      </w:r>
    </w:p>
    <w:p w14:paraId="6DD52EEE">
      <w:pPr>
        <w:pStyle w:val="3"/>
        <w:spacing w:line="560" w:lineRule="exact"/>
        <w:ind w:left="0" w:firstLine="711" w:firstLineChars="200"/>
        <w:jc w:val="both"/>
        <w:rPr>
          <w:rFonts w:ascii="方正楷体_GBK" w:eastAsia="方正楷体_GBK" w:cs="Times New Roman"/>
          <w:b/>
          <w:color w:val="000000" w:themeColor="text1"/>
          <w:spacing w:val="17"/>
          <w:sz w:val="32"/>
          <w:szCs w:val="32"/>
          <w:lang w:eastAsia="zh-CN"/>
        </w:rPr>
      </w:pPr>
      <w:r>
        <w:rPr>
          <w:rFonts w:hint="eastAsia" w:ascii="方正楷体_GBK" w:eastAsia="方正楷体_GBK" w:cs="Times New Roman"/>
          <w:b/>
          <w:color w:val="000000" w:themeColor="text1"/>
          <w:spacing w:val="17"/>
          <w:sz w:val="32"/>
          <w:szCs w:val="32"/>
          <w:lang w:eastAsia="zh-CN"/>
        </w:rPr>
        <w:t>（一）预算绩效管理工作开展情况。</w:t>
      </w:r>
    </w:p>
    <w:p w14:paraId="60E150B1">
      <w:pPr>
        <w:pStyle w:val="3"/>
        <w:spacing w:line="560" w:lineRule="exact"/>
        <w:ind w:left="0" w:firstLine="708" w:firstLineChars="200"/>
        <w:jc w:val="both"/>
        <w:rPr>
          <w:color w:val="000000" w:themeColor="text1"/>
          <w:sz w:val="32"/>
          <w:szCs w:val="32"/>
          <w:lang w:eastAsia="zh-CN"/>
        </w:rPr>
      </w:pPr>
      <w:r>
        <w:rPr>
          <w:rFonts w:ascii="Times New Roman" w:cs="Times New Roman"/>
          <w:color w:val="000000" w:themeColor="text1"/>
          <w:spacing w:val="17"/>
          <w:sz w:val="32"/>
          <w:szCs w:val="32"/>
          <w:lang w:eastAsia="zh-CN"/>
        </w:rPr>
        <w:t>根据预算绩效管理要求，我关组织对2025年度一般公共预算项目支</w:t>
      </w:r>
      <w:r>
        <w:rPr>
          <w:color w:val="000000" w:themeColor="text1"/>
          <w:spacing w:val="17"/>
          <w:sz w:val="32"/>
          <w:szCs w:val="32"/>
          <w:lang w:eastAsia="zh-CN"/>
        </w:rPr>
        <w:t>出全面开展绩效自评，二级项目</w:t>
      </w:r>
      <w:r>
        <w:rPr>
          <w:rFonts w:hint="eastAsia" w:ascii="Times New Roman" w:eastAsia="宋体" w:cs="Times New Roman"/>
          <w:color w:val="000000" w:themeColor="text1"/>
          <w:spacing w:val="9"/>
          <w:sz w:val="32"/>
          <w:szCs w:val="32"/>
          <w:lang w:eastAsia="zh-CN"/>
        </w:rPr>
        <w:t>12</w:t>
      </w:r>
      <w:r>
        <w:rPr>
          <w:color w:val="000000" w:themeColor="text1"/>
          <w:spacing w:val="8"/>
          <w:sz w:val="32"/>
          <w:szCs w:val="32"/>
          <w:lang w:eastAsia="zh-CN"/>
        </w:rPr>
        <w:t>个，共涉及资金</w:t>
      </w:r>
      <w:r>
        <w:rPr>
          <w:rFonts w:hint="eastAsia" w:ascii="Times New Roman" w:eastAsia="宋体" w:cs="Times New Roman"/>
          <w:color w:val="000000" w:themeColor="text1"/>
          <w:spacing w:val="9"/>
          <w:sz w:val="32"/>
          <w:szCs w:val="32"/>
          <w:lang w:eastAsia="zh-CN"/>
        </w:rPr>
        <w:t>375.95</w:t>
      </w:r>
      <w:r>
        <w:rPr>
          <w:color w:val="000000" w:themeColor="text1"/>
          <w:spacing w:val="8"/>
          <w:sz w:val="32"/>
          <w:szCs w:val="32"/>
          <w:lang w:eastAsia="zh-CN"/>
        </w:rPr>
        <w:t>万元，占一般公共预算项目支</w:t>
      </w:r>
      <w:r>
        <w:rPr>
          <w:color w:val="000000" w:themeColor="text1"/>
          <w:sz w:val="32"/>
          <w:szCs w:val="32"/>
          <w:lang w:eastAsia="zh-CN"/>
        </w:rPr>
        <w:t>出总额的</w:t>
      </w:r>
      <w:r>
        <w:rPr>
          <w:rFonts w:ascii="Times New Roman" w:eastAsia="Times New Roman" w:cs="Times New Roman"/>
          <w:color w:val="000000" w:themeColor="text1"/>
          <w:spacing w:val="9"/>
          <w:sz w:val="32"/>
          <w:szCs w:val="32"/>
          <w:lang w:eastAsia="zh-CN"/>
        </w:rPr>
        <w:t>100%</w:t>
      </w:r>
      <w:r>
        <w:rPr>
          <w:color w:val="000000" w:themeColor="text1"/>
          <w:sz w:val="32"/>
          <w:szCs w:val="32"/>
          <w:lang w:eastAsia="zh-CN"/>
        </w:rPr>
        <w:t>。</w:t>
      </w:r>
    </w:p>
    <w:p w14:paraId="570D894C">
      <w:pPr>
        <w:pStyle w:val="3"/>
        <w:spacing w:line="560" w:lineRule="exact"/>
        <w:ind w:left="0" w:firstLine="642" w:firstLineChars="196"/>
        <w:jc w:val="both"/>
        <w:rPr>
          <w:rFonts w:ascii="Times New Roman" w:cs="Times New Roman"/>
          <w:color w:val="000000" w:themeColor="text1"/>
          <w:spacing w:val="17"/>
          <w:sz w:val="32"/>
          <w:szCs w:val="32"/>
          <w:lang w:eastAsia="zh-CN"/>
        </w:rPr>
      </w:pPr>
      <w:r>
        <w:rPr>
          <w:color w:val="000000" w:themeColor="text1"/>
          <w:spacing w:val="4"/>
          <w:sz w:val="32"/>
          <w:szCs w:val="32"/>
          <w:lang w:eastAsia="zh-CN"/>
        </w:rPr>
        <w:t>从评价情况来看，以上项目立项程序规范完整，</w:t>
      </w:r>
      <w:r>
        <w:rPr>
          <w:color w:val="000000" w:themeColor="text1"/>
          <w:spacing w:val="5"/>
          <w:sz w:val="32"/>
          <w:szCs w:val="32"/>
          <w:lang w:eastAsia="zh-CN"/>
        </w:rPr>
        <w:t>论证充分；绩效目标设置较为合理，与实际需求相符；项目业务</w:t>
      </w:r>
      <w:r>
        <w:rPr>
          <w:color w:val="000000" w:themeColor="text1"/>
          <w:sz w:val="32"/>
          <w:szCs w:val="32"/>
          <w:lang w:eastAsia="zh-CN"/>
        </w:rPr>
        <w:t>管理制度基本健全，质量管控措施有效，各项业务工作有序开展；</w:t>
      </w:r>
      <w:r>
        <w:rPr>
          <w:color w:val="000000" w:themeColor="text1"/>
          <w:spacing w:val="5"/>
          <w:sz w:val="32"/>
          <w:szCs w:val="32"/>
          <w:lang w:eastAsia="zh-CN"/>
        </w:rPr>
        <w:t>项目财务管理制度完善，资金使用规范有效；各项目完成预期的绩效目标，产出质量达到标准要求，时效性较强，达到了预期效</w:t>
      </w:r>
      <w:r>
        <w:rPr>
          <w:rFonts w:ascii="Times New Roman" w:cs="Times New Roman"/>
          <w:color w:val="000000" w:themeColor="text1"/>
          <w:spacing w:val="17"/>
          <w:sz w:val="32"/>
          <w:szCs w:val="32"/>
          <w:lang w:eastAsia="zh-CN"/>
        </w:rPr>
        <w:t>果。</w:t>
      </w:r>
    </w:p>
    <w:p w14:paraId="5FF367FE">
      <w:pPr>
        <w:pStyle w:val="3"/>
        <w:spacing w:line="560" w:lineRule="exact"/>
        <w:ind w:left="0" w:firstLine="643" w:firstLineChars="200"/>
        <w:jc w:val="both"/>
        <w:rPr>
          <w:rFonts w:ascii="方正楷体_GBK" w:eastAsia="方正楷体_GBK" w:cs="方正楷体_GBK"/>
          <w:b/>
          <w:bCs/>
          <w:color w:val="000000" w:themeColor="text1"/>
          <w:sz w:val="32"/>
          <w:szCs w:val="32"/>
          <w:lang w:eastAsia="zh-CN"/>
        </w:rPr>
      </w:pPr>
      <w:r>
        <w:rPr>
          <w:rFonts w:ascii="方正楷体_GBK" w:eastAsia="方正楷体_GBK" w:cs="方正楷体_GBK"/>
          <w:b/>
          <w:bCs/>
          <w:color w:val="000000" w:themeColor="text1"/>
          <w:sz w:val="32"/>
          <w:szCs w:val="32"/>
          <w:lang w:eastAsia="zh-CN"/>
        </w:rPr>
        <w:t>（二）部门决算中项目绩效自评结果。</w:t>
      </w:r>
    </w:p>
    <w:p w14:paraId="0AD17702">
      <w:pPr>
        <w:pStyle w:val="3"/>
        <w:spacing w:line="560" w:lineRule="exact"/>
        <w:ind w:left="0" w:firstLine="693" w:firstLineChars="196"/>
        <w:jc w:val="both"/>
        <w:rPr>
          <w:rFonts w:ascii="Times New Roman" w:cs="Times New Roman"/>
          <w:color w:val="000000" w:themeColor="text1"/>
          <w:spacing w:val="17"/>
          <w:sz w:val="32"/>
          <w:szCs w:val="32"/>
          <w:lang w:eastAsia="zh-CN"/>
        </w:rPr>
      </w:pPr>
      <w:r>
        <w:rPr>
          <w:rFonts w:hint="eastAsia" w:ascii="Times New Roman" w:cs="Times New Roman"/>
          <w:color w:val="000000" w:themeColor="text1"/>
          <w:spacing w:val="17"/>
          <w:sz w:val="32"/>
          <w:szCs w:val="32"/>
          <w:lang w:eastAsia="zh-CN"/>
        </w:rPr>
        <w:t>我关</w:t>
      </w:r>
      <w:r>
        <w:rPr>
          <w:rFonts w:ascii="Times New Roman" w:cs="Times New Roman"/>
          <w:color w:val="000000" w:themeColor="text1"/>
          <w:spacing w:val="17"/>
          <w:sz w:val="32"/>
          <w:szCs w:val="32"/>
          <w:lang w:eastAsia="zh-CN"/>
        </w:rPr>
        <w:t>1</w:t>
      </w:r>
      <w:r>
        <w:rPr>
          <w:rFonts w:hint="eastAsia" w:ascii="Times New Roman" w:cs="Times New Roman"/>
          <w:color w:val="000000" w:themeColor="text1"/>
          <w:spacing w:val="17"/>
          <w:sz w:val="32"/>
          <w:szCs w:val="32"/>
          <w:lang w:eastAsia="zh-CN"/>
        </w:rPr>
        <w:t>2</w:t>
      </w:r>
      <w:r>
        <w:rPr>
          <w:rFonts w:ascii="Times New Roman" w:cs="Times New Roman"/>
          <w:color w:val="000000" w:themeColor="text1"/>
          <w:spacing w:val="17"/>
          <w:sz w:val="32"/>
          <w:szCs w:val="32"/>
          <w:lang w:eastAsia="zh-CN"/>
        </w:rPr>
        <w:t>个绩效自评项目中得分为100分的项目有</w:t>
      </w:r>
      <w:r>
        <w:rPr>
          <w:rFonts w:hint="eastAsia" w:ascii="Times New Roman" w:cs="Times New Roman"/>
          <w:color w:val="000000" w:themeColor="text1"/>
          <w:spacing w:val="17"/>
          <w:sz w:val="32"/>
          <w:szCs w:val="32"/>
          <w:lang w:eastAsia="zh-CN"/>
        </w:rPr>
        <w:t>12</w:t>
      </w:r>
      <w:r>
        <w:rPr>
          <w:rFonts w:ascii="Times New Roman" w:cs="Times New Roman"/>
          <w:color w:val="000000" w:themeColor="text1"/>
          <w:spacing w:val="17"/>
          <w:sz w:val="32"/>
          <w:szCs w:val="32"/>
          <w:lang w:eastAsia="zh-CN"/>
        </w:rPr>
        <w:t>个，占总项目数的</w:t>
      </w:r>
      <w:r>
        <w:rPr>
          <w:rFonts w:hint="eastAsia" w:ascii="Times New Roman" w:cs="Times New Roman"/>
          <w:color w:val="000000" w:themeColor="text1"/>
          <w:spacing w:val="17"/>
          <w:sz w:val="32"/>
          <w:szCs w:val="32"/>
          <w:lang w:eastAsia="zh-CN"/>
        </w:rPr>
        <w:t>100</w:t>
      </w:r>
      <w:r>
        <w:rPr>
          <w:rFonts w:ascii="Times New Roman" w:cs="Times New Roman"/>
          <w:color w:val="000000" w:themeColor="text1"/>
          <w:spacing w:val="17"/>
          <w:sz w:val="32"/>
          <w:szCs w:val="32"/>
          <w:lang w:eastAsia="zh-CN"/>
        </w:rPr>
        <w:t>%。</w:t>
      </w:r>
    </w:p>
    <w:p w14:paraId="18F71E19">
      <w:pPr>
        <w:pStyle w:val="3"/>
        <w:spacing w:line="560" w:lineRule="exact"/>
        <w:ind w:left="0" w:firstLine="640" w:firstLineChars="200"/>
        <w:jc w:val="both"/>
        <w:rPr>
          <w:color w:val="000000" w:themeColor="text1"/>
          <w:sz w:val="32"/>
          <w:szCs w:val="32"/>
          <w:lang w:eastAsia="zh-CN"/>
        </w:rPr>
      </w:pPr>
      <w:r>
        <w:rPr>
          <w:color w:val="000000" w:themeColor="text1"/>
          <w:sz w:val="32"/>
          <w:szCs w:val="32"/>
          <w:lang w:eastAsia="zh-CN"/>
        </w:rPr>
        <w:t>我</w:t>
      </w:r>
      <w:r>
        <w:rPr>
          <w:rFonts w:hint="eastAsia"/>
          <w:color w:val="000000" w:themeColor="text1"/>
          <w:sz w:val="32"/>
          <w:szCs w:val="32"/>
          <w:lang w:eastAsia="zh-CN"/>
        </w:rPr>
        <w:t>关</w:t>
      </w:r>
      <w:r>
        <w:rPr>
          <w:color w:val="000000" w:themeColor="text1"/>
          <w:sz w:val="32"/>
          <w:szCs w:val="32"/>
          <w:lang w:eastAsia="zh-CN"/>
        </w:rPr>
        <w:t>今年在中央部门决算中反映</w:t>
      </w:r>
      <w:r>
        <w:rPr>
          <w:rFonts w:hint="eastAsia"/>
          <w:color w:val="000000" w:themeColor="text1"/>
          <w:sz w:val="32"/>
          <w:szCs w:val="32"/>
          <w:lang w:eastAsia="zh-CN"/>
        </w:rPr>
        <w:t xml:space="preserve"> “海关资产及专用设备运行维护费”、“口岸公共卫生安全专项”、“国门生物安全专项”、“海关信息系统运行维护”、“进出口商品质量安全检验监管专项”、“企业管理及稽查专项”、“监管查验技术装备设备购建及能力保障专项”、“海关业务保障及能力提升专项”</w:t>
      </w:r>
      <w:r>
        <w:rPr>
          <w:color w:val="000000" w:themeColor="text1"/>
          <w:sz w:val="32"/>
          <w:szCs w:val="32"/>
          <w:lang w:eastAsia="zh-CN"/>
        </w:rPr>
        <w:t>。</w:t>
      </w:r>
    </w:p>
    <w:p w14:paraId="1CD12887">
      <w:pPr>
        <w:pStyle w:val="3"/>
        <w:spacing w:line="560" w:lineRule="exact"/>
        <w:ind w:left="0" w:firstLine="360" w:firstLineChars="200"/>
        <w:jc w:val="both"/>
        <w:rPr>
          <w:spacing w:val="8"/>
          <w:sz w:val="32"/>
          <w:szCs w:val="32"/>
          <w:lang w:eastAsia="zh-CN"/>
        </w:rPr>
      </w:pPr>
      <w:r>
        <w:rPr>
          <w:rFonts w:hint="eastAsia" w:eastAsia="宋体" w:cs="Times New Roman"/>
          <w:color w:val="000000" w:themeColor="text1"/>
          <w:sz w:val="18"/>
          <w:szCs w:val="18"/>
          <w:lang w:eastAsia="zh-CN"/>
        </w:rPr>
        <w:t xml:space="preserve">   </w:t>
      </w:r>
      <w:r>
        <w:rPr>
          <w:rFonts w:hint="eastAsia"/>
          <w:color w:val="000000" w:themeColor="text1"/>
          <w:sz w:val="32"/>
          <w:szCs w:val="32"/>
          <w:lang w:eastAsia="zh-CN"/>
        </w:rPr>
        <w:t>海关资产及专</w:t>
      </w:r>
      <w:r>
        <w:rPr>
          <w:rFonts w:hint="eastAsia"/>
          <w:sz w:val="32"/>
          <w:szCs w:val="32"/>
          <w:lang w:eastAsia="zh-CN"/>
        </w:rPr>
        <w:t>用设备运行维护费绩效自评综述：</w:t>
      </w:r>
      <w:r>
        <w:rPr>
          <w:spacing w:val="5"/>
          <w:sz w:val="32"/>
          <w:szCs w:val="32"/>
          <w:lang w:eastAsia="zh-CN"/>
        </w:rPr>
        <w:t>根据年初设定的绩效目</w:t>
      </w:r>
      <w:r>
        <w:rPr>
          <w:spacing w:val="6"/>
          <w:sz w:val="32"/>
          <w:szCs w:val="32"/>
          <w:lang w:eastAsia="zh-CN"/>
        </w:rPr>
        <w:t>标，项目自评得分为</w:t>
      </w:r>
      <w:r>
        <w:rPr>
          <w:rFonts w:hint="eastAsia" w:ascii="Times New Roman" w:eastAsia="宋体" w:cs="Times New Roman"/>
          <w:spacing w:val="9"/>
          <w:sz w:val="32"/>
          <w:szCs w:val="32"/>
          <w:lang w:eastAsia="zh-CN"/>
        </w:rPr>
        <w:t>100</w:t>
      </w:r>
      <w:r>
        <w:rPr>
          <w:spacing w:val="6"/>
          <w:sz w:val="32"/>
          <w:szCs w:val="32"/>
          <w:lang w:eastAsia="zh-CN"/>
        </w:rPr>
        <w:t>分。</w:t>
      </w:r>
      <w:r>
        <w:rPr>
          <w:rFonts w:hint="eastAsia"/>
          <w:spacing w:val="6"/>
          <w:sz w:val="32"/>
          <w:szCs w:val="32"/>
          <w:lang w:eastAsia="zh-CN"/>
        </w:rPr>
        <w:t>我关</w:t>
      </w:r>
      <w:r>
        <w:rPr>
          <w:spacing w:val="6"/>
          <w:sz w:val="32"/>
          <w:szCs w:val="32"/>
          <w:lang w:eastAsia="zh-CN"/>
        </w:rPr>
        <w:t>全年预算数</w:t>
      </w:r>
      <w:r>
        <w:rPr>
          <w:rFonts w:hint="eastAsia" w:ascii="Times New Roman" w:eastAsia="宋体" w:cs="Times New Roman"/>
          <w:spacing w:val="9"/>
          <w:sz w:val="32"/>
          <w:szCs w:val="32"/>
          <w:lang w:eastAsia="zh-CN"/>
        </w:rPr>
        <w:t>17.00</w:t>
      </w:r>
      <w:r>
        <w:rPr>
          <w:spacing w:val="6"/>
          <w:sz w:val="32"/>
          <w:szCs w:val="32"/>
          <w:lang w:eastAsia="zh-CN"/>
        </w:rPr>
        <w:t>万元，执行数</w:t>
      </w:r>
      <w:r>
        <w:rPr>
          <w:spacing w:val="8"/>
          <w:sz w:val="32"/>
          <w:szCs w:val="32"/>
          <w:lang w:eastAsia="zh-CN"/>
        </w:rPr>
        <w:t>为</w:t>
      </w:r>
      <w:r>
        <w:rPr>
          <w:rFonts w:hint="eastAsia" w:ascii="Times New Roman" w:eastAsia="宋体" w:cs="Times New Roman"/>
          <w:spacing w:val="9"/>
          <w:sz w:val="32"/>
          <w:szCs w:val="32"/>
          <w:lang w:eastAsia="zh-CN"/>
        </w:rPr>
        <w:t>17.00</w:t>
      </w:r>
      <w:r>
        <w:rPr>
          <w:spacing w:val="8"/>
          <w:sz w:val="32"/>
          <w:szCs w:val="32"/>
          <w:lang w:eastAsia="zh-CN"/>
        </w:rPr>
        <w:t>万元，完成预算的</w:t>
      </w:r>
      <w:r>
        <w:rPr>
          <w:rFonts w:hint="eastAsia" w:ascii="Times New Roman" w:eastAsia="宋体" w:cs="Times New Roman"/>
          <w:spacing w:val="9"/>
          <w:sz w:val="32"/>
          <w:szCs w:val="32"/>
          <w:lang w:eastAsia="zh-CN"/>
        </w:rPr>
        <w:t>100</w:t>
      </w:r>
      <w:r>
        <w:rPr>
          <w:rFonts w:ascii="Times New Roman" w:eastAsia="Times New Roman" w:cs="Times New Roman"/>
          <w:spacing w:val="9"/>
          <w:sz w:val="32"/>
          <w:szCs w:val="32"/>
          <w:lang w:eastAsia="zh-CN"/>
        </w:rPr>
        <w:t>%</w:t>
      </w:r>
      <w:r>
        <w:rPr>
          <w:spacing w:val="8"/>
          <w:sz w:val="32"/>
          <w:szCs w:val="32"/>
          <w:lang w:eastAsia="zh-CN"/>
        </w:rPr>
        <w:t>。项目绩效目标完成情况：</w:t>
      </w:r>
      <w:r>
        <w:rPr>
          <w:rFonts w:hint="eastAsia"/>
          <w:spacing w:val="8"/>
          <w:sz w:val="32"/>
          <w:szCs w:val="32"/>
          <w:lang w:eastAsia="zh-CN"/>
        </w:rPr>
        <w:t>保障</w:t>
      </w:r>
      <w:r>
        <w:rPr>
          <w:rFonts w:hint="eastAsia" w:ascii="Times New Roman" w:eastAsia="宋体" w:cs="Times New Roman"/>
          <w:spacing w:val="9"/>
          <w:sz w:val="32"/>
          <w:szCs w:val="32"/>
          <w:lang w:eastAsia="zh-CN"/>
        </w:rPr>
        <w:t>2</w:t>
      </w:r>
      <w:r>
        <w:rPr>
          <w:rFonts w:hint="eastAsia"/>
          <w:spacing w:val="8"/>
          <w:sz w:val="32"/>
          <w:szCs w:val="32"/>
          <w:lang w:eastAsia="zh-CN"/>
        </w:rPr>
        <w:t>个监管场所资产及专用设备开展定期维护保养；对于专用设备开展</w:t>
      </w:r>
      <w:r>
        <w:rPr>
          <w:rFonts w:hint="eastAsia" w:ascii="Times New Roman" w:eastAsia="宋体" w:cs="Times New Roman"/>
          <w:spacing w:val="9"/>
          <w:sz w:val="32"/>
          <w:szCs w:val="32"/>
          <w:lang w:eastAsia="zh-CN"/>
        </w:rPr>
        <w:t>7*24</w:t>
      </w:r>
      <w:r>
        <w:rPr>
          <w:rFonts w:hint="eastAsia"/>
          <w:spacing w:val="8"/>
          <w:sz w:val="32"/>
          <w:szCs w:val="32"/>
          <w:lang w:eastAsia="zh-CN"/>
        </w:rPr>
        <w:t>持续保障维护，提高海关查验效能。</w:t>
      </w:r>
    </w:p>
    <w:p w14:paraId="63A5034A">
      <w:pPr>
        <w:spacing w:afterLines="129"/>
        <w:rPr>
          <w:rFonts w:ascii="方正仿宋_GBK" w:eastAsia="方正仿宋_GBK"/>
          <w:spacing w:val="8"/>
          <w:sz w:val="32"/>
          <w:szCs w:val="32"/>
          <w:lang w:eastAsia="zh-CN"/>
        </w:rPr>
      </w:pPr>
      <w:r>
        <w:rPr>
          <w:rFonts w:ascii="方正仿宋_GBK" w:eastAsia="方正仿宋_GBK"/>
          <w:spacing w:val="8"/>
          <w:sz w:val="32"/>
          <w:szCs w:val="32"/>
          <w:lang w:eastAsia="zh-CN"/>
        </w:rPr>
        <w:drawing>
          <wp:inline distT="0" distB="0" distL="114300" distR="114300">
            <wp:extent cx="5605145" cy="4439285"/>
            <wp:effectExtent l="0" t="0" r="14605" b="18415"/>
            <wp:docPr id="35" name="图片 3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1"/>
                    <pic:cNvPicPr>
                      <a:picLocks noChangeAspect="1"/>
                    </pic:cNvPicPr>
                  </pic:nvPicPr>
                  <pic:blipFill>
                    <a:blip r:embed="rId35" cstate="print"/>
                    <a:stretch>
                      <a:fillRect/>
                    </a:stretch>
                  </pic:blipFill>
                  <pic:spPr>
                    <a:xfrm>
                      <a:off x="0" y="0"/>
                      <a:ext cx="5605145" cy="4439285"/>
                    </a:xfrm>
                    <a:prstGeom prst="rect">
                      <a:avLst/>
                    </a:prstGeom>
                  </pic:spPr>
                </pic:pic>
              </a:graphicData>
            </a:graphic>
          </wp:inline>
        </w:drawing>
      </w:r>
    </w:p>
    <w:p w14:paraId="7377099D">
      <w:pPr>
        <w:spacing w:line="560" w:lineRule="exact"/>
        <w:ind w:firstLine="672" w:firstLineChars="200"/>
        <w:jc w:val="both"/>
        <w:rPr>
          <w:rFonts w:ascii="方正仿宋_GBK" w:eastAsia="方正仿宋_GBK"/>
          <w:spacing w:val="8"/>
          <w:sz w:val="32"/>
          <w:szCs w:val="32"/>
          <w:lang w:eastAsia="zh-CN"/>
        </w:rPr>
      </w:pPr>
      <w:r>
        <w:rPr>
          <w:rFonts w:hint="eastAsia" w:ascii="方正仿宋_GBK" w:eastAsia="方正仿宋_GBK"/>
          <w:spacing w:val="8"/>
          <w:sz w:val="32"/>
          <w:szCs w:val="32"/>
          <w:lang w:eastAsia="zh-CN"/>
        </w:rPr>
        <w:t>口岸公共卫生安全专项绩效自评综述：根据年初设定的绩效目标，项目自评得分为</w:t>
      </w:r>
      <w:r>
        <w:rPr>
          <w:rFonts w:hint="eastAsia" w:eastAsia="宋体" w:cs="Times New Roman"/>
          <w:spacing w:val="9"/>
          <w:sz w:val="32"/>
          <w:szCs w:val="32"/>
          <w:lang w:eastAsia="zh-CN"/>
        </w:rPr>
        <w:t>100</w:t>
      </w:r>
      <w:r>
        <w:rPr>
          <w:rFonts w:hint="eastAsia" w:ascii="方正仿宋_GBK" w:eastAsia="方正仿宋_GBK"/>
          <w:spacing w:val="8"/>
          <w:sz w:val="32"/>
          <w:szCs w:val="32"/>
          <w:lang w:eastAsia="zh-CN"/>
        </w:rPr>
        <w:t>分。我关全年预算数</w:t>
      </w:r>
      <w:r>
        <w:rPr>
          <w:rFonts w:hint="eastAsia" w:eastAsia="宋体" w:cs="Times New Roman"/>
          <w:spacing w:val="9"/>
          <w:sz w:val="32"/>
          <w:szCs w:val="32"/>
          <w:lang w:eastAsia="zh-CN"/>
        </w:rPr>
        <w:t>1.50</w:t>
      </w:r>
      <w:r>
        <w:rPr>
          <w:rFonts w:hint="eastAsia" w:ascii="方正仿宋_GBK" w:eastAsia="方正仿宋_GBK"/>
          <w:spacing w:val="8"/>
          <w:sz w:val="32"/>
          <w:szCs w:val="32"/>
          <w:lang w:eastAsia="zh-CN"/>
        </w:rPr>
        <w:t>万元，执行数为</w:t>
      </w:r>
      <w:r>
        <w:rPr>
          <w:rFonts w:hint="eastAsia" w:eastAsia="宋体" w:cs="Times New Roman"/>
          <w:spacing w:val="9"/>
          <w:sz w:val="32"/>
          <w:szCs w:val="32"/>
          <w:lang w:eastAsia="zh-CN"/>
        </w:rPr>
        <w:t>1.50</w:t>
      </w:r>
      <w:r>
        <w:rPr>
          <w:rFonts w:hint="eastAsia" w:ascii="方正仿宋_GBK" w:eastAsia="方正仿宋_GBK"/>
          <w:spacing w:val="8"/>
          <w:sz w:val="32"/>
          <w:szCs w:val="32"/>
          <w:lang w:eastAsia="zh-CN"/>
        </w:rPr>
        <w:t>万元，完成预算的</w:t>
      </w:r>
      <w:r>
        <w:rPr>
          <w:rFonts w:hint="eastAsia" w:eastAsia="宋体" w:cs="Times New Roman"/>
          <w:spacing w:val="9"/>
          <w:sz w:val="32"/>
          <w:szCs w:val="32"/>
          <w:lang w:eastAsia="zh-CN"/>
        </w:rPr>
        <w:t>100%</w:t>
      </w:r>
      <w:r>
        <w:rPr>
          <w:rFonts w:hint="eastAsia" w:ascii="方正仿宋_GBK" w:eastAsia="方正仿宋_GBK"/>
          <w:spacing w:val="8"/>
          <w:sz w:val="32"/>
          <w:szCs w:val="32"/>
          <w:lang w:eastAsia="zh-CN"/>
        </w:rPr>
        <w:t>。项目绩效目标完成情况：完成传染病防控演练；开展重点传染病防控宣传；完成年度外来传染病监测。</w:t>
      </w:r>
    </w:p>
    <w:tbl>
      <w:tblPr>
        <w:tblStyle w:val="10"/>
        <w:tblW w:w="9711" w:type="dxa"/>
        <w:tblInd w:w="0" w:type="dxa"/>
        <w:tblLayout w:type="fixed"/>
        <w:tblCellMar>
          <w:top w:w="0" w:type="dxa"/>
          <w:left w:w="0" w:type="dxa"/>
          <w:bottom w:w="0" w:type="dxa"/>
          <w:right w:w="0" w:type="dxa"/>
        </w:tblCellMar>
      </w:tblPr>
      <w:tblGrid>
        <w:gridCol w:w="341"/>
        <w:gridCol w:w="75"/>
        <w:gridCol w:w="395"/>
        <w:gridCol w:w="522"/>
        <w:gridCol w:w="110"/>
        <w:gridCol w:w="543"/>
        <w:gridCol w:w="525"/>
        <w:gridCol w:w="54"/>
        <w:gridCol w:w="435"/>
        <w:gridCol w:w="73"/>
        <w:gridCol w:w="664"/>
        <w:gridCol w:w="240"/>
        <w:gridCol w:w="161"/>
        <w:gridCol w:w="125"/>
        <w:gridCol w:w="286"/>
        <w:gridCol w:w="660"/>
        <w:gridCol w:w="1437"/>
        <w:gridCol w:w="468"/>
        <w:gridCol w:w="480"/>
        <w:gridCol w:w="648"/>
        <w:gridCol w:w="649"/>
        <w:gridCol w:w="820"/>
      </w:tblGrid>
      <w:tr w14:paraId="64C87EA6">
        <w:tblPrEx>
          <w:tblCellMar>
            <w:top w:w="0" w:type="dxa"/>
            <w:left w:w="0" w:type="dxa"/>
            <w:bottom w:w="0" w:type="dxa"/>
            <w:right w:w="0" w:type="dxa"/>
          </w:tblCellMar>
        </w:tblPrEx>
        <w:trPr>
          <w:trHeight w:val="90" w:hRule="atLeast"/>
        </w:trPr>
        <w:tc>
          <w:tcPr>
            <w:tcW w:w="8891" w:type="dxa"/>
            <w:gridSpan w:val="21"/>
            <w:tcBorders>
              <w:top w:val="nil"/>
              <w:left w:val="nil"/>
              <w:bottom w:val="nil"/>
              <w:right w:val="nil"/>
            </w:tcBorders>
            <w:shd w:val="clear" w:color="auto" w:fill="auto"/>
            <w:noWrap/>
            <w:tcMar>
              <w:top w:w="15" w:type="dxa"/>
              <w:left w:w="15" w:type="dxa"/>
              <w:right w:w="15" w:type="dxa"/>
            </w:tcMar>
            <w:vAlign w:val="center"/>
          </w:tcPr>
          <w:p w14:paraId="15BB947E">
            <w:pPr>
              <w:widowControl/>
              <w:jc w:val="center"/>
              <w:textAlignment w:val="center"/>
              <w:rPr>
                <w:rFonts w:ascii="宋体" w:hAnsi="宋体" w:eastAsia="宋体" w:cs="宋体"/>
                <w:b/>
                <w:color w:val="000000"/>
                <w:sz w:val="32"/>
                <w:szCs w:val="32"/>
                <w:lang w:eastAsia="zh-CN"/>
              </w:rPr>
            </w:pPr>
            <w:r>
              <w:rPr>
                <w:rFonts w:hint="eastAsia" w:ascii="宋体" w:hAnsi="宋体" w:eastAsia="宋体" w:cs="宋体"/>
                <w:b/>
                <w:bCs/>
                <w:color w:val="000000"/>
                <w:sz w:val="32"/>
                <w:szCs w:val="32"/>
                <w:lang w:eastAsia="zh-CN"/>
              </w:rPr>
              <w:t>口岸公共卫生安全专项项目绩效自评表</w:t>
            </w:r>
          </w:p>
        </w:tc>
        <w:tc>
          <w:tcPr>
            <w:tcW w:w="820" w:type="dxa"/>
            <w:tcBorders>
              <w:top w:val="nil"/>
              <w:left w:val="nil"/>
              <w:bottom w:val="nil"/>
              <w:right w:val="nil"/>
            </w:tcBorders>
            <w:shd w:val="clear" w:color="auto" w:fill="auto"/>
            <w:noWrap/>
            <w:tcMar>
              <w:top w:w="15" w:type="dxa"/>
              <w:left w:w="15" w:type="dxa"/>
              <w:right w:w="15" w:type="dxa"/>
            </w:tcMar>
            <w:vAlign w:val="bottom"/>
          </w:tcPr>
          <w:p w14:paraId="66A9A5E8">
            <w:pPr>
              <w:rPr>
                <w:rFonts w:ascii="Arial" w:hAnsi="Arial"/>
                <w:color w:val="000000"/>
                <w:sz w:val="20"/>
                <w:szCs w:val="20"/>
                <w:lang w:eastAsia="zh-CN"/>
              </w:rPr>
            </w:pPr>
          </w:p>
        </w:tc>
      </w:tr>
      <w:tr w14:paraId="7E5D4258">
        <w:tblPrEx>
          <w:tblCellMar>
            <w:top w:w="0" w:type="dxa"/>
            <w:left w:w="0" w:type="dxa"/>
            <w:bottom w:w="0" w:type="dxa"/>
            <w:right w:w="0" w:type="dxa"/>
          </w:tblCellMar>
        </w:tblPrEx>
        <w:trPr>
          <w:trHeight w:val="286" w:hRule="atLeast"/>
        </w:trPr>
        <w:tc>
          <w:tcPr>
            <w:tcW w:w="8891" w:type="dxa"/>
            <w:gridSpan w:val="21"/>
            <w:tcBorders>
              <w:top w:val="nil"/>
              <w:left w:val="nil"/>
              <w:bottom w:val="nil"/>
              <w:right w:val="nil"/>
            </w:tcBorders>
            <w:shd w:val="clear" w:color="auto" w:fill="auto"/>
            <w:noWrap/>
            <w:tcMar>
              <w:top w:w="15" w:type="dxa"/>
              <w:left w:w="15" w:type="dxa"/>
              <w:right w:w="15" w:type="dxa"/>
            </w:tcMar>
            <w:vAlign w:val="center"/>
          </w:tcPr>
          <w:p w14:paraId="40946023">
            <w:pPr>
              <w:widowControl/>
              <w:jc w:val="center"/>
              <w:textAlignment w:val="center"/>
              <w:rPr>
                <w:rFonts w:ascii="宋体" w:hAnsi="宋体" w:eastAsia="宋体" w:cs="宋体"/>
                <w:color w:val="000000"/>
              </w:rPr>
            </w:pPr>
            <w:r>
              <w:rPr>
                <w:rFonts w:hint="eastAsia" w:ascii="宋体" w:hAnsi="宋体" w:eastAsia="宋体" w:cs="宋体"/>
                <w:color w:val="000000"/>
                <w:lang w:eastAsia="zh-CN"/>
              </w:rPr>
              <w:t>（2025年度）</w:t>
            </w:r>
          </w:p>
        </w:tc>
        <w:tc>
          <w:tcPr>
            <w:tcW w:w="820" w:type="dxa"/>
            <w:tcBorders>
              <w:top w:val="nil"/>
              <w:left w:val="nil"/>
              <w:bottom w:val="nil"/>
              <w:right w:val="nil"/>
            </w:tcBorders>
            <w:shd w:val="clear" w:color="auto" w:fill="auto"/>
            <w:noWrap/>
            <w:tcMar>
              <w:top w:w="15" w:type="dxa"/>
              <w:left w:w="15" w:type="dxa"/>
              <w:right w:w="15" w:type="dxa"/>
            </w:tcMar>
            <w:vAlign w:val="bottom"/>
          </w:tcPr>
          <w:p w14:paraId="4ED277EB">
            <w:pPr>
              <w:rPr>
                <w:rFonts w:ascii="Arial" w:hAnsi="Arial"/>
                <w:color w:val="000000"/>
                <w:sz w:val="20"/>
                <w:szCs w:val="20"/>
              </w:rPr>
            </w:pPr>
          </w:p>
        </w:tc>
      </w:tr>
      <w:tr w14:paraId="5F16AA60">
        <w:tblPrEx>
          <w:tblCellMar>
            <w:top w:w="0" w:type="dxa"/>
            <w:left w:w="0" w:type="dxa"/>
            <w:bottom w:w="0" w:type="dxa"/>
            <w:right w:w="0" w:type="dxa"/>
          </w:tblCellMar>
        </w:tblPrEx>
        <w:trPr>
          <w:trHeight w:val="258" w:hRule="atLeast"/>
        </w:trPr>
        <w:tc>
          <w:tcPr>
            <w:tcW w:w="341" w:type="dxa"/>
            <w:tcBorders>
              <w:top w:val="nil"/>
              <w:left w:val="nil"/>
              <w:bottom w:val="nil"/>
              <w:right w:val="nil"/>
            </w:tcBorders>
            <w:shd w:val="clear" w:color="auto" w:fill="auto"/>
            <w:noWrap/>
            <w:tcMar>
              <w:top w:w="15" w:type="dxa"/>
              <w:left w:w="15" w:type="dxa"/>
              <w:right w:w="15" w:type="dxa"/>
            </w:tcMar>
            <w:vAlign w:val="bottom"/>
          </w:tcPr>
          <w:p w14:paraId="74F13F1A">
            <w:pPr>
              <w:rPr>
                <w:rFonts w:ascii="Arial" w:hAnsi="Arial"/>
                <w:color w:val="000000"/>
                <w:sz w:val="20"/>
                <w:szCs w:val="20"/>
              </w:rPr>
            </w:pPr>
          </w:p>
        </w:tc>
        <w:tc>
          <w:tcPr>
            <w:tcW w:w="470" w:type="dxa"/>
            <w:gridSpan w:val="2"/>
            <w:tcBorders>
              <w:top w:val="nil"/>
              <w:left w:val="nil"/>
              <w:bottom w:val="nil"/>
              <w:right w:val="nil"/>
            </w:tcBorders>
            <w:shd w:val="clear" w:color="auto" w:fill="auto"/>
            <w:noWrap/>
            <w:tcMar>
              <w:top w:w="15" w:type="dxa"/>
              <w:left w:w="15" w:type="dxa"/>
              <w:right w:w="15" w:type="dxa"/>
            </w:tcMar>
            <w:vAlign w:val="bottom"/>
          </w:tcPr>
          <w:p w14:paraId="63F304A7">
            <w:pPr>
              <w:rPr>
                <w:rFonts w:ascii="Arial" w:hAnsi="Arial"/>
                <w:color w:val="000000"/>
                <w:sz w:val="20"/>
                <w:szCs w:val="20"/>
              </w:rPr>
            </w:pPr>
          </w:p>
        </w:tc>
        <w:tc>
          <w:tcPr>
            <w:tcW w:w="632" w:type="dxa"/>
            <w:gridSpan w:val="2"/>
            <w:tcBorders>
              <w:top w:val="nil"/>
              <w:left w:val="nil"/>
              <w:bottom w:val="nil"/>
              <w:right w:val="nil"/>
            </w:tcBorders>
            <w:shd w:val="clear" w:color="auto" w:fill="auto"/>
            <w:noWrap/>
            <w:tcMar>
              <w:top w:w="15" w:type="dxa"/>
              <w:left w:w="15" w:type="dxa"/>
              <w:right w:w="15" w:type="dxa"/>
            </w:tcMar>
            <w:vAlign w:val="bottom"/>
          </w:tcPr>
          <w:p w14:paraId="3AD8071C">
            <w:pPr>
              <w:rPr>
                <w:rFonts w:ascii="Arial" w:hAnsi="Arial"/>
                <w:color w:val="000000"/>
                <w:sz w:val="20"/>
                <w:szCs w:val="20"/>
              </w:rPr>
            </w:pPr>
          </w:p>
        </w:tc>
        <w:tc>
          <w:tcPr>
            <w:tcW w:w="543" w:type="dxa"/>
            <w:tcBorders>
              <w:top w:val="nil"/>
              <w:left w:val="nil"/>
              <w:bottom w:val="nil"/>
              <w:right w:val="nil"/>
            </w:tcBorders>
            <w:shd w:val="clear" w:color="auto" w:fill="auto"/>
            <w:noWrap/>
            <w:tcMar>
              <w:top w:w="15" w:type="dxa"/>
              <w:left w:w="15" w:type="dxa"/>
              <w:right w:w="15" w:type="dxa"/>
            </w:tcMar>
            <w:vAlign w:val="bottom"/>
          </w:tcPr>
          <w:p w14:paraId="25B29679"/>
        </w:tc>
        <w:tc>
          <w:tcPr>
            <w:tcW w:w="525" w:type="dxa"/>
            <w:tcBorders>
              <w:top w:val="nil"/>
              <w:left w:val="nil"/>
              <w:bottom w:val="nil"/>
              <w:right w:val="nil"/>
            </w:tcBorders>
            <w:shd w:val="clear" w:color="auto" w:fill="auto"/>
            <w:noWrap/>
            <w:tcMar>
              <w:top w:w="15" w:type="dxa"/>
              <w:left w:w="15" w:type="dxa"/>
              <w:right w:w="15" w:type="dxa"/>
            </w:tcMar>
            <w:vAlign w:val="bottom"/>
          </w:tcPr>
          <w:p w14:paraId="6111C3E0"/>
        </w:tc>
        <w:tc>
          <w:tcPr>
            <w:tcW w:w="489" w:type="dxa"/>
            <w:gridSpan w:val="2"/>
            <w:tcBorders>
              <w:top w:val="nil"/>
              <w:left w:val="nil"/>
              <w:bottom w:val="nil"/>
              <w:right w:val="nil"/>
            </w:tcBorders>
            <w:shd w:val="clear" w:color="auto" w:fill="auto"/>
            <w:noWrap/>
            <w:tcMar>
              <w:top w:w="15" w:type="dxa"/>
              <w:left w:w="15" w:type="dxa"/>
              <w:right w:w="15" w:type="dxa"/>
            </w:tcMar>
            <w:vAlign w:val="bottom"/>
          </w:tcPr>
          <w:p w14:paraId="51B7083B">
            <w:pPr>
              <w:rPr>
                <w:rFonts w:ascii="Arial" w:hAnsi="Arial"/>
                <w:color w:val="000000"/>
                <w:sz w:val="20"/>
                <w:szCs w:val="20"/>
              </w:rPr>
            </w:pPr>
          </w:p>
        </w:tc>
        <w:tc>
          <w:tcPr>
            <w:tcW w:w="737" w:type="dxa"/>
            <w:gridSpan w:val="2"/>
            <w:tcBorders>
              <w:top w:val="nil"/>
              <w:left w:val="nil"/>
              <w:bottom w:val="nil"/>
              <w:right w:val="nil"/>
            </w:tcBorders>
            <w:shd w:val="clear" w:color="auto" w:fill="auto"/>
            <w:noWrap/>
            <w:tcMar>
              <w:top w:w="15" w:type="dxa"/>
              <w:left w:w="15" w:type="dxa"/>
              <w:right w:w="15" w:type="dxa"/>
            </w:tcMar>
            <w:vAlign w:val="bottom"/>
          </w:tcPr>
          <w:p w14:paraId="663554EB">
            <w:pPr>
              <w:rPr>
                <w:rFonts w:ascii="Arial" w:hAnsi="Arial"/>
                <w:color w:val="000000"/>
                <w:sz w:val="20"/>
                <w:szCs w:val="20"/>
              </w:rPr>
            </w:pPr>
          </w:p>
        </w:tc>
        <w:tc>
          <w:tcPr>
            <w:tcW w:w="240" w:type="dxa"/>
            <w:tcBorders>
              <w:top w:val="nil"/>
              <w:left w:val="nil"/>
              <w:bottom w:val="nil"/>
              <w:right w:val="nil"/>
            </w:tcBorders>
            <w:shd w:val="clear" w:color="auto" w:fill="auto"/>
            <w:noWrap/>
            <w:tcMar>
              <w:top w:w="15" w:type="dxa"/>
              <w:left w:w="15" w:type="dxa"/>
              <w:right w:w="15" w:type="dxa"/>
            </w:tcMar>
            <w:vAlign w:val="bottom"/>
          </w:tcPr>
          <w:p w14:paraId="56E012DA"/>
        </w:tc>
        <w:tc>
          <w:tcPr>
            <w:tcW w:w="286" w:type="dxa"/>
            <w:gridSpan w:val="2"/>
            <w:tcBorders>
              <w:top w:val="nil"/>
              <w:left w:val="nil"/>
              <w:bottom w:val="nil"/>
              <w:right w:val="nil"/>
            </w:tcBorders>
            <w:shd w:val="clear" w:color="auto" w:fill="auto"/>
            <w:noWrap/>
            <w:tcMar>
              <w:top w:w="15" w:type="dxa"/>
              <w:left w:w="15" w:type="dxa"/>
              <w:right w:w="15" w:type="dxa"/>
            </w:tcMar>
            <w:vAlign w:val="bottom"/>
          </w:tcPr>
          <w:p w14:paraId="0E15AE90">
            <w:pPr>
              <w:rPr>
                <w:rFonts w:ascii="Arial" w:hAnsi="Arial"/>
                <w:color w:val="000000"/>
                <w:sz w:val="20"/>
                <w:szCs w:val="20"/>
              </w:rPr>
            </w:pPr>
          </w:p>
        </w:tc>
        <w:tc>
          <w:tcPr>
            <w:tcW w:w="286" w:type="dxa"/>
            <w:tcBorders>
              <w:top w:val="nil"/>
              <w:left w:val="nil"/>
              <w:bottom w:val="nil"/>
              <w:right w:val="nil"/>
            </w:tcBorders>
            <w:shd w:val="clear" w:color="auto" w:fill="auto"/>
            <w:noWrap/>
            <w:tcMar>
              <w:top w:w="15" w:type="dxa"/>
              <w:left w:w="15" w:type="dxa"/>
              <w:right w:w="15" w:type="dxa"/>
            </w:tcMar>
            <w:vAlign w:val="bottom"/>
          </w:tcPr>
          <w:p w14:paraId="322D63B2"/>
        </w:tc>
        <w:tc>
          <w:tcPr>
            <w:tcW w:w="4342" w:type="dxa"/>
            <w:gridSpan w:val="6"/>
            <w:tcBorders>
              <w:top w:val="nil"/>
              <w:left w:val="nil"/>
              <w:bottom w:val="nil"/>
              <w:right w:val="nil"/>
            </w:tcBorders>
            <w:shd w:val="clear" w:color="auto" w:fill="auto"/>
            <w:noWrap/>
            <w:tcMar>
              <w:top w:w="15" w:type="dxa"/>
              <w:left w:w="15" w:type="dxa"/>
              <w:right w:w="15" w:type="dxa"/>
            </w:tcMar>
            <w:vAlign w:val="bottom"/>
          </w:tcPr>
          <w:p w14:paraId="744076EA">
            <w:pPr>
              <w:rPr>
                <w:rFonts w:ascii="Arial" w:hAnsi="Arial"/>
                <w:color w:val="000000"/>
                <w:sz w:val="20"/>
                <w:szCs w:val="20"/>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1AD73464">
            <w:pPr>
              <w:rPr>
                <w:rFonts w:ascii="Arial" w:hAnsi="Arial"/>
                <w:color w:val="000000"/>
                <w:sz w:val="20"/>
                <w:szCs w:val="20"/>
              </w:rPr>
            </w:pPr>
          </w:p>
        </w:tc>
      </w:tr>
      <w:tr w14:paraId="381D10E3">
        <w:tblPrEx>
          <w:tblCellMar>
            <w:top w:w="0" w:type="dxa"/>
            <w:left w:w="0" w:type="dxa"/>
            <w:bottom w:w="0" w:type="dxa"/>
            <w:right w:w="0" w:type="dxa"/>
          </w:tblCellMar>
        </w:tblPrEx>
        <w:trPr>
          <w:trHeight w:val="386" w:hRule="atLeast"/>
        </w:trPr>
        <w:tc>
          <w:tcPr>
            <w:tcW w:w="8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D621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项目名称</w:t>
            </w:r>
          </w:p>
        </w:tc>
        <w:tc>
          <w:tcPr>
            <w:tcW w:w="8080"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3C948">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口岸公共卫生安全专项</w:t>
            </w:r>
          </w:p>
        </w:tc>
        <w:tc>
          <w:tcPr>
            <w:tcW w:w="820" w:type="dxa"/>
            <w:tcBorders>
              <w:top w:val="nil"/>
              <w:left w:val="nil"/>
              <w:bottom w:val="nil"/>
              <w:right w:val="nil"/>
            </w:tcBorders>
            <w:shd w:val="clear" w:color="auto" w:fill="auto"/>
            <w:noWrap/>
            <w:tcMar>
              <w:top w:w="15" w:type="dxa"/>
              <w:left w:w="15" w:type="dxa"/>
              <w:right w:w="15" w:type="dxa"/>
            </w:tcMar>
            <w:vAlign w:val="bottom"/>
          </w:tcPr>
          <w:p w14:paraId="7E738665">
            <w:pPr>
              <w:rPr>
                <w:rFonts w:ascii="Arial" w:hAnsi="Arial"/>
                <w:color w:val="000000"/>
                <w:sz w:val="20"/>
                <w:szCs w:val="20"/>
                <w:lang w:eastAsia="zh-CN"/>
              </w:rPr>
            </w:pPr>
          </w:p>
        </w:tc>
      </w:tr>
      <w:tr w14:paraId="0C4FA78E">
        <w:tblPrEx>
          <w:tblCellMar>
            <w:top w:w="0" w:type="dxa"/>
            <w:left w:w="0" w:type="dxa"/>
            <w:bottom w:w="0" w:type="dxa"/>
            <w:right w:w="0" w:type="dxa"/>
          </w:tblCellMar>
        </w:tblPrEx>
        <w:trPr>
          <w:trHeight w:val="386" w:hRule="atLeast"/>
        </w:trPr>
        <w:tc>
          <w:tcPr>
            <w:tcW w:w="8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8199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主管部门</w:t>
            </w:r>
          </w:p>
        </w:tc>
        <w:tc>
          <w:tcPr>
            <w:tcW w:w="17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0CAD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[167] 海关总署</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C1309">
            <w:pPr>
              <w:widowControl/>
              <w:jc w:val="center"/>
              <w:textAlignment w:val="center"/>
            </w:pPr>
            <w:r>
              <w:rPr>
                <w:rFonts w:hint="eastAsia" w:ascii="宋体" w:hAnsi="宋体" w:eastAsia="宋体" w:cs="宋体"/>
                <w:color w:val="000000"/>
                <w:sz w:val="18"/>
                <w:szCs w:val="18"/>
                <w:lang w:eastAsia="zh-CN"/>
              </w:rPr>
              <w:t>实施单位</w:t>
            </w:r>
          </w:p>
        </w:tc>
        <w:tc>
          <w:tcPr>
            <w:tcW w:w="58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66626">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中华人民共和国丽水海关</w:t>
            </w:r>
          </w:p>
        </w:tc>
        <w:tc>
          <w:tcPr>
            <w:tcW w:w="820" w:type="dxa"/>
            <w:tcBorders>
              <w:top w:val="nil"/>
              <w:left w:val="nil"/>
              <w:bottom w:val="nil"/>
              <w:right w:val="nil"/>
            </w:tcBorders>
            <w:shd w:val="clear" w:color="auto" w:fill="auto"/>
            <w:noWrap/>
            <w:tcMar>
              <w:top w:w="15" w:type="dxa"/>
              <w:left w:w="15" w:type="dxa"/>
              <w:right w:w="15" w:type="dxa"/>
            </w:tcMar>
            <w:vAlign w:val="bottom"/>
          </w:tcPr>
          <w:p w14:paraId="3DF9F233">
            <w:pPr>
              <w:rPr>
                <w:rFonts w:ascii="Arial" w:hAnsi="Arial"/>
                <w:color w:val="000000"/>
                <w:sz w:val="20"/>
                <w:szCs w:val="20"/>
                <w:lang w:eastAsia="zh-CN"/>
              </w:rPr>
            </w:pPr>
          </w:p>
        </w:tc>
      </w:tr>
      <w:tr w14:paraId="595E6AF8">
        <w:tblPrEx>
          <w:tblCellMar>
            <w:top w:w="0" w:type="dxa"/>
            <w:left w:w="0" w:type="dxa"/>
            <w:bottom w:w="0" w:type="dxa"/>
            <w:right w:w="0" w:type="dxa"/>
          </w:tblCellMar>
        </w:tblPrEx>
        <w:trPr>
          <w:trHeight w:val="386" w:hRule="atLeast"/>
        </w:trPr>
        <w:tc>
          <w:tcPr>
            <w:tcW w:w="8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AC2E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项目资金</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（万元）</w:t>
            </w:r>
          </w:p>
        </w:tc>
        <w:tc>
          <w:tcPr>
            <w:tcW w:w="11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666A5">
            <w:pPr>
              <w:jc w:val="center"/>
              <w:rPr>
                <w:rFonts w:ascii="宋体" w:hAnsi="宋体" w:eastAsia="宋体" w:cs="宋体"/>
                <w:color w:val="000000"/>
                <w:sz w:val="18"/>
                <w:szCs w:val="18"/>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FE2BD">
            <w:pPr>
              <w:widowControl/>
              <w:jc w:val="center"/>
              <w:textAlignment w:val="center"/>
            </w:pPr>
            <w:r>
              <w:rPr>
                <w:rFonts w:hint="eastAsia" w:ascii="宋体" w:hAnsi="宋体" w:eastAsia="宋体" w:cs="宋体"/>
                <w:color w:val="000000"/>
                <w:sz w:val="18"/>
                <w:szCs w:val="18"/>
                <w:lang w:eastAsia="zh-CN"/>
              </w:rPr>
              <w:t>年初预算数</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43B1D">
            <w:pPr>
              <w:widowControl/>
              <w:jc w:val="center"/>
              <w:textAlignment w:val="center"/>
            </w:pPr>
            <w:r>
              <w:rPr>
                <w:rFonts w:hint="eastAsia" w:ascii="宋体" w:hAnsi="宋体" w:eastAsia="宋体" w:cs="宋体"/>
                <w:color w:val="000000"/>
                <w:sz w:val="18"/>
                <w:szCs w:val="18"/>
                <w:lang w:eastAsia="zh-CN"/>
              </w:rPr>
              <w:t>全年预算数</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8123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全年执行数</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1233A">
            <w:pPr>
              <w:widowControl/>
              <w:jc w:val="center"/>
              <w:textAlignment w:val="center"/>
            </w:pPr>
            <w:r>
              <w:rPr>
                <w:rFonts w:hint="eastAsia" w:ascii="宋体" w:hAnsi="宋体" w:eastAsia="宋体" w:cs="宋体"/>
                <w:color w:val="000000"/>
                <w:sz w:val="18"/>
                <w:szCs w:val="18"/>
                <w:lang w:eastAsia="zh-CN"/>
              </w:rPr>
              <w:t>分值</w:t>
            </w:r>
          </w:p>
        </w:tc>
        <w:tc>
          <w:tcPr>
            <w:tcW w:w="57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86D5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执行率</w:t>
            </w:r>
          </w:p>
        </w:tc>
        <w:tc>
          <w:tcPr>
            <w:tcW w:w="43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62D9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得分</w:t>
            </w:r>
          </w:p>
        </w:tc>
        <w:tc>
          <w:tcPr>
            <w:tcW w:w="820" w:type="dxa"/>
            <w:tcBorders>
              <w:top w:val="nil"/>
              <w:left w:val="nil"/>
              <w:bottom w:val="nil"/>
              <w:right w:val="nil"/>
            </w:tcBorders>
            <w:shd w:val="clear" w:color="auto" w:fill="auto"/>
            <w:noWrap/>
            <w:tcMar>
              <w:top w:w="15" w:type="dxa"/>
              <w:left w:w="15" w:type="dxa"/>
              <w:right w:w="15" w:type="dxa"/>
            </w:tcMar>
            <w:vAlign w:val="bottom"/>
          </w:tcPr>
          <w:p w14:paraId="79389176">
            <w:pPr>
              <w:rPr>
                <w:rFonts w:ascii="Arial" w:hAnsi="Arial"/>
                <w:color w:val="000000"/>
                <w:sz w:val="20"/>
                <w:szCs w:val="20"/>
              </w:rPr>
            </w:pPr>
          </w:p>
        </w:tc>
      </w:tr>
      <w:tr w14:paraId="0C5A86D2">
        <w:tblPrEx>
          <w:tblCellMar>
            <w:top w:w="0" w:type="dxa"/>
            <w:left w:w="0" w:type="dxa"/>
            <w:bottom w:w="0" w:type="dxa"/>
            <w:right w:w="0" w:type="dxa"/>
          </w:tblCellMar>
        </w:tblPrEx>
        <w:trPr>
          <w:trHeight w:val="386" w:hRule="atLeast"/>
        </w:trPr>
        <w:tc>
          <w:tcPr>
            <w:tcW w:w="8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C247F">
            <w:pPr>
              <w:jc w:val="center"/>
              <w:rPr>
                <w:rFonts w:ascii="宋体" w:hAnsi="宋体" w:eastAsia="宋体" w:cs="宋体"/>
                <w:color w:val="000000"/>
                <w:sz w:val="18"/>
                <w:szCs w:val="18"/>
              </w:rPr>
            </w:pPr>
          </w:p>
        </w:tc>
        <w:tc>
          <w:tcPr>
            <w:tcW w:w="11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C0D5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年度资金总额：</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83E2D">
            <w:pPr>
              <w:widowControl/>
              <w:jc w:val="center"/>
              <w:textAlignment w:val="center"/>
            </w:pPr>
            <w:r>
              <w:rPr>
                <w:rFonts w:hint="eastAsia" w:ascii="宋体" w:hAnsi="宋体" w:eastAsia="宋体" w:cs="宋体"/>
                <w:color w:val="000000"/>
                <w:sz w:val="18"/>
                <w:szCs w:val="18"/>
                <w:lang w:eastAsia="zh-CN"/>
              </w:rPr>
              <w:t>1.50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C6ED4">
            <w:pPr>
              <w:widowControl/>
              <w:jc w:val="center"/>
              <w:textAlignment w:val="center"/>
            </w:pPr>
            <w:r>
              <w:rPr>
                <w:rFonts w:hint="eastAsia" w:ascii="宋体" w:hAnsi="宋体" w:eastAsia="宋体" w:cs="宋体"/>
                <w:color w:val="000000"/>
                <w:sz w:val="18"/>
                <w:szCs w:val="18"/>
                <w:lang w:eastAsia="zh-CN"/>
              </w:rPr>
              <w:t>1.50</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E0A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1.50</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A0CD5">
            <w:pPr>
              <w:widowControl/>
              <w:jc w:val="center"/>
              <w:textAlignment w:val="center"/>
            </w:pPr>
            <w:r>
              <w:rPr>
                <w:rFonts w:hint="eastAsia" w:ascii="宋体" w:hAnsi="宋体" w:eastAsia="宋体" w:cs="宋体"/>
                <w:color w:val="000000"/>
                <w:sz w:val="18"/>
                <w:szCs w:val="18"/>
                <w:lang w:eastAsia="zh-CN"/>
              </w:rPr>
              <w:t>10.0</w:t>
            </w:r>
          </w:p>
        </w:tc>
        <w:tc>
          <w:tcPr>
            <w:tcW w:w="57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F63A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w:t>
            </w:r>
          </w:p>
        </w:tc>
        <w:tc>
          <w:tcPr>
            <w:tcW w:w="43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5F0D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820" w:type="dxa"/>
            <w:tcBorders>
              <w:top w:val="nil"/>
              <w:left w:val="nil"/>
              <w:bottom w:val="nil"/>
              <w:right w:val="nil"/>
            </w:tcBorders>
            <w:shd w:val="clear" w:color="auto" w:fill="auto"/>
            <w:noWrap/>
            <w:tcMar>
              <w:top w:w="15" w:type="dxa"/>
              <w:left w:w="15" w:type="dxa"/>
              <w:right w:w="15" w:type="dxa"/>
            </w:tcMar>
            <w:vAlign w:val="bottom"/>
          </w:tcPr>
          <w:p w14:paraId="6B3CCEC5">
            <w:pPr>
              <w:rPr>
                <w:rFonts w:ascii="Arial" w:hAnsi="Arial"/>
                <w:color w:val="000000"/>
                <w:sz w:val="20"/>
                <w:szCs w:val="20"/>
              </w:rPr>
            </w:pPr>
          </w:p>
        </w:tc>
      </w:tr>
      <w:tr w14:paraId="131D3608">
        <w:tblPrEx>
          <w:tblCellMar>
            <w:top w:w="0" w:type="dxa"/>
            <w:left w:w="0" w:type="dxa"/>
            <w:bottom w:w="0" w:type="dxa"/>
            <w:right w:w="0" w:type="dxa"/>
          </w:tblCellMar>
        </w:tblPrEx>
        <w:trPr>
          <w:trHeight w:val="386" w:hRule="atLeast"/>
        </w:trPr>
        <w:tc>
          <w:tcPr>
            <w:tcW w:w="8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F3A6F">
            <w:pPr>
              <w:jc w:val="center"/>
              <w:rPr>
                <w:rFonts w:ascii="宋体" w:hAnsi="宋体" w:eastAsia="宋体" w:cs="宋体"/>
                <w:color w:val="000000"/>
                <w:sz w:val="18"/>
                <w:szCs w:val="18"/>
              </w:rPr>
            </w:pPr>
          </w:p>
        </w:tc>
        <w:tc>
          <w:tcPr>
            <w:tcW w:w="11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8B8F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 xml:space="preserve">          其中：财政拨款</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7BCFC">
            <w:pPr>
              <w:widowControl/>
              <w:jc w:val="center"/>
              <w:textAlignment w:val="center"/>
            </w:pPr>
            <w:r>
              <w:rPr>
                <w:rFonts w:hint="eastAsia" w:ascii="宋体" w:hAnsi="宋体" w:eastAsia="宋体" w:cs="宋体"/>
                <w:color w:val="000000"/>
                <w:sz w:val="18"/>
                <w:szCs w:val="18"/>
                <w:lang w:eastAsia="zh-CN"/>
              </w:rPr>
              <w:t>1.50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C057C">
            <w:pPr>
              <w:widowControl/>
              <w:jc w:val="center"/>
              <w:textAlignment w:val="center"/>
            </w:pPr>
            <w:r>
              <w:rPr>
                <w:rFonts w:hint="eastAsia" w:ascii="宋体" w:hAnsi="宋体" w:eastAsia="宋体" w:cs="宋体"/>
                <w:color w:val="000000"/>
                <w:sz w:val="18"/>
                <w:szCs w:val="18"/>
                <w:lang w:eastAsia="zh-CN"/>
              </w:rPr>
              <w:t>1.50</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3EF5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1.50</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46C89">
            <w:pPr>
              <w:widowControl/>
              <w:jc w:val="center"/>
              <w:textAlignment w:val="center"/>
            </w:pPr>
            <w:r>
              <w:rPr>
                <w:rFonts w:hint="eastAsia" w:ascii="宋体" w:hAnsi="宋体" w:eastAsia="宋体" w:cs="宋体"/>
                <w:color w:val="000000"/>
                <w:sz w:val="18"/>
                <w:szCs w:val="18"/>
                <w:lang w:eastAsia="zh-CN"/>
              </w:rPr>
              <w:t>--</w:t>
            </w:r>
          </w:p>
        </w:tc>
        <w:tc>
          <w:tcPr>
            <w:tcW w:w="57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1915">
            <w:pPr>
              <w:jc w:val="center"/>
              <w:rPr>
                <w:rFonts w:ascii="宋体" w:hAnsi="宋体" w:eastAsia="宋体" w:cs="宋体"/>
                <w:color w:val="000000"/>
                <w:sz w:val="18"/>
                <w:szCs w:val="18"/>
              </w:rPr>
            </w:pPr>
          </w:p>
        </w:tc>
        <w:tc>
          <w:tcPr>
            <w:tcW w:w="43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9E28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w:t>
            </w:r>
          </w:p>
        </w:tc>
        <w:tc>
          <w:tcPr>
            <w:tcW w:w="820" w:type="dxa"/>
            <w:tcBorders>
              <w:top w:val="nil"/>
              <w:left w:val="nil"/>
              <w:bottom w:val="nil"/>
              <w:right w:val="nil"/>
            </w:tcBorders>
            <w:shd w:val="clear" w:color="auto" w:fill="auto"/>
            <w:noWrap/>
            <w:tcMar>
              <w:top w:w="15" w:type="dxa"/>
              <w:left w:w="15" w:type="dxa"/>
              <w:right w:w="15" w:type="dxa"/>
            </w:tcMar>
            <w:vAlign w:val="bottom"/>
          </w:tcPr>
          <w:p w14:paraId="196E90B1">
            <w:pPr>
              <w:rPr>
                <w:rFonts w:ascii="Arial" w:hAnsi="Arial"/>
                <w:color w:val="000000"/>
                <w:sz w:val="20"/>
                <w:szCs w:val="20"/>
              </w:rPr>
            </w:pPr>
          </w:p>
        </w:tc>
      </w:tr>
      <w:tr w14:paraId="70233DA3">
        <w:tblPrEx>
          <w:tblCellMar>
            <w:top w:w="0" w:type="dxa"/>
            <w:left w:w="0" w:type="dxa"/>
            <w:bottom w:w="0" w:type="dxa"/>
            <w:right w:w="0" w:type="dxa"/>
          </w:tblCellMar>
        </w:tblPrEx>
        <w:trPr>
          <w:trHeight w:val="386" w:hRule="atLeast"/>
        </w:trPr>
        <w:tc>
          <w:tcPr>
            <w:tcW w:w="8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6C17F">
            <w:pPr>
              <w:jc w:val="center"/>
              <w:rPr>
                <w:rFonts w:ascii="宋体" w:hAnsi="宋体" w:eastAsia="宋体" w:cs="宋体"/>
                <w:color w:val="000000"/>
                <w:sz w:val="18"/>
                <w:szCs w:val="18"/>
              </w:rPr>
            </w:pPr>
          </w:p>
        </w:tc>
        <w:tc>
          <w:tcPr>
            <w:tcW w:w="117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CF2D2C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 xml:space="preserve">                上年结转</w:t>
            </w:r>
          </w:p>
        </w:tc>
        <w:tc>
          <w:tcPr>
            <w:tcW w:w="525"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B6960A7">
            <w:pPr>
              <w:widowControl/>
              <w:jc w:val="center"/>
              <w:textAlignment w:val="center"/>
            </w:pPr>
            <w:r>
              <w:rPr>
                <w:rFonts w:hint="eastAsia" w:ascii="宋体" w:hAnsi="宋体" w:eastAsia="宋体" w:cs="宋体"/>
                <w:color w:val="000000"/>
                <w:sz w:val="18"/>
                <w:szCs w:val="18"/>
                <w:lang w:eastAsia="zh-CN"/>
              </w:rPr>
              <w:t>0.00</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025ECFA">
            <w:pPr>
              <w:widowControl/>
              <w:jc w:val="center"/>
              <w:textAlignment w:val="center"/>
            </w:pPr>
            <w:r>
              <w:rPr>
                <w:rFonts w:hint="eastAsia" w:ascii="宋体" w:hAnsi="宋体" w:eastAsia="宋体" w:cs="宋体"/>
                <w:color w:val="000000"/>
                <w:sz w:val="18"/>
                <w:szCs w:val="18"/>
                <w:lang w:eastAsia="zh-CN"/>
              </w:rPr>
              <w:t>0.00</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AE2B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0.00</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103C9">
            <w:pPr>
              <w:widowControl/>
              <w:jc w:val="center"/>
              <w:textAlignment w:val="center"/>
            </w:pPr>
            <w:r>
              <w:rPr>
                <w:rFonts w:hint="eastAsia" w:ascii="宋体" w:hAnsi="宋体" w:eastAsia="宋体" w:cs="宋体"/>
                <w:color w:val="000000"/>
                <w:sz w:val="18"/>
                <w:szCs w:val="18"/>
                <w:lang w:eastAsia="zh-CN"/>
              </w:rPr>
              <w:t>--</w:t>
            </w:r>
          </w:p>
        </w:tc>
        <w:tc>
          <w:tcPr>
            <w:tcW w:w="57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24025">
            <w:pPr>
              <w:jc w:val="center"/>
              <w:rPr>
                <w:rFonts w:ascii="宋体" w:hAnsi="宋体" w:eastAsia="宋体" w:cs="宋体"/>
                <w:color w:val="000000"/>
                <w:sz w:val="18"/>
                <w:szCs w:val="18"/>
              </w:rPr>
            </w:pPr>
          </w:p>
        </w:tc>
        <w:tc>
          <w:tcPr>
            <w:tcW w:w="43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1954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w:t>
            </w:r>
          </w:p>
        </w:tc>
        <w:tc>
          <w:tcPr>
            <w:tcW w:w="820" w:type="dxa"/>
            <w:tcBorders>
              <w:top w:val="nil"/>
              <w:left w:val="nil"/>
              <w:bottom w:val="nil"/>
              <w:right w:val="nil"/>
            </w:tcBorders>
            <w:shd w:val="clear" w:color="auto" w:fill="auto"/>
            <w:noWrap/>
            <w:tcMar>
              <w:top w:w="15" w:type="dxa"/>
              <w:left w:w="15" w:type="dxa"/>
              <w:right w:w="15" w:type="dxa"/>
            </w:tcMar>
            <w:vAlign w:val="bottom"/>
          </w:tcPr>
          <w:p w14:paraId="2BA3C4C8">
            <w:pPr>
              <w:rPr>
                <w:rFonts w:ascii="Arial" w:hAnsi="Arial"/>
                <w:color w:val="000000"/>
                <w:sz w:val="20"/>
                <w:szCs w:val="20"/>
              </w:rPr>
            </w:pPr>
          </w:p>
        </w:tc>
      </w:tr>
      <w:tr w14:paraId="4F571079">
        <w:tblPrEx>
          <w:tblCellMar>
            <w:top w:w="0" w:type="dxa"/>
            <w:left w:w="0" w:type="dxa"/>
            <w:bottom w:w="0" w:type="dxa"/>
            <w:right w:w="0" w:type="dxa"/>
          </w:tblCellMar>
        </w:tblPrEx>
        <w:trPr>
          <w:trHeight w:val="386" w:hRule="atLeast"/>
        </w:trPr>
        <w:tc>
          <w:tcPr>
            <w:tcW w:w="8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15EB0">
            <w:pPr>
              <w:jc w:val="center"/>
              <w:rPr>
                <w:rFonts w:ascii="宋体" w:hAnsi="宋体" w:eastAsia="宋体" w:cs="宋体"/>
                <w:color w:val="000000"/>
                <w:sz w:val="18"/>
                <w:szCs w:val="18"/>
              </w:rPr>
            </w:pPr>
          </w:p>
        </w:tc>
        <w:tc>
          <w:tcPr>
            <w:tcW w:w="11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DF6A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 xml:space="preserve">                其他资金 </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368D">
            <w:pPr>
              <w:widowControl/>
              <w:jc w:val="center"/>
              <w:textAlignment w:val="center"/>
            </w:pPr>
            <w:r>
              <w:rPr>
                <w:rFonts w:hint="eastAsia" w:ascii="宋体" w:hAnsi="宋体" w:eastAsia="宋体" w:cs="宋体"/>
                <w:color w:val="000000"/>
                <w:sz w:val="18"/>
                <w:szCs w:val="18"/>
                <w:lang w:eastAsia="zh-CN"/>
              </w:rPr>
              <w:t>0.00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DF0F">
            <w:pPr>
              <w:widowControl/>
              <w:jc w:val="center"/>
              <w:textAlignment w:val="center"/>
            </w:pPr>
            <w:r>
              <w:rPr>
                <w:rFonts w:hint="eastAsia" w:ascii="宋体" w:hAnsi="宋体" w:eastAsia="宋体" w:cs="宋体"/>
                <w:color w:val="000000"/>
                <w:sz w:val="18"/>
                <w:szCs w:val="18"/>
                <w:lang w:eastAsia="zh-CN"/>
              </w:rPr>
              <w:t>0.00</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DE02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0.00</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E78AA">
            <w:pPr>
              <w:widowControl/>
              <w:jc w:val="center"/>
              <w:textAlignment w:val="center"/>
            </w:pPr>
            <w:r>
              <w:rPr>
                <w:rFonts w:hint="eastAsia" w:ascii="宋体" w:hAnsi="宋体" w:eastAsia="宋体" w:cs="宋体"/>
                <w:color w:val="000000"/>
                <w:sz w:val="18"/>
                <w:szCs w:val="18"/>
                <w:lang w:eastAsia="zh-CN"/>
              </w:rPr>
              <w:t>--</w:t>
            </w:r>
          </w:p>
        </w:tc>
        <w:tc>
          <w:tcPr>
            <w:tcW w:w="57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3DC9D">
            <w:pPr>
              <w:jc w:val="center"/>
              <w:rPr>
                <w:rFonts w:ascii="宋体" w:hAnsi="宋体" w:eastAsia="宋体" w:cs="宋体"/>
                <w:color w:val="000000"/>
                <w:sz w:val="18"/>
                <w:szCs w:val="18"/>
              </w:rPr>
            </w:pPr>
          </w:p>
        </w:tc>
        <w:tc>
          <w:tcPr>
            <w:tcW w:w="43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867A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w:t>
            </w:r>
          </w:p>
        </w:tc>
        <w:tc>
          <w:tcPr>
            <w:tcW w:w="820" w:type="dxa"/>
            <w:tcBorders>
              <w:top w:val="nil"/>
              <w:left w:val="nil"/>
              <w:bottom w:val="nil"/>
              <w:right w:val="nil"/>
            </w:tcBorders>
            <w:shd w:val="clear" w:color="auto" w:fill="auto"/>
            <w:noWrap/>
            <w:tcMar>
              <w:top w:w="15" w:type="dxa"/>
              <w:left w:w="15" w:type="dxa"/>
              <w:right w:w="15" w:type="dxa"/>
            </w:tcMar>
            <w:vAlign w:val="bottom"/>
          </w:tcPr>
          <w:p w14:paraId="429D34BC">
            <w:pPr>
              <w:rPr>
                <w:rFonts w:ascii="Arial" w:hAnsi="Arial"/>
                <w:color w:val="000000"/>
                <w:sz w:val="20"/>
                <w:szCs w:val="20"/>
              </w:rPr>
            </w:pPr>
          </w:p>
        </w:tc>
      </w:tr>
      <w:tr w14:paraId="3B769AEB">
        <w:tblPrEx>
          <w:tblCellMar>
            <w:top w:w="0" w:type="dxa"/>
            <w:left w:w="0" w:type="dxa"/>
            <w:bottom w:w="0" w:type="dxa"/>
            <w:right w:w="0" w:type="dxa"/>
          </w:tblCellMar>
        </w:tblPrEx>
        <w:trPr>
          <w:trHeight w:val="386" w:hRule="atLeast"/>
        </w:trPr>
        <w:tc>
          <w:tcPr>
            <w:tcW w:w="3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3CD8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度</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总</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体</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目</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标</w:t>
            </w:r>
          </w:p>
        </w:tc>
        <w:tc>
          <w:tcPr>
            <w:tcW w:w="26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A788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预期目标</w:t>
            </w:r>
          </w:p>
        </w:tc>
        <w:tc>
          <w:tcPr>
            <w:tcW w:w="58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7E8A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实际完成情况</w:t>
            </w:r>
          </w:p>
        </w:tc>
        <w:tc>
          <w:tcPr>
            <w:tcW w:w="820" w:type="dxa"/>
            <w:tcBorders>
              <w:top w:val="nil"/>
              <w:left w:val="nil"/>
              <w:bottom w:val="nil"/>
              <w:right w:val="nil"/>
            </w:tcBorders>
            <w:shd w:val="clear" w:color="auto" w:fill="auto"/>
            <w:noWrap/>
            <w:tcMar>
              <w:top w:w="15" w:type="dxa"/>
              <w:left w:w="15" w:type="dxa"/>
              <w:right w:w="15" w:type="dxa"/>
            </w:tcMar>
            <w:vAlign w:val="bottom"/>
          </w:tcPr>
          <w:p w14:paraId="3A23059E">
            <w:pPr>
              <w:rPr>
                <w:rFonts w:ascii="Arial" w:hAnsi="Arial"/>
                <w:color w:val="000000"/>
                <w:sz w:val="20"/>
                <w:szCs w:val="20"/>
              </w:rPr>
            </w:pPr>
          </w:p>
        </w:tc>
      </w:tr>
      <w:tr w14:paraId="6E6E244B">
        <w:tblPrEx>
          <w:tblCellMar>
            <w:top w:w="0" w:type="dxa"/>
            <w:left w:w="0" w:type="dxa"/>
            <w:bottom w:w="0" w:type="dxa"/>
            <w:right w:w="0" w:type="dxa"/>
          </w:tblCellMar>
        </w:tblPrEx>
        <w:trPr>
          <w:trHeight w:val="2691"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6EBB0">
            <w:pPr>
              <w:jc w:val="center"/>
              <w:rPr>
                <w:rFonts w:ascii="宋体" w:hAnsi="宋体" w:eastAsia="宋体" w:cs="宋体"/>
                <w:color w:val="000000"/>
                <w:sz w:val="18"/>
                <w:szCs w:val="18"/>
              </w:rPr>
            </w:pPr>
          </w:p>
        </w:tc>
        <w:tc>
          <w:tcPr>
            <w:tcW w:w="26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5EDDA57">
            <w:pPr>
              <w:widowControl/>
              <w:textAlignment w:val="top"/>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 xml:space="preserve">   目标1：通过加强口岸传染病疫情防控能力，有效阻止传染病疫情传入传出，保障丽水关区公共卫生安全；</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 xml:space="preserve">    目标2：通过对境内外传染病疫情开展风险评估，建立更为有效的国门卫生检疫体系；</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 xml:space="preserve">    目标3：通过对疟疾、艾滋病等传染病防控相关知识进行普及性宣传，提高关区人民群众防范传染病的意识。</w:t>
            </w:r>
          </w:p>
        </w:tc>
        <w:tc>
          <w:tcPr>
            <w:tcW w:w="58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3524F5B">
            <w:pPr>
              <w:widowControl/>
              <w:textAlignment w:val="top"/>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目标一完成情况：实验室顺利通过中国合格评定国家认可委员会（CNAS）质量管理体系现场复评审，新增基孔肯雅热检测项目，提升检测能力。组织人员参加卫检培训，1人参加卫生检疫技能比武暨东部区域协作组预赛选拔集训获三等奖。保健中心参与卫生检疫岗位练兵盲样检测工作；</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目标二完成情况：派员参加全球传染病疫情风险监测工作，完成分配的7-8月疫情报送、初审任务，参加关区口岸风险评估小组，完成境内疫情形势组安排的工作；</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目标三完成情况：在丽水中学、和平社区、金汇广场、市华侨创新创业中心、青田侨乡进口商品城、保健中心体检大厅等地开展“世界艾滋病日”、《中华人民共和国国境卫生检疫法》、“全国疟疾日”等主题宣传。</w:t>
            </w:r>
          </w:p>
        </w:tc>
        <w:tc>
          <w:tcPr>
            <w:tcW w:w="820" w:type="dxa"/>
            <w:tcBorders>
              <w:top w:val="nil"/>
              <w:left w:val="nil"/>
              <w:bottom w:val="nil"/>
              <w:right w:val="nil"/>
            </w:tcBorders>
            <w:shd w:val="clear" w:color="auto" w:fill="auto"/>
            <w:noWrap/>
            <w:tcMar>
              <w:top w:w="15" w:type="dxa"/>
              <w:left w:w="15" w:type="dxa"/>
              <w:right w:w="15" w:type="dxa"/>
            </w:tcMar>
            <w:vAlign w:val="bottom"/>
          </w:tcPr>
          <w:p w14:paraId="5435C91B">
            <w:pPr>
              <w:rPr>
                <w:rFonts w:ascii="Arial" w:hAnsi="Arial"/>
                <w:color w:val="000000"/>
                <w:sz w:val="20"/>
                <w:szCs w:val="20"/>
                <w:lang w:eastAsia="zh-CN"/>
              </w:rPr>
            </w:pPr>
          </w:p>
        </w:tc>
      </w:tr>
      <w:tr w14:paraId="00E5A082">
        <w:tblPrEx>
          <w:tblCellMar>
            <w:top w:w="0" w:type="dxa"/>
            <w:left w:w="0" w:type="dxa"/>
            <w:bottom w:w="0" w:type="dxa"/>
            <w:right w:w="0" w:type="dxa"/>
          </w:tblCellMar>
        </w:tblPrEx>
        <w:trPr>
          <w:trHeight w:val="538" w:hRule="atLeast"/>
        </w:trPr>
        <w:tc>
          <w:tcPr>
            <w:tcW w:w="3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B0FC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绩</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效</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指</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标</w:t>
            </w:r>
          </w:p>
        </w:tc>
        <w:tc>
          <w:tcPr>
            <w:tcW w:w="4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42E330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一级指标</w:t>
            </w:r>
          </w:p>
        </w:tc>
        <w:tc>
          <w:tcPr>
            <w:tcW w:w="6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16F2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二级指标</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C4555">
            <w:pPr>
              <w:widowControl/>
              <w:jc w:val="center"/>
              <w:textAlignment w:val="center"/>
            </w:pPr>
            <w:r>
              <w:rPr>
                <w:rFonts w:hint="eastAsia" w:ascii="宋体" w:hAnsi="宋体" w:eastAsia="宋体" w:cs="宋体"/>
                <w:color w:val="000000"/>
                <w:sz w:val="18"/>
                <w:szCs w:val="18"/>
                <w:lang w:eastAsia="zh-CN"/>
              </w:rPr>
              <w:t>三级指标</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E63B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年度指标值</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6EEB3">
            <w:pPr>
              <w:widowControl/>
              <w:jc w:val="center"/>
              <w:textAlignment w:val="center"/>
            </w:pPr>
            <w:r>
              <w:rPr>
                <w:rFonts w:hint="eastAsia" w:ascii="宋体" w:hAnsi="宋体" w:eastAsia="宋体" w:cs="宋体"/>
                <w:color w:val="000000"/>
                <w:sz w:val="18"/>
                <w:szCs w:val="18"/>
                <w:lang w:eastAsia="zh-CN"/>
              </w:rPr>
              <w:t>实际完成值</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CFB6C">
            <w:pPr>
              <w:widowControl/>
              <w:jc w:val="center"/>
              <w:textAlignment w:val="center"/>
            </w:pPr>
            <w:r>
              <w:rPr>
                <w:rFonts w:hint="eastAsia" w:ascii="宋体" w:hAnsi="宋体" w:eastAsia="宋体" w:cs="宋体"/>
                <w:color w:val="000000"/>
                <w:sz w:val="18"/>
                <w:szCs w:val="18"/>
                <w:lang w:eastAsia="zh-CN"/>
              </w:rPr>
              <w:t>分值</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706A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得分</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EEA36">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偏差原因分析及</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改进措施</w:t>
            </w:r>
          </w:p>
        </w:tc>
        <w:tc>
          <w:tcPr>
            <w:tcW w:w="820" w:type="dxa"/>
            <w:tcBorders>
              <w:top w:val="nil"/>
              <w:left w:val="nil"/>
              <w:bottom w:val="nil"/>
              <w:right w:val="nil"/>
            </w:tcBorders>
            <w:shd w:val="clear" w:color="auto" w:fill="auto"/>
            <w:noWrap/>
            <w:tcMar>
              <w:top w:w="15" w:type="dxa"/>
              <w:left w:w="15" w:type="dxa"/>
              <w:right w:w="15" w:type="dxa"/>
            </w:tcMar>
            <w:vAlign w:val="bottom"/>
          </w:tcPr>
          <w:p w14:paraId="10335FAD">
            <w:pPr>
              <w:rPr>
                <w:rFonts w:ascii="Arial" w:hAnsi="Arial"/>
                <w:color w:val="000000"/>
                <w:sz w:val="20"/>
                <w:szCs w:val="20"/>
                <w:lang w:eastAsia="zh-CN"/>
              </w:rPr>
            </w:pPr>
          </w:p>
        </w:tc>
      </w:tr>
      <w:tr w14:paraId="3E460587">
        <w:tblPrEx>
          <w:tblCellMar>
            <w:top w:w="0" w:type="dxa"/>
            <w:left w:w="0" w:type="dxa"/>
            <w:bottom w:w="0" w:type="dxa"/>
            <w:right w:w="0" w:type="dxa"/>
          </w:tblCellMar>
        </w:tblPrEx>
        <w:trPr>
          <w:trHeight w:val="386"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12F81">
            <w:pPr>
              <w:jc w:val="center"/>
              <w:rPr>
                <w:rFonts w:ascii="宋体" w:hAnsi="宋体" w:eastAsia="宋体" w:cs="宋体"/>
                <w:color w:val="000000"/>
                <w:sz w:val="18"/>
                <w:szCs w:val="18"/>
                <w:lang w:eastAsia="zh-CN"/>
              </w:rPr>
            </w:pPr>
          </w:p>
        </w:tc>
        <w:tc>
          <w:tcPr>
            <w:tcW w:w="470" w:type="dxa"/>
            <w:gridSpan w:val="2"/>
            <w:vMerge w:val="restart"/>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16B2B4F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产出指标</w:t>
            </w:r>
          </w:p>
        </w:tc>
        <w:tc>
          <w:tcPr>
            <w:tcW w:w="63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456A6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数量指标</w:t>
            </w: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7774655">
            <w:pPr>
              <w:widowControl/>
              <w:textAlignment w:val="center"/>
            </w:pPr>
            <w:r>
              <w:rPr>
                <w:rFonts w:hint="eastAsia" w:ascii="宋体" w:hAnsi="宋体" w:eastAsia="宋体" w:cs="宋体"/>
                <w:color w:val="000000"/>
                <w:sz w:val="18"/>
                <w:szCs w:val="18"/>
                <w:lang w:eastAsia="zh-CN"/>
              </w:rPr>
              <w:t>传染病防控宣传</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56D27A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≥1次</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1B95746">
            <w:pPr>
              <w:widowControl/>
              <w:jc w:val="center"/>
              <w:textAlignment w:val="center"/>
            </w:pPr>
            <w:r>
              <w:rPr>
                <w:rFonts w:hint="eastAsia" w:ascii="宋体" w:hAnsi="宋体" w:eastAsia="宋体" w:cs="宋体"/>
                <w:color w:val="000000"/>
                <w:sz w:val="18"/>
                <w:szCs w:val="18"/>
                <w:lang w:eastAsia="zh-CN"/>
              </w:rPr>
              <w:t>1.00次</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7FE8175">
            <w:pPr>
              <w:widowControl/>
              <w:jc w:val="center"/>
              <w:textAlignment w:val="center"/>
            </w:pPr>
            <w:r>
              <w:rPr>
                <w:rFonts w:hint="eastAsia" w:ascii="宋体" w:hAnsi="宋体" w:eastAsia="宋体" w:cs="宋体"/>
                <w:color w:val="000000"/>
                <w:sz w:val="18"/>
                <w:szCs w:val="18"/>
                <w:lang w:eastAsia="zh-CN"/>
              </w:rPr>
              <w:t>10</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FC1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37DCA">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3A06DF60">
            <w:pPr>
              <w:rPr>
                <w:rFonts w:ascii="Arial" w:hAnsi="Arial"/>
                <w:color w:val="000000"/>
                <w:sz w:val="20"/>
                <w:szCs w:val="20"/>
              </w:rPr>
            </w:pPr>
          </w:p>
        </w:tc>
      </w:tr>
      <w:tr w14:paraId="5C9DEB18">
        <w:tblPrEx>
          <w:tblCellMar>
            <w:top w:w="0" w:type="dxa"/>
            <w:left w:w="0" w:type="dxa"/>
            <w:bottom w:w="0" w:type="dxa"/>
            <w:right w:w="0" w:type="dxa"/>
          </w:tblCellMar>
        </w:tblPrEx>
        <w:trPr>
          <w:trHeight w:val="386"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67FFE">
            <w:pPr>
              <w:jc w:val="center"/>
              <w:rPr>
                <w:rFonts w:ascii="宋体" w:hAnsi="宋体" w:eastAsia="宋体" w:cs="宋体"/>
                <w:color w:val="000000"/>
                <w:sz w:val="18"/>
                <w:szCs w:val="18"/>
              </w:rPr>
            </w:pPr>
          </w:p>
        </w:tc>
        <w:tc>
          <w:tcPr>
            <w:tcW w:w="470"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76668ADC">
            <w:pPr>
              <w:jc w:val="center"/>
              <w:rPr>
                <w:rFonts w:ascii="宋体" w:hAnsi="宋体" w:eastAsia="宋体" w:cs="宋体"/>
                <w:color w:val="000000"/>
                <w:sz w:val="18"/>
                <w:szCs w:val="18"/>
              </w:rPr>
            </w:pPr>
          </w:p>
        </w:tc>
        <w:tc>
          <w:tcPr>
            <w:tcW w:w="63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5A3F29">
            <w:pPr>
              <w:jc w:val="center"/>
              <w:rPr>
                <w:rFonts w:ascii="宋体" w:hAnsi="宋体" w:eastAsia="宋体" w:cs="宋体"/>
                <w:color w:val="000000"/>
                <w:sz w:val="18"/>
                <w:szCs w:val="18"/>
              </w:rPr>
            </w:pP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B93462">
            <w:pPr>
              <w:widowControl/>
              <w:textAlignment w:val="center"/>
              <w:rPr>
                <w:lang w:eastAsia="zh-CN"/>
              </w:rPr>
            </w:pPr>
            <w:r>
              <w:rPr>
                <w:rFonts w:hint="eastAsia" w:ascii="宋体" w:hAnsi="宋体" w:eastAsia="宋体" w:cs="宋体"/>
                <w:color w:val="000000"/>
                <w:sz w:val="18"/>
                <w:szCs w:val="18"/>
                <w:lang w:eastAsia="zh-CN"/>
              </w:rPr>
              <w:t>口岸传染病防控等演练</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DB57E45">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≥1次</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8E364C5">
            <w:pPr>
              <w:widowControl/>
              <w:jc w:val="center"/>
              <w:textAlignment w:val="center"/>
            </w:pPr>
            <w:r>
              <w:rPr>
                <w:rFonts w:hint="eastAsia" w:ascii="宋体" w:hAnsi="宋体" w:eastAsia="宋体" w:cs="宋体"/>
                <w:color w:val="000000"/>
                <w:sz w:val="18"/>
                <w:szCs w:val="18"/>
                <w:lang w:eastAsia="zh-CN"/>
              </w:rPr>
              <w:t>1.00次</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D877631">
            <w:pPr>
              <w:widowControl/>
              <w:jc w:val="center"/>
              <w:textAlignment w:val="center"/>
            </w:pPr>
            <w:r>
              <w:rPr>
                <w:rFonts w:hint="eastAsia" w:ascii="宋体" w:hAnsi="宋体" w:eastAsia="宋体" w:cs="宋体"/>
                <w:color w:val="000000"/>
                <w:sz w:val="18"/>
                <w:szCs w:val="18"/>
                <w:lang w:eastAsia="zh-CN"/>
              </w:rPr>
              <w:t>10</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37A1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9C61">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3A511247">
            <w:pPr>
              <w:rPr>
                <w:rFonts w:ascii="Arial" w:hAnsi="Arial"/>
                <w:color w:val="000000"/>
                <w:sz w:val="20"/>
                <w:szCs w:val="20"/>
              </w:rPr>
            </w:pPr>
          </w:p>
        </w:tc>
      </w:tr>
      <w:tr w14:paraId="64531079">
        <w:tblPrEx>
          <w:tblCellMar>
            <w:top w:w="0" w:type="dxa"/>
            <w:left w:w="0" w:type="dxa"/>
            <w:bottom w:w="0" w:type="dxa"/>
            <w:right w:w="0" w:type="dxa"/>
          </w:tblCellMar>
        </w:tblPrEx>
        <w:trPr>
          <w:trHeight w:val="386"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1FA6A">
            <w:pPr>
              <w:jc w:val="center"/>
              <w:rPr>
                <w:rFonts w:ascii="宋体" w:hAnsi="宋体" w:eastAsia="宋体" w:cs="宋体"/>
                <w:color w:val="000000"/>
                <w:sz w:val="18"/>
                <w:szCs w:val="18"/>
              </w:rPr>
            </w:pPr>
          </w:p>
        </w:tc>
        <w:tc>
          <w:tcPr>
            <w:tcW w:w="470"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1E029095">
            <w:pPr>
              <w:jc w:val="center"/>
              <w:rPr>
                <w:rFonts w:ascii="宋体" w:hAnsi="宋体" w:eastAsia="宋体" w:cs="宋体"/>
                <w:color w:val="000000"/>
                <w:sz w:val="18"/>
                <w:szCs w:val="18"/>
              </w:rPr>
            </w:pPr>
          </w:p>
        </w:tc>
        <w:tc>
          <w:tcPr>
            <w:tcW w:w="63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7A810E">
            <w:pPr>
              <w:jc w:val="center"/>
              <w:rPr>
                <w:rFonts w:ascii="宋体" w:hAnsi="宋体" w:eastAsia="宋体" w:cs="宋体"/>
                <w:color w:val="000000"/>
                <w:sz w:val="18"/>
                <w:szCs w:val="18"/>
              </w:rPr>
            </w:pP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84B18B">
            <w:pPr>
              <w:widowControl/>
              <w:textAlignment w:val="center"/>
            </w:pPr>
            <w:r>
              <w:rPr>
                <w:rFonts w:hint="eastAsia" w:ascii="宋体" w:hAnsi="宋体" w:eastAsia="宋体" w:cs="宋体"/>
                <w:color w:val="000000"/>
                <w:sz w:val="18"/>
                <w:szCs w:val="18"/>
                <w:lang w:eastAsia="zh-CN"/>
              </w:rPr>
              <w:t>应急物资配备</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861A19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≥5批次</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11FC744">
            <w:pPr>
              <w:widowControl/>
              <w:jc w:val="center"/>
              <w:textAlignment w:val="center"/>
            </w:pPr>
            <w:r>
              <w:rPr>
                <w:rFonts w:hint="eastAsia" w:ascii="宋体" w:hAnsi="宋体" w:eastAsia="宋体" w:cs="宋体"/>
                <w:color w:val="000000"/>
                <w:sz w:val="18"/>
                <w:szCs w:val="18"/>
                <w:lang w:eastAsia="zh-CN"/>
              </w:rPr>
              <w:t>6.00批次</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7CB8898">
            <w:pPr>
              <w:widowControl/>
              <w:jc w:val="center"/>
              <w:textAlignment w:val="center"/>
            </w:pPr>
            <w:r>
              <w:rPr>
                <w:rFonts w:hint="eastAsia" w:ascii="宋体" w:hAnsi="宋体" w:eastAsia="宋体" w:cs="宋体"/>
                <w:color w:val="000000"/>
                <w:sz w:val="18"/>
                <w:szCs w:val="18"/>
                <w:lang w:eastAsia="zh-CN"/>
              </w:rPr>
              <w:t>10</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0A91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98BEA">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4D3540EC">
            <w:pPr>
              <w:rPr>
                <w:rFonts w:ascii="Arial" w:hAnsi="Arial"/>
                <w:color w:val="000000"/>
                <w:sz w:val="20"/>
                <w:szCs w:val="20"/>
              </w:rPr>
            </w:pPr>
          </w:p>
        </w:tc>
      </w:tr>
      <w:tr w14:paraId="30D1BCC8">
        <w:tblPrEx>
          <w:tblCellMar>
            <w:top w:w="0" w:type="dxa"/>
            <w:left w:w="0" w:type="dxa"/>
            <w:bottom w:w="0" w:type="dxa"/>
            <w:right w:w="0" w:type="dxa"/>
          </w:tblCellMar>
        </w:tblPrEx>
        <w:trPr>
          <w:trHeight w:val="386"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8A364">
            <w:pPr>
              <w:jc w:val="center"/>
              <w:rPr>
                <w:rFonts w:ascii="宋体" w:hAnsi="宋体" w:eastAsia="宋体" w:cs="宋体"/>
                <w:color w:val="000000"/>
                <w:sz w:val="18"/>
                <w:szCs w:val="18"/>
              </w:rPr>
            </w:pPr>
          </w:p>
        </w:tc>
        <w:tc>
          <w:tcPr>
            <w:tcW w:w="470"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0C293D47">
            <w:pPr>
              <w:jc w:val="center"/>
              <w:rPr>
                <w:rFonts w:ascii="宋体" w:hAnsi="宋体" w:eastAsia="宋体" w:cs="宋体"/>
                <w:color w:val="000000"/>
                <w:sz w:val="18"/>
                <w:szCs w:val="18"/>
              </w:rPr>
            </w:pPr>
          </w:p>
        </w:tc>
        <w:tc>
          <w:tcPr>
            <w:tcW w:w="63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3E2F4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质量指标</w:t>
            </w: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A9044D">
            <w:pPr>
              <w:widowControl/>
              <w:textAlignment w:val="center"/>
            </w:pPr>
            <w:r>
              <w:rPr>
                <w:rFonts w:hint="eastAsia" w:ascii="宋体" w:hAnsi="宋体" w:eastAsia="宋体" w:cs="宋体"/>
                <w:color w:val="000000"/>
                <w:sz w:val="18"/>
                <w:szCs w:val="18"/>
                <w:lang w:eastAsia="zh-CN"/>
              </w:rPr>
              <w:t>送检样本检测率</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396E02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≥95%</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EB104D1">
            <w:pPr>
              <w:widowControl/>
              <w:jc w:val="center"/>
              <w:textAlignment w:val="center"/>
            </w:pPr>
            <w:r>
              <w:rPr>
                <w:rFonts w:hint="eastAsia" w:ascii="宋体" w:hAnsi="宋体" w:eastAsia="宋体" w:cs="宋体"/>
                <w:color w:val="000000"/>
                <w:sz w:val="18"/>
                <w:szCs w:val="18"/>
                <w:lang w:eastAsia="zh-CN"/>
              </w:rPr>
              <w:t>100.00%</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2C1A949">
            <w:pPr>
              <w:widowControl/>
              <w:jc w:val="center"/>
              <w:textAlignment w:val="center"/>
            </w:pPr>
            <w:r>
              <w:rPr>
                <w:rFonts w:hint="eastAsia" w:ascii="宋体" w:hAnsi="宋体" w:eastAsia="宋体" w:cs="宋体"/>
                <w:color w:val="000000"/>
                <w:sz w:val="18"/>
                <w:szCs w:val="18"/>
                <w:lang w:eastAsia="zh-CN"/>
              </w:rPr>
              <w:t>5</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A26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E028D">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5798DB1E">
            <w:pPr>
              <w:rPr>
                <w:rFonts w:ascii="Arial" w:hAnsi="Arial"/>
                <w:color w:val="000000"/>
                <w:sz w:val="20"/>
                <w:szCs w:val="20"/>
              </w:rPr>
            </w:pPr>
          </w:p>
        </w:tc>
      </w:tr>
      <w:tr w14:paraId="1A8E48DB">
        <w:tblPrEx>
          <w:tblCellMar>
            <w:top w:w="0" w:type="dxa"/>
            <w:left w:w="0" w:type="dxa"/>
            <w:bottom w:w="0" w:type="dxa"/>
            <w:right w:w="0" w:type="dxa"/>
          </w:tblCellMar>
        </w:tblPrEx>
        <w:trPr>
          <w:trHeight w:val="386"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F5087">
            <w:pPr>
              <w:jc w:val="center"/>
              <w:rPr>
                <w:rFonts w:ascii="宋体" w:hAnsi="宋体" w:eastAsia="宋体" w:cs="宋体"/>
                <w:color w:val="000000"/>
                <w:sz w:val="18"/>
                <w:szCs w:val="18"/>
              </w:rPr>
            </w:pPr>
          </w:p>
        </w:tc>
        <w:tc>
          <w:tcPr>
            <w:tcW w:w="470"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1C9459AA">
            <w:pPr>
              <w:jc w:val="center"/>
              <w:rPr>
                <w:rFonts w:ascii="宋体" w:hAnsi="宋体" w:eastAsia="宋体" w:cs="宋体"/>
                <w:color w:val="000000"/>
                <w:sz w:val="18"/>
                <w:szCs w:val="18"/>
              </w:rPr>
            </w:pPr>
          </w:p>
        </w:tc>
        <w:tc>
          <w:tcPr>
            <w:tcW w:w="63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3734277">
            <w:pPr>
              <w:jc w:val="center"/>
              <w:rPr>
                <w:rFonts w:ascii="宋体" w:hAnsi="宋体" w:eastAsia="宋体" w:cs="宋体"/>
                <w:color w:val="000000"/>
                <w:sz w:val="18"/>
                <w:szCs w:val="18"/>
              </w:rPr>
            </w:pP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88F5103">
            <w:pPr>
              <w:widowControl/>
              <w:textAlignment w:val="center"/>
              <w:rPr>
                <w:lang w:eastAsia="zh-CN"/>
              </w:rPr>
            </w:pPr>
            <w:r>
              <w:rPr>
                <w:rFonts w:hint="eastAsia" w:ascii="宋体" w:hAnsi="宋体" w:eastAsia="宋体" w:cs="宋体"/>
                <w:color w:val="000000"/>
                <w:sz w:val="18"/>
                <w:szCs w:val="18"/>
                <w:lang w:eastAsia="zh-CN"/>
              </w:rPr>
              <w:t>口岸公共卫生安全宣传活动完成率</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F31F24B">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≥99%</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85A6606">
            <w:pPr>
              <w:widowControl/>
              <w:jc w:val="center"/>
              <w:textAlignment w:val="center"/>
            </w:pPr>
            <w:r>
              <w:rPr>
                <w:rFonts w:hint="eastAsia" w:ascii="宋体" w:hAnsi="宋体" w:eastAsia="宋体" w:cs="宋体"/>
                <w:color w:val="000000"/>
                <w:sz w:val="18"/>
                <w:szCs w:val="18"/>
                <w:lang w:eastAsia="zh-CN"/>
              </w:rPr>
              <w:t>100.00%</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67A9D04">
            <w:pPr>
              <w:widowControl/>
              <w:jc w:val="center"/>
              <w:textAlignment w:val="center"/>
            </w:pPr>
            <w:r>
              <w:rPr>
                <w:rFonts w:hint="eastAsia" w:ascii="宋体" w:hAnsi="宋体" w:eastAsia="宋体" w:cs="宋体"/>
                <w:color w:val="000000"/>
                <w:sz w:val="18"/>
                <w:szCs w:val="18"/>
                <w:lang w:eastAsia="zh-CN"/>
              </w:rPr>
              <w:t>5</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5080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BAF44">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4E77328A">
            <w:pPr>
              <w:rPr>
                <w:rFonts w:ascii="Arial" w:hAnsi="Arial"/>
                <w:color w:val="000000"/>
                <w:sz w:val="20"/>
                <w:szCs w:val="20"/>
              </w:rPr>
            </w:pPr>
          </w:p>
        </w:tc>
      </w:tr>
      <w:tr w14:paraId="2425E5E7">
        <w:tblPrEx>
          <w:tblCellMar>
            <w:top w:w="0" w:type="dxa"/>
            <w:left w:w="0" w:type="dxa"/>
            <w:bottom w:w="0" w:type="dxa"/>
            <w:right w:w="0" w:type="dxa"/>
          </w:tblCellMar>
        </w:tblPrEx>
        <w:trPr>
          <w:trHeight w:val="468"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86E9C">
            <w:pPr>
              <w:jc w:val="center"/>
              <w:rPr>
                <w:rFonts w:ascii="宋体" w:hAnsi="宋体" w:eastAsia="宋体" w:cs="宋体"/>
                <w:color w:val="000000"/>
                <w:sz w:val="18"/>
                <w:szCs w:val="18"/>
              </w:rPr>
            </w:pPr>
          </w:p>
        </w:tc>
        <w:tc>
          <w:tcPr>
            <w:tcW w:w="470"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4F0A9A71">
            <w:pPr>
              <w:jc w:val="center"/>
              <w:rPr>
                <w:rFonts w:ascii="宋体" w:hAnsi="宋体" w:eastAsia="宋体" w:cs="宋体"/>
                <w:color w:val="000000"/>
                <w:sz w:val="18"/>
                <w:szCs w:val="18"/>
              </w:rPr>
            </w:pPr>
          </w:p>
        </w:tc>
        <w:tc>
          <w:tcPr>
            <w:tcW w:w="6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4F5160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时效指标</w:t>
            </w: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B32840">
            <w:pPr>
              <w:widowControl/>
              <w:textAlignment w:val="center"/>
              <w:rPr>
                <w:lang w:eastAsia="zh-CN"/>
              </w:rPr>
            </w:pPr>
            <w:r>
              <w:rPr>
                <w:rFonts w:hint="eastAsia" w:ascii="宋体" w:hAnsi="宋体" w:eastAsia="宋体" w:cs="宋体"/>
                <w:color w:val="000000"/>
                <w:sz w:val="18"/>
                <w:szCs w:val="18"/>
                <w:lang w:eastAsia="zh-CN"/>
              </w:rPr>
              <w:t>医疗废弃物按时处置率</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8689BB8">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≥95%</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A2CBDF7">
            <w:pPr>
              <w:widowControl/>
              <w:jc w:val="center"/>
              <w:textAlignment w:val="center"/>
            </w:pPr>
            <w:r>
              <w:rPr>
                <w:rFonts w:hint="eastAsia" w:ascii="宋体" w:hAnsi="宋体" w:eastAsia="宋体" w:cs="宋体"/>
                <w:color w:val="000000"/>
                <w:sz w:val="18"/>
                <w:szCs w:val="18"/>
                <w:lang w:eastAsia="zh-CN"/>
              </w:rPr>
              <w:t>100.00%</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9C29AC2">
            <w:pPr>
              <w:widowControl/>
              <w:jc w:val="center"/>
              <w:textAlignment w:val="center"/>
            </w:pPr>
            <w:r>
              <w:rPr>
                <w:rFonts w:hint="eastAsia" w:ascii="宋体" w:hAnsi="宋体" w:eastAsia="宋体" w:cs="宋体"/>
                <w:color w:val="000000"/>
                <w:sz w:val="18"/>
                <w:szCs w:val="18"/>
                <w:lang w:eastAsia="zh-CN"/>
              </w:rPr>
              <w:t>10</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7F8F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46162">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416669D1">
            <w:pPr>
              <w:rPr>
                <w:rFonts w:ascii="Arial" w:hAnsi="Arial"/>
                <w:color w:val="000000"/>
                <w:sz w:val="20"/>
                <w:szCs w:val="20"/>
              </w:rPr>
            </w:pPr>
          </w:p>
        </w:tc>
      </w:tr>
      <w:tr w14:paraId="7D0B34C3">
        <w:tblPrEx>
          <w:tblCellMar>
            <w:top w:w="0" w:type="dxa"/>
            <w:left w:w="0" w:type="dxa"/>
            <w:bottom w:w="0" w:type="dxa"/>
            <w:right w:w="0" w:type="dxa"/>
          </w:tblCellMar>
        </w:tblPrEx>
        <w:trPr>
          <w:trHeight w:val="468"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DF440">
            <w:pPr>
              <w:jc w:val="center"/>
              <w:rPr>
                <w:rFonts w:ascii="宋体" w:hAnsi="宋体" w:eastAsia="宋体" w:cs="宋体"/>
                <w:color w:val="000000"/>
                <w:sz w:val="18"/>
                <w:szCs w:val="18"/>
              </w:rPr>
            </w:pPr>
          </w:p>
        </w:tc>
        <w:tc>
          <w:tcPr>
            <w:tcW w:w="470" w:type="dxa"/>
            <w:gridSpan w:val="2"/>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488FDF1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效益指标</w:t>
            </w:r>
          </w:p>
        </w:tc>
        <w:tc>
          <w:tcPr>
            <w:tcW w:w="6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E7641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社会效益指标</w:t>
            </w:r>
          </w:p>
        </w:tc>
        <w:tc>
          <w:tcPr>
            <w:tcW w:w="106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9FA7757">
            <w:pPr>
              <w:widowControl/>
              <w:textAlignment w:val="center"/>
              <w:rPr>
                <w:lang w:eastAsia="zh-CN"/>
              </w:rPr>
            </w:pPr>
            <w:r>
              <w:rPr>
                <w:rFonts w:hint="eastAsia" w:ascii="宋体" w:hAnsi="宋体" w:eastAsia="宋体" w:cs="宋体"/>
                <w:color w:val="000000"/>
                <w:sz w:val="18"/>
                <w:szCs w:val="18"/>
                <w:lang w:eastAsia="zh-CN"/>
              </w:rPr>
              <w:t>重大突发公共卫生事件处置率</w:t>
            </w:r>
          </w:p>
        </w:tc>
        <w:tc>
          <w:tcPr>
            <w:tcW w:w="48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82896AB">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≥90%</w:t>
            </w:r>
          </w:p>
        </w:tc>
        <w:tc>
          <w:tcPr>
            <w:tcW w:w="737"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02EA3BC">
            <w:pPr>
              <w:widowControl/>
              <w:jc w:val="center"/>
              <w:textAlignment w:val="center"/>
            </w:pPr>
            <w:r>
              <w:rPr>
                <w:rFonts w:hint="eastAsia" w:ascii="宋体" w:hAnsi="宋体" w:eastAsia="宋体" w:cs="宋体"/>
                <w:color w:val="000000"/>
                <w:sz w:val="18"/>
                <w:szCs w:val="18"/>
                <w:lang w:eastAsia="zh-CN"/>
              </w:rPr>
              <w:t>100.00%</w:t>
            </w:r>
          </w:p>
        </w:tc>
        <w:tc>
          <w:tcPr>
            <w:tcW w:w="2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E3CC08B">
            <w:pPr>
              <w:widowControl/>
              <w:jc w:val="center"/>
              <w:textAlignment w:val="center"/>
            </w:pPr>
            <w:r>
              <w:rPr>
                <w:rFonts w:hint="eastAsia" w:ascii="宋体" w:hAnsi="宋体" w:eastAsia="宋体" w:cs="宋体"/>
                <w:color w:val="000000"/>
                <w:sz w:val="18"/>
                <w:szCs w:val="18"/>
                <w:lang w:eastAsia="zh-CN"/>
              </w:rPr>
              <w:t>30</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BBCC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E3C30">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23930FE0">
            <w:pPr>
              <w:rPr>
                <w:rFonts w:ascii="Arial" w:hAnsi="Arial"/>
                <w:color w:val="000000"/>
                <w:sz w:val="20"/>
                <w:szCs w:val="20"/>
              </w:rPr>
            </w:pPr>
          </w:p>
        </w:tc>
      </w:tr>
      <w:tr w14:paraId="66FDCE91">
        <w:tblPrEx>
          <w:tblCellMar>
            <w:top w:w="0" w:type="dxa"/>
            <w:left w:w="0" w:type="dxa"/>
            <w:bottom w:w="0" w:type="dxa"/>
            <w:right w:w="0" w:type="dxa"/>
          </w:tblCellMar>
        </w:tblPrEx>
        <w:trPr>
          <w:trHeight w:val="443" w:hRule="atLeast"/>
        </w:trPr>
        <w:tc>
          <w:tcPr>
            <w:tcW w:w="34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8039D">
            <w:pPr>
              <w:jc w:val="center"/>
              <w:rPr>
                <w:rFonts w:ascii="宋体" w:hAnsi="宋体" w:eastAsia="宋体" w:cs="宋体"/>
                <w:color w:val="000000"/>
                <w:sz w:val="18"/>
                <w:szCs w:val="18"/>
              </w:rPr>
            </w:pPr>
          </w:p>
        </w:tc>
        <w:tc>
          <w:tcPr>
            <w:tcW w:w="470"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F7377">
            <w:pPr>
              <w:widowControl/>
              <w:jc w:val="center"/>
              <w:textAlignment w:val="center"/>
            </w:pPr>
            <w:r>
              <w:rPr>
                <w:rFonts w:hint="eastAsia" w:ascii="宋体" w:hAnsi="宋体" w:eastAsia="宋体" w:cs="宋体"/>
                <w:color w:val="000000"/>
                <w:sz w:val="18"/>
                <w:szCs w:val="18"/>
                <w:lang w:eastAsia="zh-CN"/>
              </w:rPr>
              <w:t>满意度指标</w:t>
            </w:r>
          </w:p>
        </w:tc>
        <w:tc>
          <w:tcPr>
            <w:tcW w:w="632"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80FF0">
            <w:pPr>
              <w:widowControl/>
              <w:jc w:val="center"/>
              <w:textAlignment w:val="center"/>
            </w:pPr>
            <w:r>
              <w:rPr>
                <w:rFonts w:hint="eastAsia" w:ascii="宋体" w:hAnsi="宋体" w:eastAsia="宋体" w:cs="宋体"/>
                <w:color w:val="000000"/>
                <w:sz w:val="18"/>
                <w:szCs w:val="18"/>
                <w:lang w:eastAsia="zh-CN"/>
              </w:rPr>
              <w:t>服务对象</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满意度指标</w:t>
            </w:r>
          </w:p>
        </w:tc>
        <w:tc>
          <w:tcPr>
            <w:tcW w:w="1068"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5F300">
            <w:pPr>
              <w:widowControl/>
              <w:textAlignment w:val="center"/>
              <w:rPr>
                <w:lang w:eastAsia="zh-CN"/>
              </w:rPr>
            </w:pPr>
            <w:r>
              <w:rPr>
                <w:rFonts w:hint="eastAsia" w:ascii="宋体" w:hAnsi="宋体" w:eastAsia="宋体" w:cs="宋体"/>
                <w:color w:val="000000"/>
                <w:sz w:val="18"/>
                <w:szCs w:val="18"/>
                <w:lang w:eastAsia="zh-CN"/>
              </w:rPr>
              <w:t>出入境健康体检人员对服务满意度</w:t>
            </w:r>
          </w:p>
        </w:tc>
        <w:tc>
          <w:tcPr>
            <w:tcW w:w="48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F8B75">
            <w:pPr>
              <w:widowControl/>
              <w:jc w:val="center"/>
              <w:textAlignment w:val="center"/>
            </w:pPr>
            <w:r>
              <w:rPr>
                <w:rFonts w:hint="eastAsia" w:ascii="宋体" w:hAnsi="宋体" w:eastAsia="宋体" w:cs="宋体"/>
                <w:color w:val="000000"/>
                <w:sz w:val="18"/>
                <w:szCs w:val="18"/>
                <w:lang w:eastAsia="zh-CN"/>
              </w:rPr>
              <w:t>≥90%</w:t>
            </w:r>
          </w:p>
        </w:tc>
        <w:tc>
          <w:tcPr>
            <w:tcW w:w="737"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D256B">
            <w:pPr>
              <w:widowControl/>
              <w:jc w:val="center"/>
              <w:textAlignment w:val="center"/>
            </w:pPr>
            <w:r>
              <w:rPr>
                <w:rFonts w:hint="eastAsia" w:ascii="宋体" w:hAnsi="宋体" w:eastAsia="宋体" w:cs="宋体"/>
                <w:color w:val="000000"/>
                <w:sz w:val="18"/>
                <w:szCs w:val="18"/>
                <w:lang w:eastAsia="zh-CN"/>
              </w:rPr>
              <w:t>100.00%</w:t>
            </w:r>
          </w:p>
        </w:tc>
        <w:tc>
          <w:tcPr>
            <w:tcW w:w="24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7CFDD">
            <w:pPr>
              <w:widowControl/>
              <w:jc w:val="center"/>
              <w:textAlignment w:val="center"/>
            </w:pPr>
            <w:r>
              <w:rPr>
                <w:rFonts w:hint="eastAsia" w:ascii="宋体" w:hAnsi="宋体" w:eastAsia="宋体" w:cs="宋体"/>
                <w:color w:val="000000"/>
                <w:sz w:val="18"/>
                <w:szCs w:val="18"/>
                <w:lang w:eastAsia="zh-CN"/>
              </w:rPr>
              <w:t>10</w:t>
            </w:r>
          </w:p>
        </w:tc>
        <w:tc>
          <w:tcPr>
            <w:tcW w:w="286"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5A5D0">
            <w:pPr>
              <w:widowControl/>
              <w:jc w:val="center"/>
              <w:textAlignment w:val="center"/>
            </w:pPr>
            <w:r>
              <w:rPr>
                <w:rFonts w:hint="eastAsia" w:ascii="宋体" w:hAnsi="宋体" w:eastAsia="宋体" w:cs="宋体"/>
                <w:color w:val="000000"/>
                <w:sz w:val="18"/>
                <w:szCs w:val="18"/>
                <w:lang w:eastAsia="zh-CN"/>
              </w:rPr>
              <w:t>10.0</w:t>
            </w:r>
          </w:p>
        </w:tc>
        <w:tc>
          <w:tcPr>
            <w:tcW w:w="4628" w:type="dxa"/>
            <w:gridSpan w:val="7"/>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A33FB">
            <w:pPr>
              <w:jc w:val="center"/>
              <w:rPr>
                <w:rFonts w:ascii="宋体" w:hAnsi="宋体" w:eastAsia="宋体" w:cs="宋体"/>
                <w:color w:val="000000"/>
                <w:sz w:val="18"/>
                <w:szCs w:val="18"/>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38534216">
            <w:pPr>
              <w:rPr>
                <w:rFonts w:ascii="Arial" w:hAnsi="Arial"/>
                <w:color w:val="000000"/>
                <w:sz w:val="20"/>
                <w:szCs w:val="20"/>
              </w:rPr>
            </w:pPr>
          </w:p>
        </w:tc>
      </w:tr>
      <w:tr w14:paraId="5BD35AB2">
        <w:tblPrEx>
          <w:tblCellMar>
            <w:top w:w="0" w:type="dxa"/>
            <w:left w:w="0" w:type="dxa"/>
            <w:bottom w:w="0" w:type="dxa"/>
            <w:right w:w="0" w:type="dxa"/>
          </w:tblCellMar>
        </w:tblPrEx>
        <w:trPr>
          <w:trHeight w:val="386" w:hRule="atLeast"/>
        </w:trPr>
        <w:tc>
          <w:tcPr>
            <w:tcW w:w="3737"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EE1B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18"/>
                <w:szCs w:val="18"/>
                <w:lang w:eastAsia="zh-CN"/>
              </w:rPr>
              <w:t>总分</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F9F50">
            <w:pPr>
              <w:widowControl/>
              <w:jc w:val="center"/>
              <w:textAlignment w:val="center"/>
            </w:pPr>
            <w:r>
              <w:rPr>
                <w:rFonts w:hint="eastAsia" w:ascii="宋体" w:hAnsi="宋体" w:eastAsia="宋体" w:cs="宋体"/>
                <w:color w:val="000000"/>
                <w:sz w:val="18"/>
                <w:szCs w:val="18"/>
                <w:lang w:eastAsia="zh-CN"/>
              </w:rPr>
              <w:t>100</w:t>
            </w:r>
          </w:p>
        </w:tc>
        <w:tc>
          <w:tcPr>
            <w:tcW w:w="2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F9800">
            <w:pPr>
              <w:widowControl/>
              <w:jc w:val="center"/>
              <w:textAlignment w:val="center"/>
            </w:pPr>
            <w:r>
              <w:rPr>
                <w:rFonts w:hint="eastAsia" w:ascii="宋体" w:hAnsi="宋体" w:eastAsia="宋体" w:cs="宋体"/>
                <w:color w:val="000000"/>
                <w:sz w:val="18"/>
                <w:szCs w:val="18"/>
                <w:lang w:eastAsia="zh-CN"/>
              </w:rPr>
              <w:t>100.0</w:t>
            </w:r>
          </w:p>
        </w:tc>
        <w:tc>
          <w:tcPr>
            <w:tcW w:w="4628"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C02BF">
            <w:pPr>
              <w:jc w:val="center"/>
            </w:pPr>
          </w:p>
        </w:tc>
        <w:tc>
          <w:tcPr>
            <w:tcW w:w="820" w:type="dxa"/>
            <w:tcBorders>
              <w:top w:val="nil"/>
              <w:left w:val="nil"/>
              <w:bottom w:val="nil"/>
              <w:right w:val="nil"/>
            </w:tcBorders>
            <w:shd w:val="clear" w:color="auto" w:fill="auto"/>
            <w:noWrap/>
            <w:tcMar>
              <w:top w:w="15" w:type="dxa"/>
              <w:left w:w="15" w:type="dxa"/>
              <w:right w:w="15" w:type="dxa"/>
            </w:tcMar>
            <w:vAlign w:val="bottom"/>
          </w:tcPr>
          <w:p w14:paraId="3DE89A01">
            <w:pPr>
              <w:rPr>
                <w:rFonts w:ascii="Arial" w:hAnsi="Arial"/>
                <w:color w:val="000000"/>
                <w:sz w:val="20"/>
                <w:szCs w:val="20"/>
              </w:rPr>
            </w:pPr>
          </w:p>
        </w:tc>
      </w:tr>
      <w:tr w14:paraId="73F8E7BE">
        <w:tblPrEx>
          <w:tblCellMar>
            <w:top w:w="0" w:type="dxa"/>
            <w:left w:w="0" w:type="dxa"/>
            <w:bottom w:w="0" w:type="dxa"/>
            <w:right w:w="0" w:type="dxa"/>
          </w:tblCellMar>
        </w:tblPrEx>
        <w:trPr>
          <w:trHeight w:val="267" w:hRule="atLeast"/>
        </w:trPr>
        <w:tc>
          <w:tcPr>
            <w:tcW w:w="416" w:type="dxa"/>
            <w:gridSpan w:val="2"/>
            <w:tcBorders>
              <w:top w:val="nil"/>
              <w:left w:val="nil"/>
              <w:bottom w:val="nil"/>
              <w:right w:val="nil"/>
            </w:tcBorders>
            <w:shd w:val="clear" w:color="auto" w:fill="auto"/>
            <w:noWrap/>
            <w:tcMar>
              <w:top w:w="15" w:type="dxa"/>
              <w:left w:w="15" w:type="dxa"/>
              <w:right w:w="15" w:type="dxa"/>
            </w:tcMar>
            <w:vAlign w:val="bottom"/>
          </w:tcPr>
          <w:p w14:paraId="4E0EB321">
            <w:pPr>
              <w:rPr>
                <w:rFonts w:ascii="Arial" w:hAnsi="Arial"/>
                <w:color w:val="000000"/>
                <w:sz w:val="20"/>
                <w:szCs w:val="20"/>
              </w:rPr>
            </w:pPr>
          </w:p>
        </w:tc>
        <w:tc>
          <w:tcPr>
            <w:tcW w:w="917" w:type="dxa"/>
            <w:gridSpan w:val="2"/>
            <w:tcBorders>
              <w:top w:val="nil"/>
              <w:left w:val="nil"/>
              <w:bottom w:val="nil"/>
              <w:right w:val="nil"/>
            </w:tcBorders>
            <w:shd w:val="clear" w:color="auto" w:fill="auto"/>
            <w:noWrap/>
            <w:tcMar>
              <w:top w:w="15" w:type="dxa"/>
              <w:left w:w="15" w:type="dxa"/>
              <w:right w:w="15" w:type="dxa"/>
            </w:tcMar>
            <w:vAlign w:val="bottom"/>
          </w:tcPr>
          <w:p w14:paraId="1E2D7EB1">
            <w:pPr>
              <w:rPr>
                <w:rFonts w:ascii="Arial" w:hAnsi="Arial"/>
                <w:color w:val="000000"/>
                <w:sz w:val="20"/>
                <w:szCs w:val="20"/>
              </w:rPr>
            </w:pPr>
          </w:p>
        </w:tc>
        <w:tc>
          <w:tcPr>
            <w:tcW w:w="1232" w:type="dxa"/>
            <w:gridSpan w:val="4"/>
            <w:tcBorders>
              <w:top w:val="nil"/>
              <w:left w:val="nil"/>
              <w:bottom w:val="nil"/>
              <w:right w:val="nil"/>
            </w:tcBorders>
            <w:shd w:val="clear" w:color="auto" w:fill="auto"/>
            <w:noWrap/>
            <w:tcMar>
              <w:top w:w="15" w:type="dxa"/>
              <w:left w:w="15" w:type="dxa"/>
              <w:right w:w="15" w:type="dxa"/>
            </w:tcMar>
            <w:vAlign w:val="bottom"/>
          </w:tcPr>
          <w:p w14:paraId="5C32243A">
            <w:pPr>
              <w:rPr>
                <w:rFonts w:ascii="Arial" w:hAnsi="Arial"/>
                <w:color w:val="000000"/>
                <w:sz w:val="20"/>
                <w:szCs w:val="20"/>
              </w:rPr>
            </w:pPr>
          </w:p>
        </w:tc>
        <w:tc>
          <w:tcPr>
            <w:tcW w:w="508" w:type="dxa"/>
            <w:gridSpan w:val="2"/>
            <w:tcBorders>
              <w:top w:val="nil"/>
              <w:left w:val="nil"/>
              <w:bottom w:val="nil"/>
              <w:right w:val="nil"/>
            </w:tcBorders>
            <w:shd w:val="clear" w:color="auto" w:fill="auto"/>
            <w:noWrap/>
            <w:tcMar>
              <w:top w:w="15" w:type="dxa"/>
              <w:left w:w="15" w:type="dxa"/>
              <w:right w:w="15" w:type="dxa"/>
            </w:tcMar>
            <w:vAlign w:val="bottom"/>
          </w:tcPr>
          <w:p w14:paraId="602A7936">
            <w:pPr>
              <w:rPr>
                <w:rFonts w:ascii="Arial" w:hAnsi="Arial"/>
                <w:color w:val="000000"/>
                <w:sz w:val="20"/>
                <w:szCs w:val="20"/>
              </w:rPr>
            </w:pPr>
          </w:p>
        </w:tc>
        <w:tc>
          <w:tcPr>
            <w:tcW w:w="1065" w:type="dxa"/>
            <w:gridSpan w:val="3"/>
            <w:tcBorders>
              <w:top w:val="nil"/>
              <w:left w:val="nil"/>
              <w:bottom w:val="nil"/>
              <w:right w:val="nil"/>
            </w:tcBorders>
            <w:shd w:val="clear" w:color="auto" w:fill="auto"/>
            <w:noWrap/>
            <w:tcMar>
              <w:top w:w="15" w:type="dxa"/>
              <w:left w:w="15" w:type="dxa"/>
              <w:right w:w="15" w:type="dxa"/>
            </w:tcMar>
            <w:vAlign w:val="bottom"/>
          </w:tcPr>
          <w:p w14:paraId="493BB23A">
            <w:pPr>
              <w:rPr>
                <w:rFonts w:ascii="Arial" w:hAnsi="Arial"/>
                <w:color w:val="000000"/>
                <w:sz w:val="20"/>
                <w:szCs w:val="20"/>
              </w:rPr>
            </w:pPr>
          </w:p>
        </w:tc>
        <w:tc>
          <w:tcPr>
            <w:tcW w:w="1071" w:type="dxa"/>
            <w:gridSpan w:val="3"/>
            <w:tcBorders>
              <w:top w:val="nil"/>
              <w:left w:val="nil"/>
              <w:bottom w:val="nil"/>
              <w:right w:val="nil"/>
            </w:tcBorders>
            <w:shd w:val="clear" w:color="auto" w:fill="auto"/>
            <w:noWrap/>
            <w:tcMar>
              <w:top w:w="15" w:type="dxa"/>
              <w:left w:w="15" w:type="dxa"/>
              <w:right w:w="15" w:type="dxa"/>
            </w:tcMar>
            <w:vAlign w:val="bottom"/>
          </w:tcPr>
          <w:p w14:paraId="389A9409">
            <w:pPr>
              <w:rPr>
                <w:rFonts w:ascii="Arial" w:hAnsi="Arial"/>
                <w:color w:val="000000"/>
                <w:sz w:val="20"/>
                <w:szCs w:val="20"/>
              </w:rPr>
            </w:pPr>
          </w:p>
        </w:tc>
        <w:tc>
          <w:tcPr>
            <w:tcW w:w="1437" w:type="dxa"/>
            <w:tcBorders>
              <w:top w:val="nil"/>
              <w:left w:val="nil"/>
              <w:bottom w:val="nil"/>
              <w:right w:val="nil"/>
            </w:tcBorders>
            <w:shd w:val="clear" w:color="auto" w:fill="auto"/>
            <w:noWrap/>
            <w:tcMar>
              <w:top w:w="15" w:type="dxa"/>
              <w:left w:w="15" w:type="dxa"/>
              <w:right w:w="15" w:type="dxa"/>
            </w:tcMar>
            <w:vAlign w:val="bottom"/>
          </w:tcPr>
          <w:p w14:paraId="4E72A17D">
            <w:pPr>
              <w:rPr>
                <w:rFonts w:ascii="Arial" w:hAnsi="Arial"/>
                <w:color w:val="000000"/>
                <w:sz w:val="20"/>
                <w:szCs w:val="20"/>
              </w:rPr>
            </w:pPr>
          </w:p>
        </w:tc>
        <w:tc>
          <w:tcPr>
            <w:tcW w:w="468" w:type="dxa"/>
            <w:tcBorders>
              <w:top w:val="nil"/>
              <w:left w:val="nil"/>
              <w:bottom w:val="nil"/>
              <w:right w:val="nil"/>
            </w:tcBorders>
            <w:shd w:val="clear" w:color="auto" w:fill="auto"/>
            <w:noWrap/>
            <w:tcMar>
              <w:top w:w="15" w:type="dxa"/>
              <w:left w:w="15" w:type="dxa"/>
              <w:right w:w="15" w:type="dxa"/>
            </w:tcMar>
            <w:vAlign w:val="bottom"/>
          </w:tcPr>
          <w:p w14:paraId="32A34D76">
            <w:pPr>
              <w:rPr>
                <w:rFonts w:ascii="Arial" w:hAnsi="Arial"/>
                <w:color w:val="000000"/>
                <w:sz w:val="20"/>
                <w:szCs w:val="20"/>
              </w:rPr>
            </w:pPr>
          </w:p>
        </w:tc>
        <w:tc>
          <w:tcPr>
            <w:tcW w:w="480" w:type="dxa"/>
            <w:tcBorders>
              <w:top w:val="nil"/>
              <w:left w:val="nil"/>
              <w:bottom w:val="nil"/>
              <w:right w:val="nil"/>
            </w:tcBorders>
            <w:shd w:val="clear" w:color="auto" w:fill="auto"/>
            <w:noWrap/>
            <w:tcMar>
              <w:top w:w="15" w:type="dxa"/>
              <w:left w:w="15" w:type="dxa"/>
              <w:right w:w="15" w:type="dxa"/>
            </w:tcMar>
            <w:vAlign w:val="bottom"/>
          </w:tcPr>
          <w:p w14:paraId="4D2562AB">
            <w:pPr>
              <w:rPr>
                <w:rFonts w:ascii="Arial" w:hAnsi="Arial"/>
                <w:color w:val="000000"/>
                <w:sz w:val="20"/>
                <w:szCs w:val="20"/>
              </w:rPr>
            </w:pPr>
          </w:p>
        </w:tc>
        <w:tc>
          <w:tcPr>
            <w:tcW w:w="648" w:type="dxa"/>
            <w:tcBorders>
              <w:top w:val="nil"/>
              <w:left w:val="nil"/>
              <w:bottom w:val="nil"/>
              <w:right w:val="nil"/>
            </w:tcBorders>
            <w:shd w:val="clear" w:color="auto" w:fill="auto"/>
            <w:noWrap/>
            <w:tcMar>
              <w:top w:w="15" w:type="dxa"/>
              <w:left w:w="15" w:type="dxa"/>
              <w:right w:w="15" w:type="dxa"/>
            </w:tcMar>
            <w:vAlign w:val="bottom"/>
          </w:tcPr>
          <w:p w14:paraId="3FA20ED5">
            <w:pPr>
              <w:rPr>
                <w:rFonts w:ascii="Arial" w:hAnsi="Arial"/>
                <w:color w:val="000000"/>
                <w:sz w:val="20"/>
                <w:szCs w:val="20"/>
              </w:rPr>
            </w:pPr>
          </w:p>
        </w:tc>
        <w:tc>
          <w:tcPr>
            <w:tcW w:w="649" w:type="dxa"/>
            <w:tcBorders>
              <w:top w:val="nil"/>
              <w:left w:val="nil"/>
              <w:bottom w:val="nil"/>
              <w:right w:val="nil"/>
            </w:tcBorders>
            <w:shd w:val="clear" w:color="auto" w:fill="auto"/>
            <w:noWrap/>
            <w:tcMar>
              <w:top w:w="15" w:type="dxa"/>
              <w:left w:w="15" w:type="dxa"/>
              <w:right w:w="15" w:type="dxa"/>
            </w:tcMar>
            <w:vAlign w:val="bottom"/>
          </w:tcPr>
          <w:p w14:paraId="017BAACF">
            <w:pPr>
              <w:rPr>
                <w:rFonts w:ascii="Arial" w:hAnsi="Arial"/>
                <w:color w:val="000000"/>
                <w:sz w:val="20"/>
                <w:szCs w:val="20"/>
              </w:rPr>
            </w:pPr>
          </w:p>
        </w:tc>
        <w:tc>
          <w:tcPr>
            <w:tcW w:w="820" w:type="dxa"/>
            <w:tcBorders>
              <w:top w:val="nil"/>
              <w:left w:val="nil"/>
              <w:bottom w:val="nil"/>
              <w:right w:val="nil"/>
            </w:tcBorders>
            <w:shd w:val="clear" w:color="auto" w:fill="auto"/>
            <w:noWrap/>
            <w:tcMar>
              <w:top w:w="15" w:type="dxa"/>
              <w:left w:w="15" w:type="dxa"/>
              <w:right w:w="15" w:type="dxa"/>
            </w:tcMar>
            <w:vAlign w:val="bottom"/>
          </w:tcPr>
          <w:p w14:paraId="2F968E50">
            <w:pPr>
              <w:rPr>
                <w:rFonts w:ascii="Arial" w:hAnsi="Arial"/>
                <w:color w:val="000000"/>
                <w:sz w:val="20"/>
                <w:szCs w:val="20"/>
              </w:rPr>
            </w:pPr>
          </w:p>
        </w:tc>
      </w:tr>
    </w:tbl>
    <w:p w14:paraId="0A35626F">
      <w:pPr>
        <w:pStyle w:val="3"/>
        <w:spacing w:line="560" w:lineRule="exact"/>
        <w:ind w:left="0" w:firstLine="640" w:firstLineChars="200"/>
        <w:jc w:val="both"/>
        <w:rPr>
          <w:spacing w:val="8"/>
          <w:sz w:val="32"/>
          <w:szCs w:val="32"/>
          <w:lang w:eastAsia="zh-CN"/>
        </w:rPr>
      </w:pPr>
      <w:r>
        <w:rPr>
          <w:rFonts w:hint="eastAsia"/>
          <w:sz w:val="32"/>
          <w:szCs w:val="32"/>
          <w:lang w:eastAsia="zh-CN"/>
        </w:rPr>
        <w:t>国门生物安全专项绩效自评综述：</w:t>
      </w:r>
      <w:r>
        <w:rPr>
          <w:spacing w:val="5"/>
          <w:sz w:val="32"/>
          <w:szCs w:val="32"/>
          <w:lang w:eastAsia="zh-CN"/>
        </w:rPr>
        <w:t>根据年初设定的绩效目</w:t>
      </w:r>
      <w:r>
        <w:rPr>
          <w:spacing w:val="6"/>
          <w:sz w:val="32"/>
          <w:szCs w:val="32"/>
          <w:lang w:eastAsia="zh-CN"/>
        </w:rPr>
        <w:t>标，项目自评得分为</w:t>
      </w:r>
      <w:r>
        <w:rPr>
          <w:rFonts w:hint="eastAsia" w:ascii="Times New Roman" w:eastAsia="宋体" w:cs="Times New Roman"/>
          <w:spacing w:val="9"/>
          <w:sz w:val="32"/>
          <w:szCs w:val="32"/>
          <w:lang w:eastAsia="zh-CN"/>
        </w:rPr>
        <w:t>100</w:t>
      </w:r>
      <w:r>
        <w:rPr>
          <w:spacing w:val="6"/>
          <w:sz w:val="32"/>
          <w:szCs w:val="32"/>
          <w:lang w:eastAsia="zh-CN"/>
        </w:rPr>
        <w:t>分。</w:t>
      </w:r>
      <w:r>
        <w:rPr>
          <w:rFonts w:hint="eastAsia"/>
          <w:spacing w:val="6"/>
          <w:sz w:val="32"/>
          <w:szCs w:val="32"/>
          <w:lang w:eastAsia="zh-CN"/>
        </w:rPr>
        <w:t>我关</w:t>
      </w:r>
      <w:r>
        <w:rPr>
          <w:spacing w:val="6"/>
          <w:sz w:val="32"/>
          <w:szCs w:val="32"/>
          <w:lang w:eastAsia="zh-CN"/>
        </w:rPr>
        <w:t>全年预算数</w:t>
      </w:r>
      <w:r>
        <w:rPr>
          <w:rFonts w:hint="eastAsia" w:ascii="Times New Roman" w:eastAsia="宋体" w:cs="Times New Roman"/>
          <w:spacing w:val="9"/>
          <w:sz w:val="32"/>
          <w:szCs w:val="32"/>
          <w:lang w:eastAsia="zh-CN"/>
        </w:rPr>
        <w:t>1.10</w:t>
      </w:r>
      <w:r>
        <w:rPr>
          <w:spacing w:val="6"/>
          <w:sz w:val="32"/>
          <w:szCs w:val="32"/>
          <w:lang w:eastAsia="zh-CN"/>
        </w:rPr>
        <w:t>万元，执行数为</w:t>
      </w:r>
      <w:r>
        <w:rPr>
          <w:rFonts w:hint="eastAsia" w:ascii="Times New Roman" w:eastAsia="宋体" w:cs="Times New Roman"/>
          <w:spacing w:val="9"/>
          <w:sz w:val="32"/>
          <w:szCs w:val="32"/>
          <w:lang w:eastAsia="zh-CN"/>
        </w:rPr>
        <w:t>1.10</w:t>
      </w:r>
      <w:r>
        <w:rPr>
          <w:spacing w:val="8"/>
          <w:sz w:val="32"/>
          <w:szCs w:val="32"/>
          <w:lang w:eastAsia="zh-CN"/>
        </w:rPr>
        <w:t>万元，完成预算的</w:t>
      </w:r>
      <w:r>
        <w:rPr>
          <w:rFonts w:hint="eastAsia" w:ascii="Times New Roman" w:eastAsia="宋体" w:cs="Times New Roman"/>
          <w:spacing w:val="9"/>
          <w:sz w:val="32"/>
          <w:szCs w:val="32"/>
          <w:lang w:eastAsia="zh-CN"/>
        </w:rPr>
        <w:t>100</w:t>
      </w:r>
      <w:r>
        <w:rPr>
          <w:rFonts w:ascii="Times New Roman" w:eastAsia="Times New Roman" w:cs="Times New Roman"/>
          <w:spacing w:val="9"/>
          <w:sz w:val="32"/>
          <w:szCs w:val="32"/>
          <w:lang w:eastAsia="zh-CN"/>
        </w:rPr>
        <w:t>%</w:t>
      </w:r>
      <w:r>
        <w:rPr>
          <w:spacing w:val="8"/>
          <w:sz w:val="32"/>
          <w:szCs w:val="32"/>
          <w:lang w:eastAsia="zh-CN"/>
        </w:rPr>
        <w:t>。项目绩效目标完成情况：</w:t>
      </w:r>
      <w:r>
        <w:rPr>
          <w:rFonts w:hint="eastAsia"/>
          <w:spacing w:val="8"/>
          <w:sz w:val="32"/>
          <w:szCs w:val="32"/>
          <w:lang w:eastAsia="zh-CN"/>
        </w:rPr>
        <w:t>严把动植物检疫关，制定年度国门生物安全健康预警方案；开展国门生物安全宣传；完成国外疫情动植检疫情信息报送，加强疫情提前预判国门生物安全监测鉴定。</w:t>
      </w:r>
    </w:p>
    <w:tbl>
      <w:tblPr>
        <w:tblStyle w:val="10"/>
        <w:tblW w:w="9940" w:type="dxa"/>
        <w:tblInd w:w="0" w:type="dxa"/>
        <w:tblLayout w:type="fixed"/>
        <w:tblCellMar>
          <w:top w:w="0" w:type="dxa"/>
          <w:left w:w="0" w:type="dxa"/>
          <w:bottom w:w="0" w:type="dxa"/>
          <w:right w:w="0" w:type="dxa"/>
        </w:tblCellMar>
      </w:tblPr>
      <w:tblGrid>
        <w:gridCol w:w="349"/>
        <w:gridCol w:w="77"/>
        <w:gridCol w:w="404"/>
        <w:gridCol w:w="536"/>
        <w:gridCol w:w="110"/>
        <w:gridCol w:w="556"/>
        <w:gridCol w:w="538"/>
        <w:gridCol w:w="59"/>
        <w:gridCol w:w="441"/>
        <w:gridCol w:w="153"/>
        <w:gridCol w:w="601"/>
        <w:gridCol w:w="246"/>
        <w:gridCol w:w="233"/>
        <w:gridCol w:w="60"/>
        <w:gridCol w:w="293"/>
        <w:gridCol w:w="682"/>
        <w:gridCol w:w="1472"/>
        <w:gridCol w:w="480"/>
        <w:gridCol w:w="481"/>
        <w:gridCol w:w="664"/>
        <w:gridCol w:w="664"/>
        <w:gridCol w:w="841"/>
      </w:tblGrid>
      <w:tr w14:paraId="02721653">
        <w:tblPrEx>
          <w:tblCellMar>
            <w:top w:w="0" w:type="dxa"/>
            <w:left w:w="0" w:type="dxa"/>
            <w:bottom w:w="0" w:type="dxa"/>
            <w:right w:w="0" w:type="dxa"/>
          </w:tblCellMar>
        </w:tblPrEx>
        <w:trPr>
          <w:trHeight w:val="426" w:hRule="atLeast"/>
        </w:trPr>
        <w:tc>
          <w:tcPr>
            <w:tcW w:w="9099" w:type="dxa"/>
            <w:gridSpan w:val="21"/>
            <w:tcBorders>
              <w:top w:val="nil"/>
              <w:left w:val="nil"/>
              <w:bottom w:val="nil"/>
              <w:right w:val="nil"/>
            </w:tcBorders>
            <w:shd w:val="clear" w:color="auto" w:fill="auto"/>
            <w:noWrap/>
            <w:tcMar>
              <w:top w:w="15" w:type="dxa"/>
              <w:left w:w="15" w:type="dxa"/>
              <w:right w:w="15" w:type="dxa"/>
            </w:tcMar>
            <w:vAlign w:val="center"/>
          </w:tcPr>
          <w:p w14:paraId="75666EB8">
            <w:pPr>
              <w:widowControl/>
              <w:jc w:val="center"/>
              <w:textAlignment w:val="center"/>
              <w:rPr>
                <w:rFonts w:ascii="宋体" w:hAnsi="宋体" w:eastAsia="宋体" w:cs="宋体"/>
                <w:b/>
                <w:color w:val="000000"/>
                <w:sz w:val="32"/>
                <w:szCs w:val="32"/>
                <w:lang w:eastAsia="zh-CN"/>
              </w:rPr>
            </w:pPr>
            <w:r>
              <w:rPr>
                <w:rFonts w:hint="eastAsia" w:ascii="宋体" w:hAnsi="宋体" w:eastAsia="宋体" w:cs="宋体"/>
                <w:b/>
                <w:bCs/>
                <w:color w:val="000000"/>
                <w:sz w:val="32"/>
                <w:szCs w:val="32"/>
                <w:lang w:eastAsia="zh-CN"/>
              </w:rPr>
              <w:t>国门生物安全专项项目绩效自评表</w:t>
            </w:r>
          </w:p>
        </w:tc>
        <w:tc>
          <w:tcPr>
            <w:tcW w:w="841" w:type="dxa"/>
            <w:tcBorders>
              <w:top w:val="nil"/>
              <w:left w:val="nil"/>
              <w:bottom w:val="nil"/>
              <w:right w:val="nil"/>
            </w:tcBorders>
            <w:shd w:val="clear" w:color="auto" w:fill="auto"/>
            <w:noWrap/>
            <w:tcMar>
              <w:top w:w="15" w:type="dxa"/>
              <w:left w:w="15" w:type="dxa"/>
              <w:right w:w="15" w:type="dxa"/>
            </w:tcMar>
            <w:vAlign w:val="bottom"/>
          </w:tcPr>
          <w:p w14:paraId="51C6DFE0">
            <w:pPr>
              <w:rPr>
                <w:rFonts w:ascii="Arial" w:hAnsi="Arial"/>
                <w:color w:val="000000"/>
                <w:sz w:val="20"/>
                <w:szCs w:val="20"/>
                <w:lang w:eastAsia="zh-CN"/>
              </w:rPr>
            </w:pPr>
          </w:p>
        </w:tc>
      </w:tr>
      <w:tr w14:paraId="53F7ADBF">
        <w:tblPrEx>
          <w:tblCellMar>
            <w:top w:w="0" w:type="dxa"/>
            <w:left w:w="0" w:type="dxa"/>
            <w:bottom w:w="0" w:type="dxa"/>
            <w:right w:w="0" w:type="dxa"/>
          </w:tblCellMar>
        </w:tblPrEx>
        <w:trPr>
          <w:trHeight w:val="294" w:hRule="atLeast"/>
        </w:trPr>
        <w:tc>
          <w:tcPr>
            <w:tcW w:w="9099" w:type="dxa"/>
            <w:gridSpan w:val="21"/>
            <w:tcBorders>
              <w:top w:val="nil"/>
              <w:left w:val="nil"/>
              <w:bottom w:val="nil"/>
              <w:right w:val="nil"/>
            </w:tcBorders>
            <w:shd w:val="clear" w:color="auto" w:fill="auto"/>
            <w:noWrap/>
            <w:tcMar>
              <w:top w:w="15" w:type="dxa"/>
              <w:left w:w="15" w:type="dxa"/>
              <w:right w:w="15" w:type="dxa"/>
            </w:tcMar>
            <w:vAlign w:val="center"/>
          </w:tcPr>
          <w:p w14:paraId="51E96381">
            <w:pPr>
              <w:widowControl/>
              <w:jc w:val="center"/>
              <w:textAlignment w:val="center"/>
              <w:rPr>
                <w:rFonts w:ascii="宋体" w:hAnsi="宋体" w:eastAsia="宋体" w:cs="宋体"/>
                <w:color w:val="000000"/>
              </w:rPr>
            </w:pPr>
            <w:r>
              <w:rPr>
                <w:rFonts w:hint="eastAsia" w:ascii="宋体" w:hAnsi="宋体" w:eastAsia="宋体" w:cs="宋体"/>
                <w:color w:val="000000"/>
                <w:lang w:eastAsia="zh-CN"/>
              </w:rPr>
              <w:t>（2025年度）</w:t>
            </w:r>
          </w:p>
        </w:tc>
        <w:tc>
          <w:tcPr>
            <w:tcW w:w="841" w:type="dxa"/>
            <w:tcBorders>
              <w:top w:val="nil"/>
              <w:left w:val="nil"/>
              <w:bottom w:val="nil"/>
              <w:right w:val="nil"/>
            </w:tcBorders>
            <w:shd w:val="clear" w:color="auto" w:fill="auto"/>
            <w:noWrap/>
            <w:tcMar>
              <w:top w:w="15" w:type="dxa"/>
              <w:left w:w="15" w:type="dxa"/>
              <w:right w:w="15" w:type="dxa"/>
            </w:tcMar>
            <w:vAlign w:val="bottom"/>
          </w:tcPr>
          <w:p w14:paraId="673D8958">
            <w:pPr>
              <w:rPr>
                <w:rFonts w:ascii="Arial" w:hAnsi="Arial"/>
                <w:color w:val="000000"/>
                <w:sz w:val="20"/>
                <w:szCs w:val="20"/>
              </w:rPr>
            </w:pPr>
          </w:p>
        </w:tc>
      </w:tr>
      <w:tr w14:paraId="70666D72">
        <w:tblPrEx>
          <w:tblCellMar>
            <w:top w:w="0" w:type="dxa"/>
            <w:left w:w="0" w:type="dxa"/>
            <w:bottom w:w="0" w:type="dxa"/>
            <w:right w:w="0" w:type="dxa"/>
          </w:tblCellMar>
        </w:tblPrEx>
        <w:trPr>
          <w:trHeight w:val="265" w:hRule="atLeast"/>
        </w:trPr>
        <w:tc>
          <w:tcPr>
            <w:tcW w:w="349" w:type="dxa"/>
            <w:tcBorders>
              <w:top w:val="nil"/>
              <w:left w:val="nil"/>
              <w:bottom w:val="nil"/>
              <w:right w:val="nil"/>
            </w:tcBorders>
            <w:shd w:val="clear" w:color="auto" w:fill="auto"/>
            <w:noWrap/>
            <w:tcMar>
              <w:top w:w="15" w:type="dxa"/>
              <w:left w:w="15" w:type="dxa"/>
              <w:right w:w="15" w:type="dxa"/>
            </w:tcMar>
            <w:vAlign w:val="bottom"/>
          </w:tcPr>
          <w:p w14:paraId="3613D90B">
            <w:pPr>
              <w:rPr>
                <w:rFonts w:ascii="Arial" w:hAnsi="Arial"/>
                <w:color w:val="000000"/>
                <w:sz w:val="20"/>
                <w:szCs w:val="20"/>
              </w:rPr>
            </w:pPr>
          </w:p>
        </w:tc>
        <w:tc>
          <w:tcPr>
            <w:tcW w:w="481" w:type="dxa"/>
            <w:gridSpan w:val="2"/>
            <w:tcBorders>
              <w:top w:val="nil"/>
              <w:left w:val="nil"/>
              <w:bottom w:val="nil"/>
              <w:right w:val="nil"/>
            </w:tcBorders>
            <w:shd w:val="clear" w:color="auto" w:fill="auto"/>
            <w:noWrap/>
            <w:tcMar>
              <w:top w:w="15" w:type="dxa"/>
              <w:left w:w="15" w:type="dxa"/>
              <w:right w:w="15" w:type="dxa"/>
            </w:tcMar>
            <w:vAlign w:val="bottom"/>
          </w:tcPr>
          <w:p w14:paraId="0651613B">
            <w:pPr>
              <w:rPr>
                <w:rFonts w:ascii="Arial" w:hAnsi="Arial"/>
                <w:color w:val="000000"/>
                <w:sz w:val="20"/>
                <w:szCs w:val="20"/>
              </w:rPr>
            </w:pPr>
          </w:p>
        </w:tc>
        <w:tc>
          <w:tcPr>
            <w:tcW w:w="646" w:type="dxa"/>
            <w:gridSpan w:val="2"/>
            <w:tcBorders>
              <w:top w:val="nil"/>
              <w:left w:val="nil"/>
              <w:bottom w:val="nil"/>
              <w:right w:val="nil"/>
            </w:tcBorders>
            <w:shd w:val="clear" w:color="auto" w:fill="auto"/>
            <w:noWrap/>
            <w:tcMar>
              <w:top w:w="15" w:type="dxa"/>
              <w:left w:w="15" w:type="dxa"/>
              <w:right w:w="15" w:type="dxa"/>
            </w:tcMar>
            <w:vAlign w:val="bottom"/>
          </w:tcPr>
          <w:p w14:paraId="37FD92F8">
            <w:pPr>
              <w:rPr>
                <w:rFonts w:ascii="Arial" w:hAnsi="Arial"/>
                <w:color w:val="000000"/>
                <w:sz w:val="20"/>
                <w:szCs w:val="20"/>
              </w:rPr>
            </w:pPr>
          </w:p>
        </w:tc>
        <w:tc>
          <w:tcPr>
            <w:tcW w:w="556" w:type="dxa"/>
            <w:tcBorders>
              <w:top w:val="nil"/>
              <w:left w:val="nil"/>
              <w:bottom w:val="nil"/>
              <w:right w:val="nil"/>
            </w:tcBorders>
            <w:shd w:val="clear" w:color="auto" w:fill="auto"/>
            <w:noWrap/>
            <w:tcMar>
              <w:top w:w="15" w:type="dxa"/>
              <w:left w:w="15" w:type="dxa"/>
              <w:right w:w="15" w:type="dxa"/>
            </w:tcMar>
            <w:vAlign w:val="bottom"/>
          </w:tcPr>
          <w:p w14:paraId="60DEFE99"/>
        </w:tc>
        <w:tc>
          <w:tcPr>
            <w:tcW w:w="538" w:type="dxa"/>
            <w:tcBorders>
              <w:top w:val="nil"/>
              <w:left w:val="nil"/>
              <w:bottom w:val="nil"/>
              <w:right w:val="nil"/>
            </w:tcBorders>
            <w:shd w:val="clear" w:color="auto" w:fill="auto"/>
            <w:noWrap/>
            <w:tcMar>
              <w:top w:w="15" w:type="dxa"/>
              <w:left w:w="15" w:type="dxa"/>
              <w:right w:w="15" w:type="dxa"/>
            </w:tcMar>
            <w:vAlign w:val="bottom"/>
          </w:tcPr>
          <w:p w14:paraId="7FD31085"/>
        </w:tc>
        <w:tc>
          <w:tcPr>
            <w:tcW w:w="500" w:type="dxa"/>
            <w:gridSpan w:val="2"/>
            <w:tcBorders>
              <w:top w:val="nil"/>
              <w:left w:val="nil"/>
              <w:bottom w:val="nil"/>
              <w:right w:val="nil"/>
            </w:tcBorders>
            <w:shd w:val="clear" w:color="auto" w:fill="auto"/>
            <w:noWrap/>
            <w:tcMar>
              <w:top w:w="15" w:type="dxa"/>
              <w:left w:w="15" w:type="dxa"/>
              <w:right w:w="15" w:type="dxa"/>
            </w:tcMar>
            <w:vAlign w:val="bottom"/>
          </w:tcPr>
          <w:p w14:paraId="6906FB18">
            <w:pPr>
              <w:rPr>
                <w:rFonts w:ascii="Arial" w:hAnsi="Arial"/>
                <w:color w:val="000000"/>
                <w:sz w:val="20"/>
                <w:szCs w:val="20"/>
              </w:rPr>
            </w:pPr>
          </w:p>
        </w:tc>
        <w:tc>
          <w:tcPr>
            <w:tcW w:w="754" w:type="dxa"/>
            <w:gridSpan w:val="2"/>
            <w:tcBorders>
              <w:top w:val="nil"/>
              <w:left w:val="nil"/>
              <w:bottom w:val="nil"/>
              <w:right w:val="nil"/>
            </w:tcBorders>
            <w:shd w:val="clear" w:color="auto" w:fill="auto"/>
            <w:noWrap/>
            <w:tcMar>
              <w:top w:w="15" w:type="dxa"/>
              <w:left w:w="15" w:type="dxa"/>
              <w:right w:w="15" w:type="dxa"/>
            </w:tcMar>
            <w:vAlign w:val="bottom"/>
          </w:tcPr>
          <w:p w14:paraId="16D59BB5">
            <w:pPr>
              <w:rPr>
                <w:rFonts w:ascii="Arial" w:hAnsi="Arial"/>
                <w:color w:val="000000"/>
                <w:sz w:val="20"/>
                <w:szCs w:val="20"/>
              </w:rPr>
            </w:pPr>
          </w:p>
        </w:tc>
        <w:tc>
          <w:tcPr>
            <w:tcW w:w="246" w:type="dxa"/>
            <w:tcBorders>
              <w:top w:val="nil"/>
              <w:left w:val="nil"/>
              <w:bottom w:val="nil"/>
              <w:right w:val="nil"/>
            </w:tcBorders>
            <w:shd w:val="clear" w:color="auto" w:fill="auto"/>
            <w:noWrap/>
            <w:tcMar>
              <w:top w:w="15" w:type="dxa"/>
              <w:left w:w="15" w:type="dxa"/>
              <w:right w:w="15" w:type="dxa"/>
            </w:tcMar>
            <w:vAlign w:val="bottom"/>
          </w:tcPr>
          <w:p w14:paraId="3C0F5486"/>
        </w:tc>
        <w:tc>
          <w:tcPr>
            <w:tcW w:w="293" w:type="dxa"/>
            <w:gridSpan w:val="2"/>
            <w:tcBorders>
              <w:top w:val="nil"/>
              <w:left w:val="nil"/>
              <w:bottom w:val="nil"/>
              <w:right w:val="nil"/>
            </w:tcBorders>
            <w:shd w:val="clear" w:color="auto" w:fill="auto"/>
            <w:noWrap/>
            <w:tcMar>
              <w:top w:w="15" w:type="dxa"/>
              <w:left w:w="15" w:type="dxa"/>
              <w:right w:w="15" w:type="dxa"/>
            </w:tcMar>
            <w:vAlign w:val="bottom"/>
          </w:tcPr>
          <w:p w14:paraId="169F853E">
            <w:pPr>
              <w:rPr>
                <w:rFonts w:ascii="Arial" w:hAnsi="Arial"/>
                <w:color w:val="000000"/>
                <w:sz w:val="20"/>
                <w:szCs w:val="20"/>
              </w:rPr>
            </w:pPr>
          </w:p>
        </w:tc>
        <w:tc>
          <w:tcPr>
            <w:tcW w:w="293" w:type="dxa"/>
            <w:tcBorders>
              <w:top w:val="nil"/>
              <w:left w:val="nil"/>
              <w:bottom w:val="nil"/>
              <w:right w:val="nil"/>
            </w:tcBorders>
            <w:shd w:val="clear" w:color="auto" w:fill="auto"/>
            <w:noWrap/>
            <w:tcMar>
              <w:top w:w="15" w:type="dxa"/>
              <w:left w:w="15" w:type="dxa"/>
              <w:right w:w="15" w:type="dxa"/>
            </w:tcMar>
            <w:vAlign w:val="bottom"/>
          </w:tcPr>
          <w:p w14:paraId="7EBE856D"/>
        </w:tc>
        <w:tc>
          <w:tcPr>
            <w:tcW w:w="4443" w:type="dxa"/>
            <w:gridSpan w:val="6"/>
            <w:tcBorders>
              <w:top w:val="nil"/>
              <w:left w:val="nil"/>
              <w:bottom w:val="nil"/>
              <w:right w:val="nil"/>
            </w:tcBorders>
            <w:shd w:val="clear" w:color="auto" w:fill="auto"/>
            <w:noWrap/>
            <w:tcMar>
              <w:top w:w="15" w:type="dxa"/>
              <w:left w:w="15" w:type="dxa"/>
              <w:right w:w="15" w:type="dxa"/>
            </w:tcMar>
            <w:vAlign w:val="bottom"/>
          </w:tcPr>
          <w:p w14:paraId="53E05260">
            <w:pPr>
              <w:rPr>
                <w:rFonts w:ascii="Arial" w:hAnsi="Arial"/>
                <w:color w:val="000000"/>
                <w:sz w:val="20"/>
                <w:szCs w:val="20"/>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32E18DE8">
            <w:pPr>
              <w:rPr>
                <w:rFonts w:ascii="Arial" w:hAnsi="Arial"/>
                <w:color w:val="000000"/>
                <w:sz w:val="20"/>
                <w:szCs w:val="20"/>
              </w:rPr>
            </w:pPr>
          </w:p>
        </w:tc>
      </w:tr>
      <w:tr w14:paraId="3351D576">
        <w:tblPrEx>
          <w:tblCellMar>
            <w:top w:w="0" w:type="dxa"/>
            <w:left w:w="0" w:type="dxa"/>
            <w:bottom w:w="0" w:type="dxa"/>
            <w:right w:w="0" w:type="dxa"/>
          </w:tblCellMar>
        </w:tblPrEx>
        <w:trPr>
          <w:trHeight w:val="397" w:hRule="atLeast"/>
        </w:trPr>
        <w:tc>
          <w:tcPr>
            <w:tcW w:w="8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C1D4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项目名称</w:t>
            </w:r>
          </w:p>
        </w:tc>
        <w:tc>
          <w:tcPr>
            <w:tcW w:w="8269"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5634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国门生物安全专项</w:t>
            </w:r>
          </w:p>
        </w:tc>
        <w:tc>
          <w:tcPr>
            <w:tcW w:w="841" w:type="dxa"/>
            <w:tcBorders>
              <w:top w:val="nil"/>
              <w:left w:val="nil"/>
              <w:bottom w:val="nil"/>
              <w:right w:val="nil"/>
            </w:tcBorders>
            <w:shd w:val="clear" w:color="auto" w:fill="auto"/>
            <w:noWrap/>
            <w:tcMar>
              <w:top w:w="15" w:type="dxa"/>
              <w:left w:w="15" w:type="dxa"/>
              <w:right w:w="15" w:type="dxa"/>
            </w:tcMar>
            <w:vAlign w:val="bottom"/>
          </w:tcPr>
          <w:p w14:paraId="3DDAE0AB">
            <w:pPr>
              <w:rPr>
                <w:rFonts w:ascii="Arial" w:hAnsi="Arial"/>
                <w:color w:val="000000"/>
                <w:sz w:val="20"/>
                <w:szCs w:val="20"/>
              </w:rPr>
            </w:pPr>
          </w:p>
        </w:tc>
      </w:tr>
      <w:tr w14:paraId="2FA2CB2F">
        <w:tblPrEx>
          <w:tblCellMar>
            <w:top w:w="0" w:type="dxa"/>
            <w:left w:w="0" w:type="dxa"/>
            <w:bottom w:w="0" w:type="dxa"/>
            <w:right w:w="0" w:type="dxa"/>
          </w:tblCellMar>
        </w:tblPrEx>
        <w:trPr>
          <w:trHeight w:val="397" w:hRule="atLeast"/>
        </w:trPr>
        <w:tc>
          <w:tcPr>
            <w:tcW w:w="8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5CF7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主管部门</w:t>
            </w:r>
          </w:p>
        </w:tc>
        <w:tc>
          <w:tcPr>
            <w:tcW w:w="17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724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[167] 海关总署</w:t>
            </w:r>
          </w:p>
        </w:tc>
        <w:tc>
          <w:tcPr>
            <w:tcW w:w="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3ED66">
            <w:pPr>
              <w:widowControl/>
              <w:jc w:val="center"/>
              <w:textAlignment w:val="center"/>
            </w:pPr>
            <w:r>
              <w:rPr>
                <w:rFonts w:hint="eastAsia" w:ascii="宋体" w:hAnsi="宋体" w:eastAsia="宋体" w:cs="宋体"/>
                <w:color w:val="000000"/>
                <w:sz w:val="18"/>
                <w:szCs w:val="18"/>
                <w:lang w:eastAsia="zh-CN"/>
              </w:rPr>
              <w:t>实施单位</w:t>
            </w:r>
          </w:p>
        </w:tc>
        <w:tc>
          <w:tcPr>
            <w:tcW w:w="60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30980">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中华人民共和国丽水海关</w:t>
            </w:r>
          </w:p>
        </w:tc>
        <w:tc>
          <w:tcPr>
            <w:tcW w:w="841" w:type="dxa"/>
            <w:tcBorders>
              <w:top w:val="nil"/>
              <w:left w:val="nil"/>
              <w:bottom w:val="nil"/>
              <w:right w:val="nil"/>
            </w:tcBorders>
            <w:shd w:val="clear" w:color="auto" w:fill="auto"/>
            <w:noWrap/>
            <w:tcMar>
              <w:top w:w="15" w:type="dxa"/>
              <w:left w:w="15" w:type="dxa"/>
              <w:right w:w="15" w:type="dxa"/>
            </w:tcMar>
            <w:vAlign w:val="bottom"/>
          </w:tcPr>
          <w:p w14:paraId="25AE3997">
            <w:pPr>
              <w:rPr>
                <w:rFonts w:ascii="Arial" w:hAnsi="Arial"/>
                <w:color w:val="000000"/>
                <w:sz w:val="20"/>
                <w:szCs w:val="20"/>
                <w:lang w:eastAsia="zh-CN"/>
              </w:rPr>
            </w:pPr>
          </w:p>
        </w:tc>
      </w:tr>
      <w:tr w14:paraId="59C7F63B">
        <w:tblPrEx>
          <w:tblCellMar>
            <w:top w:w="0" w:type="dxa"/>
            <w:left w:w="0" w:type="dxa"/>
            <w:bottom w:w="0" w:type="dxa"/>
            <w:right w:w="0" w:type="dxa"/>
          </w:tblCellMar>
        </w:tblPrEx>
        <w:trPr>
          <w:trHeight w:val="397" w:hRule="atLeast"/>
        </w:trPr>
        <w:tc>
          <w:tcPr>
            <w:tcW w:w="8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270B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项目资金</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（万元）</w:t>
            </w: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43D70">
            <w:pPr>
              <w:jc w:val="center"/>
              <w:rPr>
                <w:rFonts w:ascii="宋体" w:hAnsi="宋体" w:eastAsia="宋体" w:cs="宋体"/>
                <w:color w:val="000000"/>
                <w:sz w:val="18"/>
                <w:szCs w:val="18"/>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3102D">
            <w:pPr>
              <w:widowControl/>
              <w:jc w:val="center"/>
              <w:textAlignment w:val="center"/>
            </w:pPr>
            <w:r>
              <w:rPr>
                <w:rFonts w:hint="eastAsia" w:ascii="宋体" w:hAnsi="宋体" w:eastAsia="宋体" w:cs="宋体"/>
                <w:color w:val="000000"/>
                <w:sz w:val="18"/>
                <w:szCs w:val="18"/>
                <w:lang w:eastAsia="zh-CN"/>
              </w:rPr>
              <w:t>年初预算数</w:t>
            </w:r>
          </w:p>
        </w:tc>
        <w:tc>
          <w:tcPr>
            <w:tcW w:w="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0B1E7">
            <w:pPr>
              <w:widowControl/>
              <w:jc w:val="center"/>
              <w:textAlignment w:val="center"/>
            </w:pPr>
            <w:r>
              <w:rPr>
                <w:rFonts w:hint="eastAsia" w:ascii="宋体" w:hAnsi="宋体" w:eastAsia="宋体" w:cs="宋体"/>
                <w:color w:val="000000"/>
                <w:sz w:val="18"/>
                <w:szCs w:val="18"/>
                <w:lang w:eastAsia="zh-CN"/>
              </w:rPr>
              <w:t>全年预算数</w:t>
            </w:r>
          </w:p>
        </w:tc>
        <w:tc>
          <w:tcPr>
            <w:tcW w:w="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6D4D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全年执行数</w:t>
            </w:r>
          </w:p>
        </w:tc>
        <w:tc>
          <w:tcPr>
            <w:tcW w:w="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7BEE2">
            <w:pPr>
              <w:widowControl/>
              <w:jc w:val="center"/>
              <w:textAlignment w:val="center"/>
            </w:pPr>
            <w:r>
              <w:rPr>
                <w:rFonts w:hint="eastAsia" w:ascii="宋体" w:hAnsi="宋体" w:eastAsia="宋体" w:cs="宋体"/>
                <w:color w:val="000000"/>
                <w:sz w:val="18"/>
                <w:szCs w:val="18"/>
                <w:lang w:eastAsia="zh-CN"/>
              </w:rPr>
              <w:t>分值</w:t>
            </w:r>
          </w:p>
        </w:tc>
        <w:tc>
          <w:tcPr>
            <w:tcW w:w="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C004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执行率</w:t>
            </w:r>
          </w:p>
        </w:tc>
        <w:tc>
          <w:tcPr>
            <w:tcW w:w="44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CEE5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得分</w:t>
            </w:r>
          </w:p>
        </w:tc>
        <w:tc>
          <w:tcPr>
            <w:tcW w:w="841" w:type="dxa"/>
            <w:tcBorders>
              <w:top w:val="nil"/>
              <w:left w:val="nil"/>
              <w:bottom w:val="nil"/>
              <w:right w:val="nil"/>
            </w:tcBorders>
            <w:shd w:val="clear" w:color="auto" w:fill="auto"/>
            <w:noWrap/>
            <w:tcMar>
              <w:top w:w="15" w:type="dxa"/>
              <w:left w:w="15" w:type="dxa"/>
              <w:right w:w="15" w:type="dxa"/>
            </w:tcMar>
            <w:vAlign w:val="bottom"/>
          </w:tcPr>
          <w:p w14:paraId="3E56C951">
            <w:pPr>
              <w:rPr>
                <w:rFonts w:ascii="Arial" w:hAnsi="Arial"/>
                <w:color w:val="000000"/>
                <w:sz w:val="20"/>
                <w:szCs w:val="20"/>
              </w:rPr>
            </w:pPr>
          </w:p>
        </w:tc>
      </w:tr>
      <w:tr w14:paraId="0C5F917D">
        <w:tblPrEx>
          <w:tblCellMar>
            <w:top w:w="0" w:type="dxa"/>
            <w:left w:w="0" w:type="dxa"/>
            <w:bottom w:w="0" w:type="dxa"/>
            <w:right w:w="0" w:type="dxa"/>
          </w:tblCellMar>
        </w:tblPrEx>
        <w:trPr>
          <w:trHeight w:val="397" w:hRule="atLeast"/>
        </w:trPr>
        <w:tc>
          <w:tcPr>
            <w:tcW w:w="8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2F74E">
            <w:pPr>
              <w:jc w:val="center"/>
              <w:rPr>
                <w:rFonts w:ascii="宋体" w:hAnsi="宋体" w:eastAsia="宋体" w:cs="宋体"/>
                <w:color w:val="000000"/>
                <w:sz w:val="18"/>
                <w:szCs w:val="18"/>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D1B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年度资金总额：</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BE433">
            <w:pPr>
              <w:widowControl/>
              <w:jc w:val="center"/>
              <w:textAlignment w:val="center"/>
            </w:pPr>
            <w:r>
              <w:rPr>
                <w:rFonts w:hint="eastAsia" w:ascii="宋体" w:hAnsi="宋体" w:eastAsia="宋体" w:cs="宋体"/>
                <w:color w:val="000000"/>
                <w:sz w:val="18"/>
                <w:szCs w:val="18"/>
                <w:lang w:eastAsia="zh-CN"/>
              </w:rPr>
              <w:t>1.10</w:t>
            </w:r>
          </w:p>
        </w:tc>
        <w:tc>
          <w:tcPr>
            <w:tcW w:w="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02476">
            <w:pPr>
              <w:widowControl/>
              <w:jc w:val="center"/>
              <w:textAlignment w:val="center"/>
            </w:pPr>
            <w:r>
              <w:rPr>
                <w:rFonts w:hint="eastAsia" w:ascii="宋体" w:hAnsi="宋体" w:eastAsia="宋体" w:cs="宋体"/>
                <w:color w:val="000000"/>
                <w:sz w:val="18"/>
                <w:szCs w:val="18"/>
                <w:lang w:eastAsia="zh-CN"/>
              </w:rPr>
              <w:t>1.10</w:t>
            </w:r>
          </w:p>
        </w:tc>
        <w:tc>
          <w:tcPr>
            <w:tcW w:w="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FC03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1.10</w:t>
            </w:r>
          </w:p>
        </w:tc>
        <w:tc>
          <w:tcPr>
            <w:tcW w:w="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E0F04">
            <w:pPr>
              <w:widowControl/>
              <w:jc w:val="center"/>
              <w:textAlignment w:val="center"/>
            </w:pPr>
            <w:r>
              <w:rPr>
                <w:rFonts w:hint="eastAsia" w:ascii="宋体" w:hAnsi="宋体" w:eastAsia="宋体" w:cs="宋体"/>
                <w:color w:val="000000"/>
                <w:sz w:val="18"/>
                <w:szCs w:val="18"/>
                <w:lang w:eastAsia="zh-CN"/>
              </w:rPr>
              <w:t>10.0</w:t>
            </w:r>
          </w:p>
        </w:tc>
        <w:tc>
          <w:tcPr>
            <w:tcW w:w="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8944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w:t>
            </w:r>
          </w:p>
        </w:tc>
        <w:tc>
          <w:tcPr>
            <w:tcW w:w="44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8F20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841" w:type="dxa"/>
            <w:tcBorders>
              <w:top w:val="nil"/>
              <w:left w:val="nil"/>
              <w:bottom w:val="nil"/>
              <w:right w:val="nil"/>
            </w:tcBorders>
            <w:shd w:val="clear" w:color="auto" w:fill="auto"/>
            <w:noWrap/>
            <w:tcMar>
              <w:top w:w="15" w:type="dxa"/>
              <w:left w:w="15" w:type="dxa"/>
              <w:right w:w="15" w:type="dxa"/>
            </w:tcMar>
            <w:vAlign w:val="bottom"/>
          </w:tcPr>
          <w:p w14:paraId="2A8BCD3D">
            <w:pPr>
              <w:rPr>
                <w:rFonts w:ascii="Arial" w:hAnsi="Arial"/>
                <w:color w:val="000000"/>
                <w:sz w:val="20"/>
                <w:szCs w:val="20"/>
              </w:rPr>
            </w:pPr>
          </w:p>
        </w:tc>
      </w:tr>
      <w:tr w14:paraId="73BE2CE0">
        <w:tblPrEx>
          <w:tblCellMar>
            <w:top w:w="0" w:type="dxa"/>
            <w:left w:w="0" w:type="dxa"/>
            <w:bottom w:w="0" w:type="dxa"/>
            <w:right w:w="0" w:type="dxa"/>
          </w:tblCellMar>
        </w:tblPrEx>
        <w:trPr>
          <w:trHeight w:val="397" w:hRule="atLeast"/>
        </w:trPr>
        <w:tc>
          <w:tcPr>
            <w:tcW w:w="8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AD461">
            <w:pPr>
              <w:jc w:val="center"/>
              <w:rPr>
                <w:rFonts w:ascii="宋体" w:hAnsi="宋体" w:eastAsia="宋体" w:cs="宋体"/>
                <w:color w:val="000000"/>
                <w:sz w:val="18"/>
                <w:szCs w:val="18"/>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F31C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 xml:space="preserve">          其中：财政拨款</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CE9CC">
            <w:pPr>
              <w:widowControl/>
              <w:jc w:val="center"/>
              <w:textAlignment w:val="center"/>
            </w:pPr>
            <w:r>
              <w:rPr>
                <w:rFonts w:hint="eastAsia" w:ascii="宋体" w:hAnsi="宋体" w:eastAsia="宋体" w:cs="宋体"/>
                <w:color w:val="000000"/>
                <w:sz w:val="18"/>
                <w:szCs w:val="18"/>
                <w:lang w:eastAsia="zh-CN"/>
              </w:rPr>
              <w:t>1.10</w:t>
            </w:r>
          </w:p>
        </w:tc>
        <w:tc>
          <w:tcPr>
            <w:tcW w:w="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DEA46">
            <w:pPr>
              <w:widowControl/>
              <w:jc w:val="center"/>
              <w:textAlignment w:val="center"/>
            </w:pPr>
            <w:r>
              <w:rPr>
                <w:rFonts w:hint="eastAsia" w:ascii="宋体" w:hAnsi="宋体" w:eastAsia="宋体" w:cs="宋体"/>
                <w:color w:val="000000"/>
                <w:sz w:val="18"/>
                <w:szCs w:val="18"/>
                <w:lang w:eastAsia="zh-CN"/>
              </w:rPr>
              <w:t>1.10</w:t>
            </w:r>
          </w:p>
        </w:tc>
        <w:tc>
          <w:tcPr>
            <w:tcW w:w="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8C7D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1.10</w:t>
            </w:r>
          </w:p>
        </w:tc>
        <w:tc>
          <w:tcPr>
            <w:tcW w:w="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4BADE">
            <w:pPr>
              <w:widowControl/>
              <w:jc w:val="center"/>
              <w:textAlignment w:val="center"/>
            </w:pPr>
            <w:r>
              <w:rPr>
                <w:rFonts w:hint="eastAsia" w:ascii="宋体" w:hAnsi="宋体" w:eastAsia="宋体" w:cs="宋体"/>
                <w:color w:val="000000"/>
                <w:sz w:val="18"/>
                <w:szCs w:val="18"/>
                <w:lang w:eastAsia="zh-CN"/>
              </w:rPr>
              <w:t>--</w:t>
            </w:r>
          </w:p>
        </w:tc>
        <w:tc>
          <w:tcPr>
            <w:tcW w:w="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7E250">
            <w:pPr>
              <w:jc w:val="center"/>
              <w:rPr>
                <w:rFonts w:ascii="宋体" w:hAnsi="宋体" w:eastAsia="宋体" w:cs="宋体"/>
                <w:color w:val="000000"/>
                <w:sz w:val="18"/>
                <w:szCs w:val="18"/>
              </w:rPr>
            </w:pPr>
          </w:p>
        </w:tc>
        <w:tc>
          <w:tcPr>
            <w:tcW w:w="44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0DE7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w:t>
            </w:r>
          </w:p>
        </w:tc>
        <w:tc>
          <w:tcPr>
            <w:tcW w:w="841" w:type="dxa"/>
            <w:tcBorders>
              <w:top w:val="nil"/>
              <w:left w:val="nil"/>
              <w:bottom w:val="nil"/>
              <w:right w:val="nil"/>
            </w:tcBorders>
            <w:shd w:val="clear" w:color="auto" w:fill="auto"/>
            <w:noWrap/>
            <w:tcMar>
              <w:top w:w="15" w:type="dxa"/>
              <w:left w:w="15" w:type="dxa"/>
              <w:right w:w="15" w:type="dxa"/>
            </w:tcMar>
            <w:vAlign w:val="bottom"/>
          </w:tcPr>
          <w:p w14:paraId="7DCE3F2F">
            <w:pPr>
              <w:rPr>
                <w:rFonts w:ascii="Arial" w:hAnsi="Arial"/>
                <w:color w:val="000000"/>
                <w:sz w:val="20"/>
                <w:szCs w:val="20"/>
              </w:rPr>
            </w:pPr>
          </w:p>
        </w:tc>
      </w:tr>
      <w:tr w14:paraId="60C79477">
        <w:tblPrEx>
          <w:tblCellMar>
            <w:top w:w="0" w:type="dxa"/>
            <w:left w:w="0" w:type="dxa"/>
            <w:bottom w:w="0" w:type="dxa"/>
            <w:right w:w="0" w:type="dxa"/>
          </w:tblCellMar>
        </w:tblPrEx>
        <w:trPr>
          <w:trHeight w:val="397" w:hRule="atLeast"/>
        </w:trPr>
        <w:tc>
          <w:tcPr>
            <w:tcW w:w="8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B6A9E">
            <w:pPr>
              <w:jc w:val="center"/>
              <w:rPr>
                <w:rFonts w:ascii="宋体" w:hAnsi="宋体" w:eastAsia="宋体" w:cs="宋体"/>
                <w:color w:val="000000"/>
                <w:sz w:val="18"/>
                <w:szCs w:val="18"/>
              </w:rPr>
            </w:pPr>
          </w:p>
        </w:tc>
        <w:tc>
          <w:tcPr>
            <w:tcW w:w="1202"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6498B5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 xml:space="preserve">                上年结转</w:t>
            </w:r>
          </w:p>
        </w:tc>
        <w:tc>
          <w:tcPr>
            <w:tcW w:w="53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844F79C">
            <w:pPr>
              <w:widowControl/>
              <w:jc w:val="center"/>
              <w:textAlignment w:val="center"/>
            </w:pPr>
            <w:r>
              <w:rPr>
                <w:rFonts w:hint="eastAsia" w:ascii="宋体" w:hAnsi="宋体" w:eastAsia="宋体" w:cs="宋体"/>
                <w:color w:val="000000"/>
                <w:sz w:val="18"/>
                <w:szCs w:val="18"/>
                <w:lang w:eastAsia="zh-CN"/>
              </w:rPr>
              <w:t>0.00</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D42E756">
            <w:pPr>
              <w:widowControl/>
              <w:jc w:val="center"/>
              <w:textAlignment w:val="center"/>
            </w:pPr>
            <w:r>
              <w:rPr>
                <w:rFonts w:hint="eastAsia" w:ascii="宋体" w:hAnsi="宋体" w:eastAsia="宋体" w:cs="宋体"/>
                <w:color w:val="000000"/>
                <w:sz w:val="18"/>
                <w:szCs w:val="18"/>
                <w:lang w:eastAsia="zh-CN"/>
              </w:rPr>
              <w:t>0.00</w:t>
            </w:r>
          </w:p>
        </w:tc>
        <w:tc>
          <w:tcPr>
            <w:tcW w:w="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4696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0.00</w:t>
            </w:r>
          </w:p>
        </w:tc>
        <w:tc>
          <w:tcPr>
            <w:tcW w:w="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DF42E">
            <w:pPr>
              <w:widowControl/>
              <w:jc w:val="center"/>
              <w:textAlignment w:val="center"/>
            </w:pPr>
            <w:r>
              <w:rPr>
                <w:rFonts w:hint="eastAsia" w:ascii="宋体" w:hAnsi="宋体" w:eastAsia="宋体" w:cs="宋体"/>
                <w:color w:val="000000"/>
                <w:sz w:val="18"/>
                <w:szCs w:val="18"/>
                <w:lang w:eastAsia="zh-CN"/>
              </w:rPr>
              <w:t>--</w:t>
            </w:r>
          </w:p>
        </w:tc>
        <w:tc>
          <w:tcPr>
            <w:tcW w:w="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46E80">
            <w:pPr>
              <w:jc w:val="center"/>
              <w:rPr>
                <w:rFonts w:ascii="宋体" w:hAnsi="宋体" w:eastAsia="宋体" w:cs="宋体"/>
                <w:color w:val="000000"/>
                <w:sz w:val="18"/>
                <w:szCs w:val="18"/>
              </w:rPr>
            </w:pPr>
          </w:p>
        </w:tc>
        <w:tc>
          <w:tcPr>
            <w:tcW w:w="44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646B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w:t>
            </w:r>
          </w:p>
        </w:tc>
        <w:tc>
          <w:tcPr>
            <w:tcW w:w="841" w:type="dxa"/>
            <w:tcBorders>
              <w:top w:val="nil"/>
              <w:left w:val="nil"/>
              <w:bottom w:val="nil"/>
              <w:right w:val="nil"/>
            </w:tcBorders>
            <w:shd w:val="clear" w:color="auto" w:fill="auto"/>
            <w:noWrap/>
            <w:tcMar>
              <w:top w:w="15" w:type="dxa"/>
              <w:left w:w="15" w:type="dxa"/>
              <w:right w:w="15" w:type="dxa"/>
            </w:tcMar>
            <w:vAlign w:val="bottom"/>
          </w:tcPr>
          <w:p w14:paraId="752FAF3D">
            <w:pPr>
              <w:rPr>
                <w:rFonts w:ascii="Arial" w:hAnsi="Arial"/>
                <w:color w:val="000000"/>
                <w:sz w:val="20"/>
                <w:szCs w:val="20"/>
              </w:rPr>
            </w:pPr>
          </w:p>
        </w:tc>
      </w:tr>
      <w:tr w14:paraId="2B20BC40">
        <w:tblPrEx>
          <w:tblCellMar>
            <w:top w:w="0" w:type="dxa"/>
            <w:left w:w="0" w:type="dxa"/>
            <w:bottom w:w="0" w:type="dxa"/>
            <w:right w:w="0" w:type="dxa"/>
          </w:tblCellMar>
        </w:tblPrEx>
        <w:trPr>
          <w:trHeight w:val="397" w:hRule="atLeast"/>
        </w:trPr>
        <w:tc>
          <w:tcPr>
            <w:tcW w:w="8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754D7">
            <w:pPr>
              <w:jc w:val="center"/>
              <w:rPr>
                <w:rFonts w:ascii="宋体" w:hAnsi="宋体" w:eastAsia="宋体" w:cs="宋体"/>
                <w:color w:val="000000"/>
                <w:sz w:val="18"/>
                <w:szCs w:val="18"/>
              </w:rPr>
            </w:pPr>
          </w:p>
        </w:tc>
        <w:tc>
          <w:tcPr>
            <w:tcW w:w="120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48B0F">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 xml:space="preserve">                其他资金 </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5A4A3">
            <w:pPr>
              <w:widowControl/>
              <w:jc w:val="center"/>
              <w:textAlignment w:val="center"/>
            </w:pPr>
            <w:r>
              <w:rPr>
                <w:rFonts w:hint="eastAsia" w:ascii="宋体" w:hAnsi="宋体" w:eastAsia="宋体" w:cs="宋体"/>
                <w:color w:val="000000"/>
                <w:sz w:val="18"/>
                <w:szCs w:val="18"/>
                <w:lang w:eastAsia="zh-CN"/>
              </w:rPr>
              <w:t>0.00</w:t>
            </w:r>
          </w:p>
        </w:tc>
        <w:tc>
          <w:tcPr>
            <w:tcW w:w="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47DA6">
            <w:pPr>
              <w:widowControl/>
              <w:jc w:val="center"/>
              <w:textAlignment w:val="center"/>
            </w:pPr>
            <w:r>
              <w:rPr>
                <w:rFonts w:hint="eastAsia" w:ascii="宋体" w:hAnsi="宋体" w:eastAsia="宋体" w:cs="宋体"/>
                <w:color w:val="000000"/>
                <w:sz w:val="18"/>
                <w:szCs w:val="18"/>
                <w:lang w:eastAsia="zh-CN"/>
              </w:rPr>
              <w:t>0.00</w:t>
            </w:r>
          </w:p>
        </w:tc>
        <w:tc>
          <w:tcPr>
            <w:tcW w:w="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C269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0.00</w:t>
            </w:r>
          </w:p>
        </w:tc>
        <w:tc>
          <w:tcPr>
            <w:tcW w:w="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20897">
            <w:pPr>
              <w:widowControl/>
              <w:jc w:val="center"/>
              <w:textAlignment w:val="center"/>
            </w:pPr>
            <w:r>
              <w:rPr>
                <w:rFonts w:hint="eastAsia" w:ascii="宋体" w:hAnsi="宋体" w:eastAsia="宋体" w:cs="宋体"/>
                <w:color w:val="000000"/>
                <w:sz w:val="18"/>
                <w:szCs w:val="18"/>
                <w:lang w:eastAsia="zh-CN"/>
              </w:rPr>
              <w:t>--</w:t>
            </w:r>
          </w:p>
        </w:tc>
        <w:tc>
          <w:tcPr>
            <w:tcW w:w="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81568">
            <w:pPr>
              <w:jc w:val="center"/>
              <w:rPr>
                <w:rFonts w:ascii="宋体" w:hAnsi="宋体" w:eastAsia="宋体" w:cs="宋体"/>
                <w:color w:val="000000"/>
                <w:sz w:val="18"/>
                <w:szCs w:val="18"/>
              </w:rPr>
            </w:pPr>
          </w:p>
        </w:tc>
        <w:tc>
          <w:tcPr>
            <w:tcW w:w="44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8382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w:t>
            </w:r>
          </w:p>
        </w:tc>
        <w:tc>
          <w:tcPr>
            <w:tcW w:w="841" w:type="dxa"/>
            <w:tcBorders>
              <w:top w:val="nil"/>
              <w:left w:val="nil"/>
              <w:bottom w:val="nil"/>
              <w:right w:val="nil"/>
            </w:tcBorders>
            <w:shd w:val="clear" w:color="auto" w:fill="auto"/>
            <w:noWrap/>
            <w:tcMar>
              <w:top w:w="15" w:type="dxa"/>
              <w:left w:w="15" w:type="dxa"/>
              <w:right w:w="15" w:type="dxa"/>
            </w:tcMar>
            <w:vAlign w:val="bottom"/>
          </w:tcPr>
          <w:p w14:paraId="53DE3DA0">
            <w:pPr>
              <w:rPr>
                <w:rFonts w:ascii="Arial" w:hAnsi="Arial"/>
                <w:color w:val="000000"/>
                <w:sz w:val="20"/>
                <w:szCs w:val="20"/>
              </w:rPr>
            </w:pPr>
          </w:p>
        </w:tc>
      </w:tr>
      <w:tr w14:paraId="00AE5F08">
        <w:tblPrEx>
          <w:tblCellMar>
            <w:top w:w="0" w:type="dxa"/>
            <w:left w:w="0" w:type="dxa"/>
            <w:bottom w:w="0" w:type="dxa"/>
            <w:right w:w="0" w:type="dxa"/>
          </w:tblCellMar>
        </w:tblPrEx>
        <w:trPr>
          <w:trHeight w:val="397" w:hRule="atLeast"/>
        </w:trPr>
        <w:tc>
          <w:tcPr>
            <w:tcW w:w="3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44D4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度</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总</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体</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目</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标</w:t>
            </w:r>
          </w:p>
        </w:tc>
        <w:tc>
          <w:tcPr>
            <w:tcW w:w="27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2BB9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预期目标</w:t>
            </w:r>
          </w:p>
        </w:tc>
        <w:tc>
          <w:tcPr>
            <w:tcW w:w="60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87E5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实际完成情况</w:t>
            </w:r>
          </w:p>
        </w:tc>
        <w:tc>
          <w:tcPr>
            <w:tcW w:w="841" w:type="dxa"/>
            <w:tcBorders>
              <w:top w:val="nil"/>
              <w:left w:val="nil"/>
              <w:bottom w:val="nil"/>
              <w:right w:val="nil"/>
            </w:tcBorders>
            <w:shd w:val="clear" w:color="auto" w:fill="auto"/>
            <w:noWrap/>
            <w:tcMar>
              <w:top w:w="15" w:type="dxa"/>
              <w:left w:w="15" w:type="dxa"/>
              <w:right w:w="15" w:type="dxa"/>
            </w:tcMar>
            <w:vAlign w:val="bottom"/>
          </w:tcPr>
          <w:p w14:paraId="33B39E90">
            <w:pPr>
              <w:rPr>
                <w:rFonts w:ascii="Arial" w:hAnsi="Arial"/>
                <w:color w:val="000000"/>
                <w:sz w:val="20"/>
                <w:szCs w:val="20"/>
              </w:rPr>
            </w:pPr>
          </w:p>
        </w:tc>
      </w:tr>
      <w:tr w14:paraId="6DB890E5">
        <w:tblPrEx>
          <w:tblCellMar>
            <w:top w:w="0" w:type="dxa"/>
            <w:left w:w="0" w:type="dxa"/>
            <w:bottom w:w="0" w:type="dxa"/>
            <w:right w:w="0" w:type="dxa"/>
          </w:tblCellMar>
        </w:tblPrEx>
        <w:trPr>
          <w:trHeight w:val="1415"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41AA4">
            <w:pPr>
              <w:jc w:val="center"/>
              <w:rPr>
                <w:rFonts w:ascii="宋体" w:hAnsi="宋体" w:eastAsia="宋体" w:cs="宋体"/>
                <w:color w:val="000000"/>
                <w:sz w:val="18"/>
                <w:szCs w:val="18"/>
              </w:rPr>
            </w:pPr>
          </w:p>
        </w:tc>
        <w:tc>
          <w:tcPr>
            <w:tcW w:w="27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47DC7AD">
            <w:pPr>
              <w:widowControl/>
              <w:textAlignment w:val="top"/>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1.加强口岸动植物检疫把关，疫情监测监控预警，做好重大疫情防控和应急处置，进一步夯实国门生物安全保障能力基础。2.完成年度进出境动植物检验检疫日常工作任务，稳步推进各项改革事项。3.加大信息宣传力度，推动国门生物安全社会共治。</w:t>
            </w:r>
          </w:p>
        </w:tc>
        <w:tc>
          <w:tcPr>
            <w:tcW w:w="60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3ABBC10">
            <w:pPr>
              <w:widowControl/>
              <w:textAlignment w:val="top"/>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1、积极报送国外疫情动植检疫情信息，加强疫情提前预判；2、按照计划完成2025年度进出境动植物检验检疫日常工作，并按要求落实相关改革事项。3、开展国门生物安全进校园等一系列活动，让社会参与到守护国门生物安全行动中来。4、按计划实施外来有害物种监测和年度安全风险监控，开展2次梨火疫病和亚洲梨火疫病监测、3次外来杂草监测、5次实蝇监测，监测到检疫性有害生物桔小实蝇9头、南瓜实蝇88头、具条实蝇111头，开展出境宠物食品重点风险监控3次，一般风险监控2次。强化国外动植物疫情信息收集，报送疫情信息47条，被总署录用27条。</w:t>
            </w:r>
          </w:p>
        </w:tc>
        <w:tc>
          <w:tcPr>
            <w:tcW w:w="841" w:type="dxa"/>
            <w:tcBorders>
              <w:top w:val="nil"/>
              <w:left w:val="nil"/>
              <w:bottom w:val="nil"/>
              <w:right w:val="nil"/>
            </w:tcBorders>
            <w:shd w:val="clear" w:color="auto" w:fill="auto"/>
            <w:noWrap/>
            <w:tcMar>
              <w:top w:w="15" w:type="dxa"/>
              <w:left w:w="15" w:type="dxa"/>
              <w:right w:w="15" w:type="dxa"/>
            </w:tcMar>
            <w:vAlign w:val="bottom"/>
          </w:tcPr>
          <w:p w14:paraId="2045E359">
            <w:pPr>
              <w:rPr>
                <w:rFonts w:ascii="Arial" w:hAnsi="Arial"/>
                <w:color w:val="000000"/>
                <w:sz w:val="20"/>
                <w:szCs w:val="20"/>
                <w:lang w:eastAsia="zh-CN"/>
              </w:rPr>
            </w:pPr>
          </w:p>
        </w:tc>
      </w:tr>
      <w:tr w14:paraId="306FAA9C">
        <w:tblPrEx>
          <w:tblCellMar>
            <w:top w:w="0" w:type="dxa"/>
            <w:left w:w="0" w:type="dxa"/>
            <w:bottom w:w="0" w:type="dxa"/>
            <w:right w:w="0" w:type="dxa"/>
          </w:tblCellMar>
        </w:tblPrEx>
        <w:trPr>
          <w:trHeight w:val="553" w:hRule="atLeast"/>
        </w:trPr>
        <w:tc>
          <w:tcPr>
            <w:tcW w:w="3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B916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绩</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效</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指</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标</w:t>
            </w:r>
          </w:p>
        </w:tc>
        <w:tc>
          <w:tcPr>
            <w:tcW w:w="481"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D946F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一级指标</w:t>
            </w: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B1A4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二级指标</w:t>
            </w:r>
          </w:p>
        </w:tc>
        <w:tc>
          <w:tcPr>
            <w:tcW w:w="10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2E28C">
            <w:pPr>
              <w:widowControl/>
              <w:jc w:val="center"/>
              <w:textAlignment w:val="center"/>
            </w:pPr>
            <w:r>
              <w:rPr>
                <w:rFonts w:hint="eastAsia" w:ascii="宋体" w:hAnsi="宋体" w:eastAsia="宋体" w:cs="宋体"/>
                <w:color w:val="000000"/>
                <w:sz w:val="18"/>
                <w:szCs w:val="18"/>
                <w:lang w:eastAsia="zh-CN"/>
              </w:rPr>
              <w:t>三级指标</w:t>
            </w:r>
          </w:p>
        </w:tc>
        <w:tc>
          <w:tcPr>
            <w:tcW w:w="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5066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年度指标值</w:t>
            </w:r>
          </w:p>
        </w:tc>
        <w:tc>
          <w:tcPr>
            <w:tcW w:w="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09EC3">
            <w:pPr>
              <w:widowControl/>
              <w:jc w:val="center"/>
              <w:textAlignment w:val="center"/>
            </w:pPr>
            <w:r>
              <w:rPr>
                <w:rFonts w:hint="eastAsia" w:ascii="宋体" w:hAnsi="宋体" w:eastAsia="宋体" w:cs="宋体"/>
                <w:color w:val="000000"/>
                <w:sz w:val="18"/>
                <w:szCs w:val="18"/>
                <w:lang w:eastAsia="zh-CN"/>
              </w:rPr>
              <w:t>实际完成值</w:t>
            </w:r>
          </w:p>
        </w:tc>
        <w:tc>
          <w:tcPr>
            <w:tcW w:w="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6FCF0">
            <w:pPr>
              <w:widowControl/>
              <w:jc w:val="center"/>
              <w:textAlignment w:val="center"/>
            </w:pPr>
            <w:r>
              <w:rPr>
                <w:rFonts w:hint="eastAsia" w:ascii="宋体" w:hAnsi="宋体" w:eastAsia="宋体" w:cs="宋体"/>
                <w:color w:val="000000"/>
                <w:sz w:val="18"/>
                <w:szCs w:val="18"/>
                <w:lang w:eastAsia="zh-CN"/>
              </w:rPr>
              <w:t>分值</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EAB5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得分</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8CC98">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偏差原因分析及</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改进措施</w:t>
            </w:r>
          </w:p>
        </w:tc>
        <w:tc>
          <w:tcPr>
            <w:tcW w:w="841" w:type="dxa"/>
            <w:tcBorders>
              <w:top w:val="nil"/>
              <w:left w:val="nil"/>
              <w:bottom w:val="nil"/>
              <w:right w:val="nil"/>
            </w:tcBorders>
            <w:shd w:val="clear" w:color="auto" w:fill="auto"/>
            <w:noWrap/>
            <w:tcMar>
              <w:top w:w="15" w:type="dxa"/>
              <w:left w:w="15" w:type="dxa"/>
              <w:right w:w="15" w:type="dxa"/>
            </w:tcMar>
            <w:vAlign w:val="bottom"/>
          </w:tcPr>
          <w:p w14:paraId="3FADF744">
            <w:pPr>
              <w:rPr>
                <w:rFonts w:ascii="Arial" w:hAnsi="Arial"/>
                <w:color w:val="000000"/>
                <w:sz w:val="20"/>
                <w:szCs w:val="20"/>
                <w:lang w:eastAsia="zh-CN"/>
              </w:rPr>
            </w:pPr>
          </w:p>
        </w:tc>
      </w:tr>
      <w:tr w14:paraId="0D101DC8">
        <w:tblPrEx>
          <w:tblCellMar>
            <w:top w:w="0" w:type="dxa"/>
            <w:left w:w="0" w:type="dxa"/>
            <w:bottom w:w="0" w:type="dxa"/>
            <w:right w:w="0" w:type="dxa"/>
          </w:tblCellMar>
        </w:tblPrEx>
        <w:trPr>
          <w:trHeight w:val="481"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158DF">
            <w:pPr>
              <w:jc w:val="center"/>
              <w:rPr>
                <w:rFonts w:ascii="宋体" w:hAnsi="宋体" w:eastAsia="宋体" w:cs="宋体"/>
                <w:color w:val="000000"/>
                <w:sz w:val="18"/>
                <w:szCs w:val="18"/>
                <w:lang w:eastAsia="zh-CN"/>
              </w:rPr>
            </w:pPr>
          </w:p>
        </w:tc>
        <w:tc>
          <w:tcPr>
            <w:tcW w:w="481" w:type="dxa"/>
            <w:gridSpan w:val="2"/>
            <w:vMerge w:val="restart"/>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2EE7BC1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产出指标</w:t>
            </w:r>
          </w:p>
        </w:tc>
        <w:tc>
          <w:tcPr>
            <w:tcW w:w="64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8A3C82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数量指标</w:t>
            </w:r>
          </w:p>
        </w:tc>
        <w:tc>
          <w:tcPr>
            <w:tcW w:w="109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E711E2">
            <w:pPr>
              <w:widowControl/>
              <w:textAlignment w:val="center"/>
              <w:rPr>
                <w:lang w:eastAsia="zh-CN"/>
              </w:rPr>
            </w:pPr>
            <w:r>
              <w:rPr>
                <w:rFonts w:hint="eastAsia" w:ascii="宋体" w:hAnsi="宋体" w:eastAsia="宋体" w:cs="宋体"/>
                <w:color w:val="000000"/>
                <w:sz w:val="18"/>
                <w:szCs w:val="18"/>
                <w:lang w:eastAsia="zh-CN"/>
              </w:rPr>
              <w:t>开展国门生物安全宣传次数</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2C65479">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≥1次</w:t>
            </w:r>
          </w:p>
        </w:tc>
        <w:tc>
          <w:tcPr>
            <w:tcW w:w="75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C03B997">
            <w:pPr>
              <w:widowControl/>
              <w:jc w:val="center"/>
              <w:textAlignment w:val="center"/>
            </w:pPr>
            <w:r>
              <w:rPr>
                <w:rFonts w:hint="eastAsia" w:ascii="宋体" w:hAnsi="宋体" w:eastAsia="宋体" w:cs="宋体"/>
                <w:color w:val="000000"/>
                <w:sz w:val="18"/>
                <w:szCs w:val="18"/>
                <w:lang w:eastAsia="zh-CN"/>
              </w:rPr>
              <w:t>2.00次</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1CBF1DF">
            <w:pPr>
              <w:widowControl/>
              <w:jc w:val="center"/>
              <w:textAlignment w:val="center"/>
            </w:pPr>
            <w:r>
              <w:rPr>
                <w:rFonts w:hint="eastAsia" w:ascii="宋体" w:hAnsi="宋体" w:eastAsia="宋体" w:cs="宋体"/>
                <w:color w:val="000000"/>
                <w:sz w:val="18"/>
                <w:szCs w:val="18"/>
                <w:lang w:eastAsia="zh-CN"/>
              </w:rPr>
              <w:t>10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F644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DE5A7">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39FE58E2">
            <w:pPr>
              <w:rPr>
                <w:rFonts w:ascii="Arial" w:hAnsi="Arial"/>
                <w:color w:val="000000"/>
                <w:sz w:val="20"/>
                <w:szCs w:val="20"/>
              </w:rPr>
            </w:pPr>
          </w:p>
        </w:tc>
      </w:tr>
      <w:tr w14:paraId="57A6B465">
        <w:tblPrEx>
          <w:tblCellMar>
            <w:top w:w="0" w:type="dxa"/>
            <w:left w:w="0" w:type="dxa"/>
            <w:bottom w:w="0" w:type="dxa"/>
            <w:right w:w="0" w:type="dxa"/>
          </w:tblCellMar>
        </w:tblPrEx>
        <w:trPr>
          <w:trHeight w:val="481"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A3293">
            <w:pPr>
              <w:jc w:val="center"/>
              <w:rPr>
                <w:rFonts w:ascii="宋体" w:hAnsi="宋体" w:eastAsia="宋体" w:cs="宋体"/>
                <w:color w:val="000000"/>
                <w:sz w:val="18"/>
                <w:szCs w:val="18"/>
              </w:rPr>
            </w:pPr>
          </w:p>
        </w:tc>
        <w:tc>
          <w:tcPr>
            <w:tcW w:w="481"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19D10622">
            <w:pPr>
              <w:jc w:val="center"/>
              <w:rPr>
                <w:rFonts w:ascii="宋体" w:hAnsi="宋体" w:eastAsia="宋体" w:cs="宋体"/>
                <w:color w:val="000000"/>
                <w:sz w:val="18"/>
                <w:szCs w:val="18"/>
              </w:rPr>
            </w:pPr>
          </w:p>
        </w:tc>
        <w:tc>
          <w:tcPr>
            <w:tcW w:w="64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30C6023">
            <w:pPr>
              <w:jc w:val="center"/>
              <w:rPr>
                <w:rFonts w:ascii="宋体" w:hAnsi="宋体" w:eastAsia="宋体" w:cs="宋体"/>
                <w:color w:val="000000"/>
                <w:sz w:val="18"/>
                <w:szCs w:val="18"/>
              </w:rPr>
            </w:pPr>
          </w:p>
        </w:tc>
        <w:tc>
          <w:tcPr>
            <w:tcW w:w="109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B35845">
            <w:pPr>
              <w:widowControl/>
              <w:textAlignment w:val="center"/>
              <w:rPr>
                <w:lang w:eastAsia="zh-CN"/>
              </w:rPr>
            </w:pPr>
            <w:r>
              <w:rPr>
                <w:rFonts w:hint="eastAsia" w:ascii="宋体" w:hAnsi="宋体" w:eastAsia="宋体" w:cs="宋体"/>
                <w:color w:val="000000"/>
                <w:sz w:val="18"/>
                <w:szCs w:val="18"/>
                <w:lang w:eastAsia="zh-CN"/>
              </w:rPr>
              <w:t>国门生物安全检测鉴定活动开展次数</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620EB68">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≥30次</w:t>
            </w:r>
          </w:p>
        </w:tc>
        <w:tc>
          <w:tcPr>
            <w:tcW w:w="75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3DA06A5">
            <w:pPr>
              <w:widowControl/>
              <w:jc w:val="center"/>
              <w:textAlignment w:val="center"/>
            </w:pPr>
            <w:r>
              <w:rPr>
                <w:rFonts w:hint="eastAsia" w:ascii="宋体" w:hAnsi="宋体" w:eastAsia="宋体" w:cs="宋体"/>
                <w:color w:val="000000"/>
                <w:sz w:val="18"/>
                <w:szCs w:val="18"/>
                <w:lang w:eastAsia="zh-CN"/>
              </w:rPr>
              <w:t>31.00次</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9E471B1">
            <w:pPr>
              <w:widowControl/>
              <w:jc w:val="center"/>
              <w:textAlignment w:val="center"/>
            </w:pPr>
            <w:r>
              <w:rPr>
                <w:rFonts w:hint="eastAsia" w:ascii="宋体" w:hAnsi="宋体" w:eastAsia="宋体" w:cs="宋体"/>
                <w:color w:val="000000"/>
                <w:sz w:val="18"/>
                <w:szCs w:val="18"/>
                <w:lang w:eastAsia="zh-CN"/>
              </w:rPr>
              <w:t>10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DE01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FE665">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6FF40532">
            <w:pPr>
              <w:rPr>
                <w:rFonts w:ascii="Arial" w:hAnsi="Arial"/>
                <w:color w:val="000000"/>
                <w:sz w:val="20"/>
                <w:szCs w:val="20"/>
              </w:rPr>
            </w:pPr>
          </w:p>
        </w:tc>
      </w:tr>
      <w:tr w14:paraId="30378422">
        <w:tblPrEx>
          <w:tblCellMar>
            <w:top w:w="0" w:type="dxa"/>
            <w:left w:w="0" w:type="dxa"/>
            <w:bottom w:w="0" w:type="dxa"/>
            <w:right w:w="0" w:type="dxa"/>
          </w:tblCellMar>
        </w:tblPrEx>
        <w:trPr>
          <w:trHeight w:val="481"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B3209">
            <w:pPr>
              <w:jc w:val="center"/>
              <w:rPr>
                <w:rFonts w:ascii="宋体" w:hAnsi="宋体" w:eastAsia="宋体" w:cs="宋体"/>
                <w:color w:val="000000"/>
                <w:sz w:val="18"/>
                <w:szCs w:val="18"/>
              </w:rPr>
            </w:pPr>
          </w:p>
        </w:tc>
        <w:tc>
          <w:tcPr>
            <w:tcW w:w="481"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5661A7E6">
            <w:pPr>
              <w:jc w:val="center"/>
              <w:rPr>
                <w:rFonts w:ascii="宋体" w:hAnsi="宋体" w:eastAsia="宋体" w:cs="宋体"/>
                <w:color w:val="000000"/>
                <w:sz w:val="18"/>
                <w:szCs w:val="18"/>
              </w:rPr>
            </w:pPr>
          </w:p>
        </w:tc>
        <w:tc>
          <w:tcPr>
            <w:tcW w:w="64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B920A3">
            <w:pPr>
              <w:jc w:val="center"/>
              <w:rPr>
                <w:rFonts w:ascii="宋体" w:hAnsi="宋体" w:eastAsia="宋体" w:cs="宋体"/>
                <w:color w:val="000000"/>
                <w:sz w:val="18"/>
                <w:szCs w:val="18"/>
              </w:rPr>
            </w:pPr>
          </w:p>
        </w:tc>
        <w:tc>
          <w:tcPr>
            <w:tcW w:w="109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DA4393">
            <w:pPr>
              <w:widowControl/>
              <w:textAlignment w:val="center"/>
              <w:rPr>
                <w:lang w:eastAsia="zh-CN"/>
              </w:rPr>
            </w:pPr>
            <w:r>
              <w:rPr>
                <w:rFonts w:hint="eastAsia" w:ascii="宋体" w:hAnsi="宋体" w:eastAsia="宋体" w:cs="宋体"/>
                <w:color w:val="000000"/>
                <w:sz w:val="18"/>
                <w:szCs w:val="18"/>
                <w:lang w:eastAsia="zh-CN"/>
              </w:rPr>
              <w:t>进出口食用农产品和饲料安全风险监控计划次数</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AB492D1">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≥3次</w:t>
            </w:r>
          </w:p>
        </w:tc>
        <w:tc>
          <w:tcPr>
            <w:tcW w:w="75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08F61F4">
            <w:pPr>
              <w:widowControl/>
              <w:jc w:val="center"/>
              <w:textAlignment w:val="center"/>
            </w:pPr>
            <w:r>
              <w:rPr>
                <w:rFonts w:hint="eastAsia" w:ascii="宋体" w:hAnsi="宋体" w:eastAsia="宋体" w:cs="宋体"/>
                <w:color w:val="000000"/>
                <w:sz w:val="18"/>
                <w:szCs w:val="18"/>
                <w:lang w:eastAsia="zh-CN"/>
              </w:rPr>
              <w:t>3.00次</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FB5993C">
            <w:pPr>
              <w:widowControl/>
              <w:jc w:val="center"/>
              <w:textAlignment w:val="center"/>
            </w:pPr>
            <w:r>
              <w:rPr>
                <w:rFonts w:hint="eastAsia" w:ascii="宋体" w:hAnsi="宋体" w:eastAsia="宋体" w:cs="宋体"/>
                <w:color w:val="000000"/>
                <w:sz w:val="18"/>
                <w:szCs w:val="18"/>
                <w:lang w:eastAsia="zh-CN"/>
              </w:rPr>
              <w:t>10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1E14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48812">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7B4F6FC1">
            <w:pPr>
              <w:rPr>
                <w:rFonts w:ascii="Arial" w:hAnsi="Arial"/>
                <w:color w:val="000000"/>
                <w:sz w:val="20"/>
                <w:szCs w:val="20"/>
              </w:rPr>
            </w:pPr>
          </w:p>
        </w:tc>
      </w:tr>
      <w:tr w14:paraId="6B680C05">
        <w:tblPrEx>
          <w:tblCellMar>
            <w:top w:w="0" w:type="dxa"/>
            <w:left w:w="0" w:type="dxa"/>
            <w:bottom w:w="0" w:type="dxa"/>
            <w:right w:w="0" w:type="dxa"/>
          </w:tblCellMar>
        </w:tblPrEx>
        <w:trPr>
          <w:trHeight w:val="481"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7E4DB">
            <w:pPr>
              <w:jc w:val="center"/>
              <w:rPr>
                <w:rFonts w:ascii="宋体" w:hAnsi="宋体" w:eastAsia="宋体" w:cs="宋体"/>
                <w:color w:val="000000"/>
                <w:sz w:val="18"/>
                <w:szCs w:val="18"/>
              </w:rPr>
            </w:pPr>
          </w:p>
        </w:tc>
        <w:tc>
          <w:tcPr>
            <w:tcW w:w="481"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5BD02FB3">
            <w:pPr>
              <w:jc w:val="center"/>
              <w:rPr>
                <w:rFonts w:ascii="宋体" w:hAnsi="宋体" w:eastAsia="宋体" w:cs="宋体"/>
                <w:color w:val="000000"/>
                <w:sz w:val="18"/>
                <w:szCs w:val="18"/>
              </w:rPr>
            </w:pPr>
          </w:p>
        </w:tc>
        <w:tc>
          <w:tcPr>
            <w:tcW w:w="64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1FB866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质量指标</w:t>
            </w:r>
          </w:p>
        </w:tc>
        <w:tc>
          <w:tcPr>
            <w:tcW w:w="109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26423D">
            <w:pPr>
              <w:widowControl/>
              <w:textAlignment w:val="center"/>
              <w:rPr>
                <w:lang w:eastAsia="zh-CN"/>
              </w:rPr>
            </w:pPr>
            <w:r>
              <w:rPr>
                <w:rFonts w:hint="eastAsia" w:ascii="宋体" w:hAnsi="宋体" w:eastAsia="宋体" w:cs="宋体"/>
                <w:color w:val="000000"/>
                <w:sz w:val="18"/>
                <w:szCs w:val="18"/>
                <w:lang w:eastAsia="zh-CN"/>
              </w:rPr>
              <w:t>国门生物安全检测鉴定计划完成率</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53B9637">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≥99%</w:t>
            </w:r>
          </w:p>
        </w:tc>
        <w:tc>
          <w:tcPr>
            <w:tcW w:w="75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1DFEBFD">
            <w:pPr>
              <w:widowControl/>
              <w:jc w:val="center"/>
              <w:textAlignment w:val="center"/>
            </w:pPr>
            <w:r>
              <w:rPr>
                <w:rFonts w:hint="eastAsia" w:ascii="宋体" w:hAnsi="宋体" w:eastAsia="宋体" w:cs="宋体"/>
                <w:color w:val="000000"/>
                <w:sz w:val="18"/>
                <w:szCs w:val="18"/>
                <w:lang w:eastAsia="zh-CN"/>
              </w:rPr>
              <w:t>100.00%</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727F24C">
            <w:pPr>
              <w:widowControl/>
              <w:jc w:val="center"/>
              <w:textAlignment w:val="center"/>
            </w:pPr>
            <w:r>
              <w:rPr>
                <w:rFonts w:hint="eastAsia" w:ascii="宋体" w:hAnsi="宋体" w:eastAsia="宋体" w:cs="宋体"/>
                <w:color w:val="000000"/>
                <w:sz w:val="18"/>
                <w:szCs w:val="18"/>
                <w:lang w:eastAsia="zh-CN"/>
              </w:rPr>
              <w:t>10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0F06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5E177">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06D9B47B">
            <w:pPr>
              <w:rPr>
                <w:rFonts w:ascii="Arial" w:hAnsi="Arial"/>
                <w:color w:val="000000"/>
                <w:sz w:val="20"/>
                <w:szCs w:val="20"/>
              </w:rPr>
            </w:pPr>
          </w:p>
        </w:tc>
      </w:tr>
      <w:tr w14:paraId="2634A19F">
        <w:tblPrEx>
          <w:tblCellMar>
            <w:top w:w="0" w:type="dxa"/>
            <w:left w:w="0" w:type="dxa"/>
            <w:bottom w:w="0" w:type="dxa"/>
            <w:right w:w="0" w:type="dxa"/>
          </w:tblCellMar>
        </w:tblPrEx>
        <w:trPr>
          <w:trHeight w:val="481"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AAFB8">
            <w:pPr>
              <w:jc w:val="center"/>
              <w:rPr>
                <w:rFonts w:ascii="宋体" w:hAnsi="宋体" w:eastAsia="宋体" w:cs="宋体"/>
                <w:color w:val="000000"/>
                <w:sz w:val="18"/>
                <w:szCs w:val="18"/>
              </w:rPr>
            </w:pPr>
          </w:p>
        </w:tc>
        <w:tc>
          <w:tcPr>
            <w:tcW w:w="481" w:type="dxa"/>
            <w:gridSpan w:val="2"/>
            <w:vMerge w:val="continue"/>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1E3D3296">
            <w:pPr>
              <w:jc w:val="center"/>
              <w:rPr>
                <w:rFonts w:ascii="宋体" w:hAnsi="宋体" w:eastAsia="宋体" w:cs="宋体"/>
                <w:color w:val="000000"/>
                <w:sz w:val="18"/>
                <w:szCs w:val="18"/>
              </w:rPr>
            </w:pPr>
          </w:p>
        </w:tc>
        <w:tc>
          <w:tcPr>
            <w:tcW w:w="64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FBE1AD">
            <w:pPr>
              <w:jc w:val="center"/>
              <w:rPr>
                <w:rFonts w:ascii="宋体" w:hAnsi="宋体" w:eastAsia="宋体" w:cs="宋体"/>
                <w:color w:val="000000"/>
                <w:sz w:val="18"/>
                <w:szCs w:val="18"/>
              </w:rPr>
            </w:pPr>
          </w:p>
        </w:tc>
        <w:tc>
          <w:tcPr>
            <w:tcW w:w="109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EA645C">
            <w:pPr>
              <w:widowControl/>
              <w:textAlignment w:val="center"/>
              <w:rPr>
                <w:lang w:eastAsia="zh-CN"/>
              </w:rPr>
            </w:pPr>
            <w:r>
              <w:rPr>
                <w:rFonts w:hint="eastAsia" w:ascii="宋体" w:hAnsi="宋体" w:eastAsia="宋体" w:cs="宋体"/>
                <w:color w:val="000000"/>
                <w:sz w:val="18"/>
                <w:szCs w:val="18"/>
                <w:lang w:eastAsia="zh-CN"/>
              </w:rPr>
              <w:t>进出口食用农产品和饲料安全风险监控计划完成率</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A5F5C2C">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≥99%</w:t>
            </w:r>
          </w:p>
        </w:tc>
        <w:tc>
          <w:tcPr>
            <w:tcW w:w="75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3E848B2">
            <w:pPr>
              <w:widowControl/>
              <w:jc w:val="center"/>
              <w:textAlignment w:val="center"/>
            </w:pPr>
            <w:r>
              <w:rPr>
                <w:rFonts w:hint="eastAsia" w:ascii="宋体" w:hAnsi="宋体" w:eastAsia="宋体" w:cs="宋体"/>
                <w:color w:val="000000"/>
                <w:sz w:val="18"/>
                <w:szCs w:val="18"/>
                <w:lang w:eastAsia="zh-CN"/>
              </w:rPr>
              <w:t>100.00%</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AC6C922">
            <w:pPr>
              <w:widowControl/>
              <w:jc w:val="center"/>
              <w:textAlignment w:val="center"/>
            </w:pPr>
            <w:r>
              <w:rPr>
                <w:rFonts w:hint="eastAsia" w:ascii="宋体" w:hAnsi="宋体" w:eastAsia="宋体" w:cs="宋体"/>
                <w:color w:val="000000"/>
                <w:sz w:val="18"/>
                <w:szCs w:val="18"/>
                <w:lang w:eastAsia="zh-CN"/>
              </w:rPr>
              <w:t>10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26A0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D2172">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6AD2C267">
            <w:pPr>
              <w:rPr>
                <w:rFonts w:ascii="Arial" w:hAnsi="Arial"/>
                <w:color w:val="000000"/>
                <w:sz w:val="20"/>
                <w:szCs w:val="20"/>
              </w:rPr>
            </w:pPr>
          </w:p>
        </w:tc>
      </w:tr>
      <w:tr w14:paraId="679444B6">
        <w:tblPrEx>
          <w:tblCellMar>
            <w:top w:w="0" w:type="dxa"/>
            <w:left w:w="0" w:type="dxa"/>
            <w:bottom w:w="0" w:type="dxa"/>
            <w:right w:w="0" w:type="dxa"/>
          </w:tblCellMar>
        </w:tblPrEx>
        <w:trPr>
          <w:trHeight w:val="481" w:hRule="atLeast"/>
        </w:trPr>
        <w:tc>
          <w:tcPr>
            <w:tcW w:w="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5063E">
            <w:pPr>
              <w:jc w:val="center"/>
              <w:rPr>
                <w:rFonts w:ascii="宋体" w:hAnsi="宋体" w:eastAsia="宋体" w:cs="宋体"/>
                <w:color w:val="000000"/>
                <w:sz w:val="18"/>
                <w:szCs w:val="18"/>
              </w:rPr>
            </w:pPr>
          </w:p>
        </w:tc>
        <w:tc>
          <w:tcPr>
            <w:tcW w:w="481" w:type="dxa"/>
            <w:gridSpan w:val="2"/>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03D6780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效益指标</w:t>
            </w:r>
          </w:p>
        </w:tc>
        <w:tc>
          <w:tcPr>
            <w:tcW w:w="64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AC0B65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社会效益指标</w:t>
            </w:r>
          </w:p>
        </w:tc>
        <w:tc>
          <w:tcPr>
            <w:tcW w:w="109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5DFF46C">
            <w:pPr>
              <w:widowControl/>
              <w:textAlignment w:val="center"/>
              <w:rPr>
                <w:lang w:eastAsia="zh-CN"/>
              </w:rPr>
            </w:pPr>
            <w:r>
              <w:rPr>
                <w:rFonts w:hint="eastAsia" w:ascii="宋体" w:hAnsi="宋体" w:eastAsia="宋体" w:cs="宋体"/>
                <w:color w:val="000000"/>
                <w:sz w:val="18"/>
                <w:szCs w:val="18"/>
                <w:lang w:eastAsia="zh-CN"/>
              </w:rPr>
              <w:t>重大突发检验检疫问题处理率</w:t>
            </w:r>
          </w:p>
        </w:tc>
        <w:tc>
          <w:tcPr>
            <w:tcW w:w="50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CB0E2D7">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≥95%</w:t>
            </w:r>
          </w:p>
        </w:tc>
        <w:tc>
          <w:tcPr>
            <w:tcW w:w="75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3D1F67D">
            <w:pPr>
              <w:widowControl/>
              <w:jc w:val="center"/>
              <w:textAlignment w:val="center"/>
            </w:pPr>
            <w:r>
              <w:rPr>
                <w:rFonts w:hint="eastAsia" w:ascii="宋体" w:hAnsi="宋体" w:eastAsia="宋体" w:cs="宋体"/>
                <w:color w:val="000000"/>
                <w:sz w:val="18"/>
                <w:szCs w:val="18"/>
                <w:lang w:eastAsia="zh-CN"/>
              </w:rPr>
              <w:t>100.00%</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51A4B3E">
            <w:pPr>
              <w:widowControl/>
              <w:jc w:val="center"/>
              <w:textAlignment w:val="center"/>
            </w:pPr>
            <w:r>
              <w:rPr>
                <w:rFonts w:hint="eastAsia" w:ascii="宋体" w:hAnsi="宋体" w:eastAsia="宋体" w:cs="宋体"/>
                <w:color w:val="000000"/>
                <w:sz w:val="18"/>
                <w:szCs w:val="18"/>
                <w:lang w:eastAsia="zh-CN"/>
              </w:rPr>
              <w:t>40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1A2B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8D726">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68C2952A">
            <w:pPr>
              <w:rPr>
                <w:rFonts w:ascii="Arial" w:hAnsi="Arial"/>
                <w:color w:val="000000"/>
                <w:sz w:val="20"/>
                <w:szCs w:val="20"/>
              </w:rPr>
            </w:pPr>
          </w:p>
        </w:tc>
      </w:tr>
      <w:tr w14:paraId="2B63A405">
        <w:tblPrEx>
          <w:tblCellMar>
            <w:top w:w="0" w:type="dxa"/>
            <w:left w:w="0" w:type="dxa"/>
            <w:bottom w:w="0" w:type="dxa"/>
            <w:right w:w="0" w:type="dxa"/>
          </w:tblCellMar>
        </w:tblPrEx>
        <w:trPr>
          <w:trHeight w:val="481" w:hRule="atLeast"/>
        </w:trPr>
        <w:tc>
          <w:tcPr>
            <w:tcW w:w="382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635C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总分</w:t>
            </w:r>
          </w:p>
        </w:tc>
        <w:tc>
          <w:tcPr>
            <w:tcW w:w="24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EBC8D5B">
            <w:pPr>
              <w:widowControl/>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100</w:t>
            </w:r>
          </w:p>
        </w:tc>
        <w:tc>
          <w:tcPr>
            <w:tcW w:w="2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EA8D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w:t>
            </w:r>
          </w:p>
        </w:tc>
        <w:tc>
          <w:tcPr>
            <w:tcW w:w="4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2866A">
            <w:pPr>
              <w:jc w:val="center"/>
              <w:rPr>
                <w:rFonts w:ascii="宋体" w:hAnsi="宋体" w:eastAsia="宋体" w:cs="宋体"/>
                <w:color w:val="000000"/>
                <w:sz w:val="18"/>
                <w:szCs w:val="18"/>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14F53C3F">
            <w:pPr>
              <w:rPr>
                <w:rFonts w:ascii="Arial" w:hAnsi="Arial"/>
                <w:color w:val="000000"/>
                <w:sz w:val="20"/>
                <w:szCs w:val="20"/>
              </w:rPr>
            </w:pPr>
          </w:p>
        </w:tc>
      </w:tr>
      <w:tr w14:paraId="25AFFC9A">
        <w:tblPrEx>
          <w:tblCellMar>
            <w:top w:w="0" w:type="dxa"/>
            <w:left w:w="0" w:type="dxa"/>
            <w:bottom w:w="0" w:type="dxa"/>
            <w:right w:w="0" w:type="dxa"/>
          </w:tblCellMar>
        </w:tblPrEx>
        <w:trPr>
          <w:trHeight w:val="481" w:hRule="atLeast"/>
        </w:trPr>
        <w:tc>
          <w:tcPr>
            <w:tcW w:w="9099"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5332D">
            <w:pPr>
              <w:widowControl/>
              <w:textAlignment w:val="center"/>
              <w:rPr>
                <w:rFonts w:ascii="宋体" w:hAnsi="宋体" w:eastAsia="宋体" w:cs="宋体"/>
                <w:color w:val="000000"/>
                <w:sz w:val="18"/>
                <w:szCs w:val="18"/>
              </w:rPr>
            </w:pPr>
            <w:r>
              <w:rPr>
                <w:rFonts w:hint="eastAsia" w:ascii="宋体" w:hAnsi="宋体" w:eastAsia="宋体" w:cs="宋体"/>
                <w:color w:val="000000"/>
                <w:sz w:val="20"/>
                <w:szCs w:val="20"/>
                <w:lang w:eastAsia="zh-CN"/>
              </w:rPr>
              <w:t>说明：</w:t>
            </w:r>
          </w:p>
        </w:tc>
        <w:tc>
          <w:tcPr>
            <w:tcW w:w="841" w:type="dxa"/>
            <w:tcBorders>
              <w:top w:val="nil"/>
              <w:left w:val="nil"/>
              <w:bottom w:val="nil"/>
              <w:right w:val="nil"/>
            </w:tcBorders>
            <w:shd w:val="clear" w:color="auto" w:fill="auto"/>
            <w:noWrap/>
            <w:tcMar>
              <w:top w:w="15" w:type="dxa"/>
              <w:left w:w="15" w:type="dxa"/>
              <w:right w:w="15" w:type="dxa"/>
            </w:tcMar>
            <w:vAlign w:val="bottom"/>
          </w:tcPr>
          <w:p w14:paraId="255C1AA2">
            <w:pPr>
              <w:rPr>
                <w:rFonts w:ascii="Arial" w:hAnsi="Arial"/>
                <w:color w:val="000000"/>
                <w:sz w:val="20"/>
                <w:szCs w:val="20"/>
              </w:rPr>
            </w:pPr>
          </w:p>
        </w:tc>
      </w:tr>
      <w:tr w14:paraId="7088B53E">
        <w:tblPrEx>
          <w:tblCellMar>
            <w:top w:w="0" w:type="dxa"/>
            <w:left w:w="0" w:type="dxa"/>
            <w:bottom w:w="0" w:type="dxa"/>
            <w:right w:w="0" w:type="dxa"/>
          </w:tblCellMar>
        </w:tblPrEx>
        <w:trPr>
          <w:trHeight w:val="274" w:hRule="atLeast"/>
        </w:trPr>
        <w:tc>
          <w:tcPr>
            <w:tcW w:w="426" w:type="dxa"/>
            <w:gridSpan w:val="2"/>
            <w:tcBorders>
              <w:top w:val="nil"/>
              <w:left w:val="nil"/>
              <w:bottom w:val="nil"/>
              <w:right w:val="nil"/>
            </w:tcBorders>
            <w:shd w:val="clear" w:color="auto" w:fill="auto"/>
            <w:noWrap/>
            <w:tcMar>
              <w:top w:w="15" w:type="dxa"/>
              <w:left w:w="15" w:type="dxa"/>
              <w:right w:w="15" w:type="dxa"/>
            </w:tcMar>
            <w:vAlign w:val="bottom"/>
          </w:tcPr>
          <w:p w14:paraId="5A5BC2E6">
            <w:pPr>
              <w:rPr>
                <w:rFonts w:ascii="Arial" w:hAnsi="Arial"/>
                <w:color w:val="000000"/>
                <w:sz w:val="20"/>
                <w:szCs w:val="20"/>
              </w:rPr>
            </w:pPr>
          </w:p>
        </w:tc>
        <w:tc>
          <w:tcPr>
            <w:tcW w:w="940" w:type="dxa"/>
            <w:gridSpan w:val="2"/>
            <w:tcBorders>
              <w:top w:val="nil"/>
              <w:left w:val="nil"/>
              <w:bottom w:val="nil"/>
              <w:right w:val="nil"/>
            </w:tcBorders>
            <w:shd w:val="clear" w:color="auto" w:fill="auto"/>
            <w:noWrap/>
            <w:tcMar>
              <w:top w:w="15" w:type="dxa"/>
              <w:left w:w="15" w:type="dxa"/>
              <w:right w:w="15" w:type="dxa"/>
            </w:tcMar>
            <w:vAlign w:val="bottom"/>
          </w:tcPr>
          <w:p w14:paraId="2C09ACC2">
            <w:pPr>
              <w:rPr>
                <w:rFonts w:ascii="Arial" w:hAnsi="Arial"/>
                <w:color w:val="000000"/>
                <w:sz w:val="20"/>
                <w:szCs w:val="20"/>
              </w:rPr>
            </w:pPr>
          </w:p>
        </w:tc>
        <w:tc>
          <w:tcPr>
            <w:tcW w:w="1263" w:type="dxa"/>
            <w:gridSpan w:val="4"/>
            <w:tcBorders>
              <w:top w:val="nil"/>
              <w:left w:val="nil"/>
              <w:bottom w:val="nil"/>
              <w:right w:val="nil"/>
            </w:tcBorders>
            <w:shd w:val="clear" w:color="auto" w:fill="auto"/>
            <w:noWrap/>
            <w:tcMar>
              <w:top w:w="15" w:type="dxa"/>
              <w:left w:w="15" w:type="dxa"/>
              <w:right w:w="15" w:type="dxa"/>
            </w:tcMar>
            <w:vAlign w:val="bottom"/>
          </w:tcPr>
          <w:p w14:paraId="72B960BA">
            <w:pPr>
              <w:rPr>
                <w:rFonts w:ascii="Arial" w:hAnsi="Arial"/>
                <w:color w:val="000000"/>
                <w:sz w:val="20"/>
                <w:szCs w:val="20"/>
              </w:rPr>
            </w:pPr>
          </w:p>
        </w:tc>
        <w:tc>
          <w:tcPr>
            <w:tcW w:w="594" w:type="dxa"/>
            <w:gridSpan w:val="2"/>
            <w:tcBorders>
              <w:top w:val="nil"/>
              <w:left w:val="nil"/>
              <w:bottom w:val="nil"/>
              <w:right w:val="nil"/>
            </w:tcBorders>
            <w:shd w:val="clear" w:color="auto" w:fill="auto"/>
            <w:noWrap/>
            <w:tcMar>
              <w:top w:w="15" w:type="dxa"/>
              <w:left w:w="15" w:type="dxa"/>
              <w:right w:w="15" w:type="dxa"/>
            </w:tcMar>
            <w:vAlign w:val="bottom"/>
          </w:tcPr>
          <w:p w14:paraId="468E7FCA">
            <w:pPr>
              <w:rPr>
                <w:rFonts w:ascii="Arial" w:hAnsi="Arial"/>
                <w:color w:val="000000"/>
                <w:sz w:val="20"/>
                <w:szCs w:val="20"/>
              </w:rPr>
            </w:pPr>
          </w:p>
        </w:tc>
        <w:tc>
          <w:tcPr>
            <w:tcW w:w="1080" w:type="dxa"/>
            <w:gridSpan w:val="3"/>
            <w:tcBorders>
              <w:top w:val="nil"/>
              <w:left w:val="nil"/>
              <w:bottom w:val="nil"/>
              <w:right w:val="nil"/>
            </w:tcBorders>
            <w:shd w:val="clear" w:color="auto" w:fill="auto"/>
            <w:noWrap/>
            <w:tcMar>
              <w:top w:w="15" w:type="dxa"/>
              <w:left w:w="15" w:type="dxa"/>
              <w:right w:w="15" w:type="dxa"/>
            </w:tcMar>
            <w:vAlign w:val="bottom"/>
          </w:tcPr>
          <w:p w14:paraId="023B0815">
            <w:pPr>
              <w:rPr>
                <w:rFonts w:ascii="Arial" w:hAnsi="Arial"/>
                <w:color w:val="000000"/>
                <w:sz w:val="20"/>
                <w:szCs w:val="20"/>
              </w:rPr>
            </w:pPr>
          </w:p>
        </w:tc>
        <w:tc>
          <w:tcPr>
            <w:tcW w:w="1035" w:type="dxa"/>
            <w:gridSpan w:val="3"/>
            <w:tcBorders>
              <w:top w:val="nil"/>
              <w:left w:val="nil"/>
              <w:bottom w:val="nil"/>
              <w:right w:val="nil"/>
            </w:tcBorders>
            <w:shd w:val="clear" w:color="auto" w:fill="auto"/>
            <w:noWrap/>
            <w:tcMar>
              <w:top w:w="15" w:type="dxa"/>
              <w:left w:w="15" w:type="dxa"/>
              <w:right w:w="15" w:type="dxa"/>
            </w:tcMar>
            <w:vAlign w:val="bottom"/>
          </w:tcPr>
          <w:p w14:paraId="0569417F">
            <w:pPr>
              <w:rPr>
                <w:rFonts w:ascii="Arial" w:hAnsi="Arial"/>
                <w:color w:val="000000"/>
                <w:sz w:val="20"/>
                <w:szCs w:val="20"/>
              </w:rPr>
            </w:pPr>
          </w:p>
        </w:tc>
        <w:tc>
          <w:tcPr>
            <w:tcW w:w="1472" w:type="dxa"/>
            <w:tcBorders>
              <w:top w:val="nil"/>
              <w:left w:val="nil"/>
              <w:bottom w:val="nil"/>
              <w:right w:val="nil"/>
            </w:tcBorders>
            <w:shd w:val="clear" w:color="auto" w:fill="auto"/>
            <w:noWrap/>
            <w:tcMar>
              <w:top w:w="15" w:type="dxa"/>
              <w:left w:w="15" w:type="dxa"/>
              <w:right w:w="15" w:type="dxa"/>
            </w:tcMar>
            <w:vAlign w:val="bottom"/>
          </w:tcPr>
          <w:p w14:paraId="2B047831">
            <w:pPr>
              <w:rPr>
                <w:rFonts w:ascii="Arial" w:hAnsi="Arial"/>
                <w:color w:val="000000"/>
                <w:sz w:val="20"/>
                <w:szCs w:val="20"/>
              </w:rPr>
            </w:pPr>
          </w:p>
        </w:tc>
        <w:tc>
          <w:tcPr>
            <w:tcW w:w="480" w:type="dxa"/>
            <w:tcBorders>
              <w:top w:val="nil"/>
              <w:left w:val="nil"/>
              <w:bottom w:val="nil"/>
              <w:right w:val="nil"/>
            </w:tcBorders>
            <w:shd w:val="clear" w:color="auto" w:fill="auto"/>
            <w:noWrap/>
            <w:tcMar>
              <w:top w:w="15" w:type="dxa"/>
              <w:left w:w="15" w:type="dxa"/>
              <w:right w:w="15" w:type="dxa"/>
            </w:tcMar>
            <w:vAlign w:val="bottom"/>
          </w:tcPr>
          <w:p w14:paraId="6E7BC72C">
            <w:pPr>
              <w:rPr>
                <w:rFonts w:ascii="Arial" w:hAnsi="Arial"/>
                <w:color w:val="000000"/>
                <w:sz w:val="20"/>
                <w:szCs w:val="20"/>
              </w:rPr>
            </w:pPr>
          </w:p>
        </w:tc>
        <w:tc>
          <w:tcPr>
            <w:tcW w:w="481" w:type="dxa"/>
            <w:tcBorders>
              <w:top w:val="nil"/>
              <w:left w:val="nil"/>
              <w:bottom w:val="nil"/>
              <w:right w:val="nil"/>
            </w:tcBorders>
            <w:shd w:val="clear" w:color="auto" w:fill="auto"/>
            <w:noWrap/>
            <w:tcMar>
              <w:top w:w="15" w:type="dxa"/>
              <w:left w:w="15" w:type="dxa"/>
              <w:right w:w="15" w:type="dxa"/>
            </w:tcMar>
            <w:vAlign w:val="bottom"/>
          </w:tcPr>
          <w:p w14:paraId="7C774F27">
            <w:pPr>
              <w:rPr>
                <w:rFonts w:ascii="Arial" w:hAnsi="Arial"/>
                <w:color w:val="000000"/>
                <w:sz w:val="20"/>
                <w:szCs w:val="20"/>
              </w:rPr>
            </w:pPr>
          </w:p>
        </w:tc>
        <w:tc>
          <w:tcPr>
            <w:tcW w:w="664" w:type="dxa"/>
            <w:tcBorders>
              <w:top w:val="nil"/>
              <w:left w:val="nil"/>
              <w:bottom w:val="nil"/>
              <w:right w:val="nil"/>
            </w:tcBorders>
            <w:shd w:val="clear" w:color="auto" w:fill="auto"/>
            <w:noWrap/>
            <w:tcMar>
              <w:top w:w="15" w:type="dxa"/>
              <w:left w:w="15" w:type="dxa"/>
              <w:right w:w="15" w:type="dxa"/>
            </w:tcMar>
            <w:vAlign w:val="bottom"/>
          </w:tcPr>
          <w:p w14:paraId="72EFF1D3">
            <w:pPr>
              <w:rPr>
                <w:rFonts w:ascii="Arial" w:hAnsi="Arial"/>
                <w:color w:val="000000"/>
                <w:sz w:val="20"/>
                <w:szCs w:val="20"/>
              </w:rPr>
            </w:pPr>
          </w:p>
        </w:tc>
        <w:tc>
          <w:tcPr>
            <w:tcW w:w="664" w:type="dxa"/>
            <w:tcBorders>
              <w:top w:val="nil"/>
              <w:left w:val="nil"/>
              <w:bottom w:val="nil"/>
              <w:right w:val="nil"/>
            </w:tcBorders>
            <w:shd w:val="clear" w:color="auto" w:fill="auto"/>
            <w:noWrap/>
            <w:tcMar>
              <w:top w:w="15" w:type="dxa"/>
              <w:left w:w="15" w:type="dxa"/>
              <w:right w:w="15" w:type="dxa"/>
            </w:tcMar>
            <w:vAlign w:val="bottom"/>
          </w:tcPr>
          <w:p w14:paraId="7382DC68">
            <w:pPr>
              <w:rPr>
                <w:rFonts w:ascii="Arial" w:hAnsi="Arial"/>
                <w:color w:val="000000"/>
                <w:sz w:val="20"/>
                <w:szCs w:val="20"/>
              </w:rPr>
            </w:pPr>
          </w:p>
        </w:tc>
        <w:tc>
          <w:tcPr>
            <w:tcW w:w="841" w:type="dxa"/>
            <w:tcBorders>
              <w:top w:val="nil"/>
              <w:left w:val="nil"/>
              <w:bottom w:val="nil"/>
              <w:right w:val="nil"/>
            </w:tcBorders>
            <w:shd w:val="clear" w:color="auto" w:fill="auto"/>
            <w:noWrap/>
            <w:tcMar>
              <w:top w:w="15" w:type="dxa"/>
              <w:left w:w="15" w:type="dxa"/>
              <w:right w:w="15" w:type="dxa"/>
            </w:tcMar>
            <w:vAlign w:val="bottom"/>
          </w:tcPr>
          <w:p w14:paraId="69CFD46C">
            <w:pPr>
              <w:rPr>
                <w:rFonts w:ascii="Arial" w:hAnsi="Arial"/>
                <w:color w:val="000000"/>
                <w:sz w:val="20"/>
                <w:szCs w:val="20"/>
              </w:rPr>
            </w:pPr>
          </w:p>
        </w:tc>
      </w:tr>
    </w:tbl>
    <w:p w14:paraId="31993E0E">
      <w:pPr>
        <w:pStyle w:val="3"/>
        <w:spacing w:line="560" w:lineRule="exact"/>
        <w:ind w:left="0" w:firstLine="660" w:firstLineChars="200"/>
        <w:jc w:val="both"/>
        <w:rPr>
          <w:sz w:val="32"/>
          <w:szCs w:val="32"/>
          <w:lang w:eastAsia="zh-CN"/>
        </w:rPr>
      </w:pPr>
      <w:r>
        <w:rPr>
          <w:rFonts w:hint="eastAsia"/>
          <w:spacing w:val="5"/>
          <w:sz w:val="32"/>
          <w:szCs w:val="32"/>
          <w:lang w:eastAsia="zh-CN"/>
        </w:rPr>
        <w:t>海关信息系统运行维护</w:t>
      </w:r>
      <w:r>
        <w:rPr>
          <w:spacing w:val="5"/>
          <w:sz w:val="32"/>
          <w:szCs w:val="32"/>
          <w:lang w:eastAsia="zh-CN"/>
        </w:rPr>
        <w:t>项目绩效自评综述：根据年初设定的绩效目</w:t>
      </w:r>
      <w:r>
        <w:rPr>
          <w:spacing w:val="6"/>
          <w:sz w:val="32"/>
          <w:szCs w:val="32"/>
          <w:lang w:eastAsia="zh-CN"/>
        </w:rPr>
        <w:t>标，项目自评得分为</w:t>
      </w:r>
      <w:r>
        <w:rPr>
          <w:rFonts w:hint="eastAsia" w:ascii="Times New Roman" w:eastAsia="宋体" w:cs="Times New Roman"/>
          <w:spacing w:val="9"/>
          <w:sz w:val="32"/>
          <w:szCs w:val="32"/>
          <w:lang w:eastAsia="zh-CN"/>
        </w:rPr>
        <w:t>100</w:t>
      </w:r>
      <w:r>
        <w:rPr>
          <w:spacing w:val="6"/>
          <w:sz w:val="32"/>
          <w:szCs w:val="32"/>
          <w:lang w:eastAsia="zh-CN"/>
        </w:rPr>
        <w:t>分。</w:t>
      </w:r>
      <w:r>
        <w:rPr>
          <w:rFonts w:hint="eastAsia"/>
          <w:spacing w:val="6"/>
          <w:sz w:val="32"/>
          <w:szCs w:val="32"/>
          <w:lang w:eastAsia="zh-CN"/>
        </w:rPr>
        <w:t>我关</w:t>
      </w:r>
      <w:r>
        <w:rPr>
          <w:spacing w:val="6"/>
          <w:sz w:val="32"/>
          <w:szCs w:val="32"/>
          <w:lang w:eastAsia="zh-CN"/>
        </w:rPr>
        <w:t>全年预算数</w:t>
      </w:r>
      <w:r>
        <w:rPr>
          <w:rFonts w:hint="eastAsia" w:ascii="Times New Roman" w:eastAsia="宋体" w:cs="Times New Roman"/>
          <w:spacing w:val="9"/>
          <w:sz w:val="32"/>
          <w:szCs w:val="32"/>
          <w:lang w:eastAsia="zh-CN"/>
        </w:rPr>
        <w:t>5.00</w:t>
      </w:r>
      <w:r>
        <w:rPr>
          <w:spacing w:val="6"/>
          <w:sz w:val="32"/>
          <w:szCs w:val="32"/>
          <w:lang w:eastAsia="zh-CN"/>
        </w:rPr>
        <w:t>万元，执行数</w:t>
      </w:r>
      <w:r>
        <w:rPr>
          <w:spacing w:val="8"/>
          <w:sz w:val="32"/>
          <w:szCs w:val="32"/>
          <w:lang w:eastAsia="zh-CN"/>
        </w:rPr>
        <w:t>为</w:t>
      </w:r>
      <w:r>
        <w:rPr>
          <w:rFonts w:hint="eastAsia" w:ascii="Times New Roman" w:eastAsia="宋体" w:cs="Times New Roman"/>
          <w:spacing w:val="9"/>
          <w:sz w:val="32"/>
          <w:szCs w:val="32"/>
          <w:lang w:eastAsia="zh-CN"/>
        </w:rPr>
        <w:t>5.00</w:t>
      </w:r>
      <w:r>
        <w:rPr>
          <w:spacing w:val="8"/>
          <w:sz w:val="32"/>
          <w:szCs w:val="32"/>
          <w:lang w:eastAsia="zh-CN"/>
        </w:rPr>
        <w:t>万元，完成预算的</w:t>
      </w:r>
      <w:r>
        <w:rPr>
          <w:rFonts w:hint="eastAsia" w:ascii="Times New Roman" w:eastAsia="宋体" w:cs="Times New Roman"/>
          <w:spacing w:val="9"/>
          <w:sz w:val="32"/>
          <w:szCs w:val="32"/>
          <w:lang w:eastAsia="zh-CN"/>
        </w:rPr>
        <w:t>100</w:t>
      </w:r>
      <w:r>
        <w:rPr>
          <w:rFonts w:ascii="Times New Roman" w:eastAsia="Times New Roman" w:cs="Times New Roman"/>
          <w:spacing w:val="9"/>
          <w:sz w:val="32"/>
          <w:szCs w:val="32"/>
          <w:lang w:eastAsia="zh-CN"/>
        </w:rPr>
        <w:t>%</w:t>
      </w:r>
      <w:r>
        <w:rPr>
          <w:spacing w:val="8"/>
          <w:sz w:val="32"/>
          <w:szCs w:val="32"/>
          <w:lang w:eastAsia="zh-CN"/>
        </w:rPr>
        <w:t>。项目绩效目标完成情况：</w:t>
      </w:r>
      <w:r>
        <w:rPr>
          <w:spacing w:val="5"/>
          <w:sz w:val="32"/>
          <w:szCs w:val="32"/>
          <w:lang w:eastAsia="zh-CN"/>
        </w:rPr>
        <w:t>完成线路租用，保障隶属海关到直属海关的关区网的网络通</w:t>
      </w:r>
      <w:r>
        <w:rPr>
          <w:sz w:val="32"/>
          <w:szCs w:val="32"/>
          <w:lang w:eastAsia="zh-CN"/>
        </w:rPr>
        <w:t>信</w:t>
      </w:r>
      <w:r>
        <w:rPr>
          <w:rFonts w:hint="eastAsia"/>
          <w:sz w:val="32"/>
          <w:szCs w:val="32"/>
          <w:lang w:eastAsia="zh-CN"/>
        </w:rPr>
        <w:t>；确保信息系统具备</w:t>
      </w:r>
      <w:r>
        <w:rPr>
          <w:rFonts w:hint="eastAsia" w:ascii="Times New Roman" w:eastAsia="宋体" w:cs="Times New Roman"/>
          <w:spacing w:val="9"/>
          <w:sz w:val="32"/>
          <w:szCs w:val="32"/>
          <w:lang w:eastAsia="zh-CN"/>
        </w:rPr>
        <w:t>7x24</w:t>
      </w:r>
      <w:r>
        <w:rPr>
          <w:rFonts w:hint="eastAsia"/>
          <w:sz w:val="32"/>
          <w:szCs w:val="32"/>
          <w:lang w:eastAsia="zh-CN"/>
        </w:rPr>
        <w:t>小时连续服务能力，服务海关监管执法业务开展；无重大网络事件发生。</w:t>
      </w:r>
    </w:p>
    <w:p w14:paraId="5E6EBBFD">
      <w:pPr>
        <w:pStyle w:val="3"/>
        <w:ind w:left="0"/>
        <w:rPr>
          <w:sz w:val="32"/>
          <w:szCs w:val="32"/>
          <w:lang w:eastAsia="zh-CN"/>
        </w:rPr>
      </w:pPr>
      <w:r>
        <w:rPr>
          <w:sz w:val="32"/>
          <w:szCs w:val="32"/>
          <w:lang w:eastAsia="zh-CN"/>
        </w:rPr>
        <w:drawing>
          <wp:inline distT="0" distB="0" distL="114300" distR="114300">
            <wp:extent cx="5382260" cy="4809490"/>
            <wp:effectExtent l="0" t="0" r="8890" b="10160"/>
            <wp:docPr id="36" name="图片 3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2"/>
                    <pic:cNvPicPr>
                      <a:picLocks noChangeAspect="1"/>
                    </pic:cNvPicPr>
                  </pic:nvPicPr>
                  <pic:blipFill>
                    <a:blip r:embed="rId36" cstate="print"/>
                    <a:stretch>
                      <a:fillRect/>
                    </a:stretch>
                  </pic:blipFill>
                  <pic:spPr>
                    <a:xfrm>
                      <a:off x="0" y="0"/>
                      <a:ext cx="5382260" cy="4809490"/>
                    </a:xfrm>
                    <a:prstGeom prst="rect">
                      <a:avLst/>
                    </a:prstGeom>
                  </pic:spPr>
                </pic:pic>
              </a:graphicData>
            </a:graphic>
          </wp:inline>
        </w:drawing>
      </w:r>
    </w:p>
    <w:p w14:paraId="2D7F4A33">
      <w:pPr>
        <w:pStyle w:val="3"/>
        <w:spacing w:line="560" w:lineRule="exact"/>
        <w:ind w:left="0" w:firstLine="640" w:firstLineChars="200"/>
        <w:jc w:val="both"/>
        <w:rPr>
          <w:sz w:val="32"/>
          <w:szCs w:val="32"/>
          <w:lang w:eastAsia="zh-CN"/>
        </w:rPr>
      </w:pPr>
    </w:p>
    <w:p w14:paraId="08EF53CF">
      <w:pPr>
        <w:pStyle w:val="3"/>
        <w:spacing w:line="560" w:lineRule="exact"/>
        <w:ind w:left="0" w:firstLine="640" w:firstLineChars="200"/>
        <w:jc w:val="both"/>
        <w:rPr>
          <w:spacing w:val="8"/>
          <w:sz w:val="32"/>
          <w:szCs w:val="32"/>
          <w:lang w:eastAsia="zh-CN"/>
        </w:rPr>
      </w:pPr>
      <w:r>
        <w:rPr>
          <w:rFonts w:hint="eastAsia"/>
          <w:sz w:val="32"/>
          <w:szCs w:val="32"/>
          <w:lang w:eastAsia="zh-CN"/>
        </w:rPr>
        <w:t>进出口商品质量安全检验监管专项绩效自评综述：</w:t>
      </w:r>
      <w:r>
        <w:rPr>
          <w:spacing w:val="5"/>
          <w:sz w:val="32"/>
          <w:szCs w:val="32"/>
          <w:lang w:eastAsia="zh-CN"/>
        </w:rPr>
        <w:t>根据年初设定的绩效目</w:t>
      </w:r>
      <w:r>
        <w:rPr>
          <w:spacing w:val="6"/>
          <w:sz w:val="32"/>
          <w:szCs w:val="32"/>
          <w:lang w:eastAsia="zh-CN"/>
        </w:rPr>
        <w:t>标，项目自评得分为</w:t>
      </w:r>
      <w:r>
        <w:rPr>
          <w:rFonts w:hint="eastAsia" w:ascii="Times New Roman" w:eastAsia="宋体" w:cs="Times New Roman"/>
          <w:spacing w:val="9"/>
          <w:sz w:val="32"/>
          <w:szCs w:val="32"/>
          <w:lang w:eastAsia="zh-CN"/>
        </w:rPr>
        <w:t>100</w:t>
      </w:r>
      <w:r>
        <w:rPr>
          <w:spacing w:val="6"/>
          <w:sz w:val="32"/>
          <w:szCs w:val="32"/>
          <w:lang w:eastAsia="zh-CN"/>
        </w:rPr>
        <w:t>分。</w:t>
      </w:r>
      <w:r>
        <w:rPr>
          <w:rFonts w:hint="eastAsia"/>
          <w:spacing w:val="6"/>
          <w:sz w:val="32"/>
          <w:szCs w:val="32"/>
          <w:lang w:eastAsia="zh-CN"/>
        </w:rPr>
        <w:t>我关</w:t>
      </w:r>
      <w:r>
        <w:rPr>
          <w:spacing w:val="6"/>
          <w:sz w:val="32"/>
          <w:szCs w:val="32"/>
          <w:lang w:eastAsia="zh-CN"/>
        </w:rPr>
        <w:t>全年预算数</w:t>
      </w:r>
      <w:r>
        <w:rPr>
          <w:rFonts w:hint="eastAsia" w:ascii="Times New Roman" w:eastAsia="宋体" w:cs="Times New Roman"/>
          <w:spacing w:val="9"/>
          <w:sz w:val="32"/>
          <w:szCs w:val="32"/>
          <w:lang w:eastAsia="zh-CN"/>
        </w:rPr>
        <w:t>5.00</w:t>
      </w:r>
      <w:r>
        <w:rPr>
          <w:spacing w:val="6"/>
          <w:sz w:val="32"/>
          <w:szCs w:val="32"/>
          <w:lang w:eastAsia="zh-CN"/>
        </w:rPr>
        <w:t>万元，执行数</w:t>
      </w:r>
      <w:r>
        <w:rPr>
          <w:spacing w:val="8"/>
          <w:sz w:val="32"/>
          <w:szCs w:val="32"/>
          <w:lang w:eastAsia="zh-CN"/>
        </w:rPr>
        <w:t>为</w:t>
      </w:r>
      <w:r>
        <w:rPr>
          <w:rFonts w:hint="eastAsia" w:ascii="Times New Roman" w:eastAsia="宋体" w:cs="Times New Roman"/>
          <w:spacing w:val="9"/>
          <w:sz w:val="32"/>
          <w:szCs w:val="32"/>
          <w:lang w:eastAsia="zh-CN"/>
        </w:rPr>
        <w:t>5.00</w:t>
      </w:r>
      <w:r>
        <w:rPr>
          <w:spacing w:val="8"/>
          <w:sz w:val="32"/>
          <w:szCs w:val="32"/>
          <w:lang w:eastAsia="zh-CN"/>
        </w:rPr>
        <w:t>万元，完成预算的</w:t>
      </w:r>
      <w:r>
        <w:rPr>
          <w:rFonts w:hint="eastAsia" w:ascii="Times New Roman" w:eastAsia="宋体" w:cs="Times New Roman"/>
          <w:spacing w:val="9"/>
          <w:sz w:val="32"/>
          <w:szCs w:val="32"/>
          <w:lang w:eastAsia="zh-CN"/>
        </w:rPr>
        <w:t>100</w:t>
      </w:r>
      <w:r>
        <w:rPr>
          <w:rFonts w:ascii="Times New Roman" w:eastAsia="Times New Roman" w:cs="Times New Roman"/>
          <w:spacing w:val="9"/>
          <w:sz w:val="32"/>
          <w:szCs w:val="32"/>
          <w:lang w:eastAsia="zh-CN"/>
        </w:rPr>
        <w:t>%</w:t>
      </w:r>
      <w:r>
        <w:rPr>
          <w:spacing w:val="8"/>
          <w:sz w:val="32"/>
          <w:szCs w:val="32"/>
          <w:lang w:eastAsia="zh-CN"/>
        </w:rPr>
        <w:t>。项目绩效目标完成情况：</w:t>
      </w:r>
      <w:r>
        <w:rPr>
          <w:rFonts w:hint="eastAsia"/>
          <w:spacing w:val="8"/>
          <w:sz w:val="32"/>
          <w:szCs w:val="32"/>
          <w:lang w:eastAsia="zh-CN"/>
        </w:rPr>
        <w:t>完成年度进出口危险危化学品及其包装检验监管管理工作；组织进出口玩具商品技术性贸易措施研究；开展专业培训，提高一线监管人员政策水平与业务能力。</w:t>
      </w:r>
    </w:p>
    <w:p w14:paraId="4F02663F">
      <w:pPr>
        <w:pStyle w:val="3"/>
        <w:ind w:left="0"/>
        <w:rPr>
          <w:sz w:val="32"/>
          <w:szCs w:val="32"/>
          <w:lang w:eastAsia="zh-CN"/>
        </w:rPr>
      </w:pPr>
      <w:r>
        <w:rPr>
          <w:sz w:val="32"/>
          <w:szCs w:val="32"/>
          <w:lang w:eastAsia="zh-CN"/>
        </w:rPr>
        <w:drawing>
          <wp:inline distT="0" distB="0" distL="114300" distR="114300">
            <wp:extent cx="5332730" cy="5181600"/>
            <wp:effectExtent l="0" t="0" r="1270" b="0"/>
            <wp:docPr id="38" name="图片 3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3"/>
                    <pic:cNvPicPr>
                      <a:picLocks noChangeAspect="1"/>
                    </pic:cNvPicPr>
                  </pic:nvPicPr>
                  <pic:blipFill>
                    <a:blip r:embed="rId37" cstate="print"/>
                    <a:stretch>
                      <a:fillRect/>
                    </a:stretch>
                  </pic:blipFill>
                  <pic:spPr>
                    <a:xfrm>
                      <a:off x="0" y="0"/>
                      <a:ext cx="5332730" cy="5181600"/>
                    </a:xfrm>
                    <a:prstGeom prst="rect">
                      <a:avLst/>
                    </a:prstGeom>
                  </pic:spPr>
                </pic:pic>
              </a:graphicData>
            </a:graphic>
          </wp:inline>
        </w:drawing>
      </w:r>
    </w:p>
    <w:p w14:paraId="6EDF3754">
      <w:pPr>
        <w:pStyle w:val="3"/>
        <w:spacing w:line="560" w:lineRule="exact"/>
        <w:ind w:left="0" w:firstLine="640" w:firstLineChars="200"/>
        <w:jc w:val="both"/>
        <w:rPr>
          <w:spacing w:val="8"/>
          <w:sz w:val="32"/>
          <w:szCs w:val="32"/>
          <w:lang w:eastAsia="zh-CN"/>
        </w:rPr>
      </w:pPr>
      <w:r>
        <w:rPr>
          <w:rFonts w:hint="eastAsia"/>
          <w:sz w:val="32"/>
          <w:szCs w:val="32"/>
          <w:lang w:eastAsia="zh-CN"/>
        </w:rPr>
        <w:t>企业管理及稽查专项绩效自评综述：</w:t>
      </w:r>
      <w:r>
        <w:rPr>
          <w:spacing w:val="5"/>
          <w:sz w:val="32"/>
          <w:szCs w:val="32"/>
          <w:lang w:eastAsia="zh-CN"/>
        </w:rPr>
        <w:t>根据年初设定的绩效目</w:t>
      </w:r>
      <w:r>
        <w:rPr>
          <w:spacing w:val="6"/>
          <w:sz w:val="32"/>
          <w:szCs w:val="32"/>
          <w:lang w:eastAsia="zh-CN"/>
        </w:rPr>
        <w:t>标，项目自评得分为</w:t>
      </w:r>
      <w:r>
        <w:rPr>
          <w:rFonts w:hint="eastAsia" w:ascii="Times New Roman" w:eastAsia="宋体" w:cs="Times New Roman"/>
          <w:spacing w:val="9"/>
          <w:sz w:val="32"/>
          <w:szCs w:val="32"/>
          <w:lang w:eastAsia="zh-CN"/>
        </w:rPr>
        <w:t>100</w:t>
      </w:r>
      <w:r>
        <w:rPr>
          <w:spacing w:val="6"/>
          <w:sz w:val="32"/>
          <w:szCs w:val="32"/>
          <w:lang w:eastAsia="zh-CN"/>
        </w:rPr>
        <w:t>分。</w:t>
      </w:r>
      <w:r>
        <w:rPr>
          <w:rFonts w:hint="eastAsia"/>
          <w:spacing w:val="6"/>
          <w:sz w:val="32"/>
          <w:szCs w:val="32"/>
          <w:lang w:eastAsia="zh-CN"/>
        </w:rPr>
        <w:t>我关</w:t>
      </w:r>
      <w:r>
        <w:rPr>
          <w:spacing w:val="6"/>
          <w:sz w:val="32"/>
          <w:szCs w:val="32"/>
          <w:lang w:eastAsia="zh-CN"/>
        </w:rPr>
        <w:t>全年预算数</w:t>
      </w:r>
      <w:r>
        <w:rPr>
          <w:rFonts w:hint="eastAsia" w:ascii="Times New Roman" w:eastAsia="宋体" w:cs="Times New Roman"/>
          <w:spacing w:val="9"/>
          <w:sz w:val="32"/>
          <w:szCs w:val="32"/>
          <w:lang w:eastAsia="zh-CN"/>
        </w:rPr>
        <w:t>4.00</w:t>
      </w:r>
      <w:r>
        <w:rPr>
          <w:spacing w:val="6"/>
          <w:sz w:val="32"/>
          <w:szCs w:val="32"/>
          <w:lang w:eastAsia="zh-CN"/>
        </w:rPr>
        <w:t>万元，执行数</w:t>
      </w:r>
      <w:r>
        <w:rPr>
          <w:spacing w:val="8"/>
          <w:sz w:val="32"/>
          <w:szCs w:val="32"/>
          <w:lang w:eastAsia="zh-CN"/>
        </w:rPr>
        <w:t>为</w:t>
      </w:r>
      <w:r>
        <w:rPr>
          <w:rFonts w:hint="eastAsia" w:ascii="Times New Roman" w:eastAsia="宋体" w:cs="Times New Roman"/>
          <w:spacing w:val="9"/>
          <w:sz w:val="32"/>
          <w:szCs w:val="32"/>
          <w:lang w:eastAsia="zh-CN"/>
        </w:rPr>
        <w:t>4.00</w:t>
      </w:r>
      <w:r>
        <w:rPr>
          <w:spacing w:val="8"/>
          <w:sz w:val="32"/>
          <w:szCs w:val="32"/>
          <w:lang w:eastAsia="zh-CN"/>
        </w:rPr>
        <w:t>万元，完成预算的</w:t>
      </w:r>
      <w:r>
        <w:rPr>
          <w:rFonts w:hint="eastAsia" w:ascii="Times New Roman" w:eastAsia="宋体" w:cs="Times New Roman"/>
          <w:spacing w:val="9"/>
          <w:sz w:val="32"/>
          <w:szCs w:val="32"/>
          <w:lang w:eastAsia="zh-CN"/>
        </w:rPr>
        <w:t>100</w:t>
      </w:r>
      <w:r>
        <w:rPr>
          <w:rFonts w:ascii="Times New Roman" w:eastAsia="Times New Roman" w:cs="Times New Roman"/>
          <w:spacing w:val="9"/>
          <w:sz w:val="32"/>
          <w:szCs w:val="32"/>
          <w:lang w:eastAsia="zh-CN"/>
        </w:rPr>
        <w:t>%</w:t>
      </w:r>
      <w:r>
        <w:rPr>
          <w:spacing w:val="8"/>
          <w:sz w:val="32"/>
          <w:szCs w:val="32"/>
          <w:lang w:eastAsia="zh-CN"/>
        </w:rPr>
        <w:t>。项目绩效目标完成情况：</w:t>
      </w:r>
      <w:r>
        <w:rPr>
          <w:rFonts w:hint="eastAsia"/>
          <w:spacing w:val="8"/>
          <w:sz w:val="32"/>
          <w:szCs w:val="32"/>
          <w:lang w:eastAsia="zh-CN"/>
        </w:rPr>
        <w:t>“多查合一”改革推进良好，稽核查查发率和工作效能都有所提高，强化了企业自律行为。</w:t>
      </w:r>
    </w:p>
    <w:p w14:paraId="0BB29338">
      <w:pPr>
        <w:rPr>
          <w:rFonts w:cs="Times New Roman"/>
          <w:sz w:val="20"/>
          <w:szCs w:val="20"/>
          <w:lang w:eastAsia="zh-CN"/>
        </w:rPr>
      </w:pPr>
      <w:r>
        <w:rPr>
          <w:rFonts w:cs="Times New Roman"/>
          <w:sz w:val="20"/>
          <w:szCs w:val="20"/>
          <w:lang w:eastAsia="zh-CN"/>
        </w:rPr>
        <w:drawing>
          <wp:inline distT="0" distB="0" distL="114300" distR="114300">
            <wp:extent cx="5337175" cy="5157470"/>
            <wp:effectExtent l="0" t="0" r="15875" b="5080"/>
            <wp:docPr id="39" name="图片 3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4"/>
                    <pic:cNvPicPr>
                      <a:picLocks noChangeAspect="1"/>
                    </pic:cNvPicPr>
                  </pic:nvPicPr>
                  <pic:blipFill>
                    <a:blip r:embed="rId38" cstate="print"/>
                    <a:stretch>
                      <a:fillRect/>
                    </a:stretch>
                  </pic:blipFill>
                  <pic:spPr>
                    <a:xfrm>
                      <a:off x="0" y="0"/>
                      <a:ext cx="5337175" cy="5157470"/>
                    </a:xfrm>
                    <a:prstGeom prst="rect">
                      <a:avLst/>
                    </a:prstGeom>
                  </pic:spPr>
                </pic:pic>
              </a:graphicData>
            </a:graphic>
          </wp:inline>
        </w:drawing>
      </w:r>
    </w:p>
    <w:p w14:paraId="1834998D">
      <w:pPr>
        <w:spacing w:line="560" w:lineRule="exact"/>
        <w:ind w:firstLine="400" w:firstLineChars="200"/>
        <w:jc w:val="both"/>
        <w:rPr>
          <w:rFonts w:cs="Times New Roman"/>
          <w:sz w:val="20"/>
          <w:szCs w:val="20"/>
          <w:lang w:eastAsia="zh-CN"/>
        </w:rPr>
      </w:pPr>
    </w:p>
    <w:p w14:paraId="5B9CDE7C">
      <w:pPr>
        <w:pStyle w:val="3"/>
        <w:spacing w:line="560" w:lineRule="exact"/>
        <w:ind w:left="0" w:firstLine="640" w:firstLineChars="200"/>
        <w:jc w:val="both"/>
        <w:rPr>
          <w:spacing w:val="8"/>
          <w:sz w:val="32"/>
          <w:szCs w:val="32"/>
          <w:lang w:eastAsia="zh-CN"/>
        </w:rPr>
      </w:pPr>
      <w:r>
        <w:rPr>
          <w:rFonts w:hint="eastAsia"/>
          <w:sz w:val="32"/>
          <w:szCs w:val="32"/>
          <w:lang w:eastAsia="zh-CN"/>
        </w:rPr>
        <w:t>监管查验技术装备设备购建及能力保障专项绩效自评综述：</w:t>
      </w:r>
      <w:r>
        <w:rPr>
          <w:spacing w:val="5"/>
          <w:sz w:val="32"/>
          <w:szCs w:val="32"/>
          <w:lang w:eastAsia="zh-CN"/>
        </w:rPr>
        <w:t>根据年初设定的绩效目</w:t>
      </w:r>
      <w:r>
        <w:rPr>
          <w:spacing w:val="6"/>
          <w:sz w:val="32"/>
          <w:szCs w:val="32"/>
          <w:lang w:eastAsia="zh-CN"/>
        </w:rPr>
        <w:t>标，项目自评得分为</w:t>
      </w:r>
      <w:r>
        <w:rPr>
          <w:rFonts w:hint="eastAsia" w:ascii="Times New Roman" w:eastAsia="宋体" w:cs="Times New Roman"/>
          <w:spacing w:val="9"/>
          <w:sz w:val="32"/>
          <w:szCs w:val="32"/>
          <w:lang w:eastAsia="zh-CN"/>
        </w:rPr>
        <w:t>100</w:t>
      </w:r>
      <w:r>
        <w:rPr>
          <w:spacing w:val="6"/>
          <w:sz w:val="32"/>
          <w:szCs w:val="32"/>
          <w:lang w:eastAsia="zh-CN"/>
        </w:rPr>
        <w:t>分。</w:t>
      </w:r>
      <w:r>
        <w:rPr>
          <w:rFonts w:hint="eastAsia"/>
          <w:spacing w:val="6"/>
          <w:sz w:val="32"/>
          <w:szCs w:val="32"/>
          <w:lang w:eastAsia="zh-CN"/>
        </w:rPr>
        <w:t>我关</w:t>
      </w:r>
      <w:r>
        <w:rPr>
          <w:spacing w:val="6"/>
          <w:sz w:val="32"/>
          <w:szCs w:val="32"/>
          <w:lang w:eastAsia="zh-CN"/>
        </w:rPr>
        <w:t>全年预算数</w:t>
      </w:r>
      <w:r>
        <w:rPr>
          <w:rFonts w:hint="eastAsia" w:ascii="Times New Roman" w:eastAsia="宋体" w:cs="Times New Roman"/>
          <w:spacing w:val="9"/>
          <w:sz w:val="32"/>
          <w:szCs w:val="32"/>
          <w:lang w:eastAsia="zh-CN"/>
        </w:rPr>
        <w:t>3.02</w:t>
      </w:r>
      <w:r>
        <w:rPr>
          <w:spacing w:val="6"/>
          <w:sz w:val="32"/>
          <w:szCs w:val="32"/>
          <w:lang w:eastAsia="zh-CN"/>
        </w:rPr>
        <w:t>万元，执行数</w:t>
      </w:r>
      <w:r>
        <w:rPr>
          <w:spacing w:val="8"/>
          <w:sz w:val="32"/>
          <w:szCs w:val="32"/>
          <w:lang w:eastAsia="zh-CN"/>
        </w:rPr>
        <w:t>为</w:t>
      </w:r>
      <w:r>
        <w:rPr>
          <w:rFonts w:hint="eastAsia" w:ascii="Times New Roman" w:eastAsia="宋体" w:cs="Times New Roman"/>
          <w:spacing w:val="9"/>
          <w:sz w:val="32"/>
          <w:szCs w:val="32"/>
          <w:lang w:eastAsia="zh-CN"/>
        </w:rPr>
        <w:t>3.02</w:t>
      </w:r>
      <w:r>
        <w:rPr>
          <w:spacing w:val="8"/>
          <w:sz w:val="32"/>
          <w:szCs w:val="32"/>
          <w:lang w:eastAsia="zh-CN"/>
        </w:rPr>
        <w:t>万元，完成预算的</w:t>
      </w:r>
      <w:r>
        <w:rPr>
          <w:rFonts w:hint="eastAsia" w:ascii="Times New Roman" w:eastAsia="宋体" w:cs="Times New Roman"/>
          <w:spacing w:val="9"/>
          <w:sz w:val="32"/>
          <w:szCs w:val="32"/>
          <w:lang w:eastAsia="zh-CN"/>
        </w:rPr>
        <w:t>100</w:t>
      </w:r>
      <w:r>
        <w:rPr>
          <w:rFonts w:ascii="Times New Roman" w:eastAsia="Times New Roman" w:cs="Times New Roman"/>
          <w:spacing w:val="9"/>
          <w:sz w:val="32"/>
          <w:szCs w:val="32"/>
          <w:lang w:eastAsia="zh-CN"/>
        </w:rPr>
        <w:t>%</w:t>
      </w:r>
      <w:r>
        <w:rPr>
          <w:spacing w:val="8"/>
          <w:sz w:val="32"/>
          <w:szCs w:val="32"/>
          <w:lang w:eastAsia="zh-CN"/>
        </w:rPr>
        <w:t>。项目绩效目标完成情况：</w:t>
      </w:r>
      <w:r>
        <w:rPr>
          <w:rFonts w:hint="eastAsia"/>
          <w:spacing w:val="8"/>
          <w:sz w:val="32"/>
          <w:szCs w:val="32"/>
          <w:lang w:eastAsia="zh-CN"/>
        </w:rPr>
        <w:t>完成出台《丽水海关出口竹木制品监管方案（试行）》，深化开展“远程属地查检”监管模式改革，有效缓解辖区面积广、企业分布散、查检时间长、人力资源不足等问题；购买口岸监管查验设备，提升海关口岸监管水平和属地检验监管作业执便利化水平。</w:t>
      </w:r>
    </w:p>
    <w:p w14:paraId="28C74C2E">
      <w:pPr>
        <w:ind w:firstLine="400" w:firstLineChars="200"/>
        <w:jc w:val="both"/>
        <w:rPr>
          <w:rFonts w:cs="Times New Roman"/>
          <w:sz w:val="20"/>
          <w:szCs w:val="20"/>
          <w:lang w:eastAsia="zh-CN"/>
        </w:rPr>
      </w:pPr>
    </w:p>
    <w:p w14:paraId="1E868C18">
      <w:pPr>
        <w:rPr>
          <w:rFonts w:cs="Times New Roman"/>
          <w:sz w:val="20"/>
          <w:szCs w:val="20"/>
          <w:lang w:eastAsia="zh-CN"/>
        </w:rPr>
      </w:pPr>
      <w:r>
        <w:rPr>
          <w:rFonts w:cs="Times New Roman"/>
          <w:sz w:val="20"/>
          <w:szCs w:val="20"/>
          <w:lang w:eastAsia="zh-CN"/>
        </w:rPr>
        <w:drawing>
          <wp:inline distT="0" distB="0" distL="114300" distR="114300">
            <wp:extent cx="5335270" cy="5019040"/>
            <wp:effectExtent l="0" t="0" r="17780" b="10160"/>
            <wp:docPr id="40" name="图片 4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5"/>
                    <pic:cNvPicPr>
                      <a:picLocks noChangeAspect="1"/>
                    </pic:cNvPicPr>
                  </pic:nvPicPr>
                  <pic:blipFill>
                    <a:blip r:embed="rId39" cstate="print"/>
                    <a:stretch>
                      <a:fillRect/>
                    </a:stretch>
                  </pic:blipFill>
                  <pic:spPr>
                    <a:xfrm>
                      <a:off x="0" y="0"/>
                      <a:ext cx="5335270" cy="5019040"/>
                    </a:xfrm>
                    <a:prstGeom prst="rect">
                      <a:avLst/>
                    </a:prstGeom>
                  </pic:spPr>
                </pic:pic>
              </a:graphicData>
            </a:graphic>
          </wp:inline>
        </w:drawing>
      </w:r>
    </w:p>
    <w:p w14:paraId="3C75963D">
      <w:pPr>
        <w:rPr>
          <w:rFonts w:cs="Times New Roman"/>
          <w:sz w:val="20"/>
          <w:szCs w:val="20"/>
          <w:lang w:eastAsia="zh-CN"/>
        </w:rPr>
      </w:pPr>
    </w:p>
    <w:p w14:paraId="617BA67A">
      <w:pPr>
        <w:rPr>
          <w:rFonts w:cs="Times New Roman"/>
          <w:sz w:val="20"/>
          <w:szCs w:val="20"/>
          <w:lang w:eastAsia="zh-CN"/>
        </w:rPr>
      </w:pPr>
    </w:p>
    <w:p w14:paraId="15333724">
      <w:pPr>
        <w:ind w:firstLine="672" w:firstLineChars="200"/>
        <w:rPr>
          <w:rFonts w:cs="Times New Roman"/>
          <w:sz w:val="20"/>
          <w:szCs w:val="20"/>
          <w:lang w:eastAsia="zh-CN"/>
        </w:rPr>
        <w:sectPr>
          <w:headerReference r:id="rId13" w:type="default"/>
          <w:footerReference r:id="rId14" w:type="default"/>
          <w:pgSz w:w="11922" w:h="16849"/>
          <w:pgMar w:top="1440" w:right="1757" w:bottom="1440" w:left="1757" w:header="0" w:footer="765" w:gutter="0"/>
          <w:cols w:space="0" w:num="1"/>
          <w:docGrid w:linePitch="312" w:charSpace="0"/>
        </w:sectPr>
      </w:pPr>
      <w:r>
        <w:rPr>
          <w:rFonts w:hint="eastAsia" w:ascii="方正仿宋_GBK" w:eastAsia="方正仿宋_GBK"/>
          <w:spacing w:val="8"/>
          <w:sz w:val="32"/>
          <w:szCs w:val="32"/>
          <w:lang w:eastAsia="zh-CN"/>
        </w:rPr>
        <w:t>海关业务保障及能力提升专项绩效自评综述：根据年初设定的绩效目标，项目自评得分为100分。我关全年预算数88.87万元，执行数为88.87万元，完成预算的100%。项目绩效目标完成情况：保障丽水海关行政执法、普法宣传、风险管理等各项业务需求。执法人员100%持证上岗，我关打造“关助浙丽”服务品牌，完善丽水海关九县市区“一对一”联系机制，完成业务宣传22次，普法宣传3次，成立了云擎工作室开展风险分析研判。保障丽水海关行政执法技术支持的能力储备和其他支出需求，完成技贸措施调研1次，助力企业对标国外市场准入要求。</w:t>
      </w:r>
      <w:r>
        <w:rPr>
          <w:rFonts w:cs="Times New Roman"/>
          <w:sz w:val="20"/>
          <w:szCs w:val="20"/>
          <w:lang w:eastAsia="zh-CN"/>
        </w:rPr>
        <w:drawing>
          <wp:inline distT="0" distB="0" distL="114300" distR="114300">
            <wp:extent cx="5335270" cy="5996305"/>
            <wp:effectExtent l="0" t="0" r="17780" b="4445"/>
            <wp:docPr id="41" name="图片 4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6"/>
                    <pic:cNvPicPr>
                      <a:picLocks noChangeAspect="1"/>
                    </pic:cNvPicPr>
                  </pic:nvPicPr>
                  <pic:blipFill>
                    <a:blip r:embed="rId40" cstate="print"/>
                    <a:stretch>
                      <a:fillRect/>
                    </a:stretch>
                  </pic:blipFill>
                  <pic:spPr>
                    <a:xfrm>
                      <a:off x="0" y="0"/>
                      <a:ext cx="5335270" cy="5996305"/>
                    </a:xfrm>
                    <a:prstGeom prst="rect">
                      <a:avLst/>
                    </a:prstGeom>
                  </pic:spPr>
                </pic:pic>
              </a:graphicData>
            </a:graphic>
          </wp:inline>
        </w:drawing>
      </w:r>
    </w:p>
    <w:p w14:paraId="3063EB22">
      <w:pPr>
        <w:pStyle w:val="13"/>
        <w:tabs>
          <w:tab w:val="left" w:pos="5591"/>
        </w:tabs>
        <w:spacing w:line="1200" w:lineRule="exact"/>
        <w:outlineLvl w:val="9"/>
        <w:rPr>
          <w:lang w:eastAsia="zh-CN"/>
        </w:rPr>
      </w:pPr>
    </w:p>
    <w:p w14:paraId="6189A42C">
      <w:pPr>
        <w:pStyle w:val="13"/>
        <w:tabs>
          <w:tab w:val="left" w:pos="5591"/>
        </w:tabs>
        <w:spacing w:line="1200" w:lineRule="exact"/>
        <w:outlineLvl w:val="9"/>
        <w:rPr>
          <w:lang w:eastAsia="zh-CN"/>
        </w:rPr>
      </w:pPr>
    </w:p>
    <w:p w14:paraId="554B1A51">
      <w:pPr>
        <w:pStyle w:val="13"/>
        <w:tabs>
          <w:tab w:val="left" w:pos="5591"/>
        </w:tabs>
        <w:spacing w:line="1200" w:lineRule="exact"/>
        <w:outlineLvl w:val="9"/>
        <w:rPr>
          <w:lang w:eastAsia="zh-CN"/>
        </w:rPr>
      </w:pPr>
    </w:p>
    <w:p w14:paraId="667E92DF">
      <w:pPr>
        <w:pStyle w:val="13"/>
        <w:tabs>
          <w:tab w:val="left" w:pos="5591"/>
        </w:tabs>
        <w:spacing w:line="1200" w:lineRule="exact"/>
        <w:outlineLvl w:val="9"/>
        <w:rPr>
          <w:lang w:eastAsia="zh-CN"/>
        </w:rPr>
      </w:pPr>
    </w:p>
    <w:p w14:paraId="1D88E197">
      <w:pPr>
        <w:pStyle w:val="13"/>
        <w:tabs>
          <w:tab w:val="left" w:pos="5591"/>
        </w:tabs>
        <w:spacing w:line="1200" w:lineRule="exact"/>
        <w:jc w:val="center"/>
        <w:outlineLvl w:val="0"/>
        <w:rPr>
          <w:lang w:eastAsia="zh-CN"/>
        </w:rPr>
      </w:pPr>
      <w:bookmarkStart w:id="28" w:name="_Toc120"/>
      <w:r>
        <w:rPr>
          <w:rFonts w:hint="eastAsia"/>
          <w:lang w:eastAsia="zh-CN"/>
        </w:rPr>
        <w:t>第四部分  名词解释</w:t>
      </w:r>
      <w:bookmarkEnd w:id="28"/>
    </w:p>
    <w:p w14:paraId="463CBB03">
      <w:pPr>
        <w:spacing w:line="560" w:lineRule="exact"/>
        <w:ind w:firstLine="440" w:firstLineChars="200"/>
        <w:jc w:val="both"/>
        <w:rPr>
          <w:lang w:eastAsia="zh-CN"/>
        </w:rPr>
        <w:sectPr>
          <w:headerReference r:id="rId15" w:type="default"/>
          <w:footerReference r:id="rId16" w:type="default"/>
          <w:pgSz w:w="11922" w:h="16849"/>
          <w:pgMar w:top="1440" w:right="1757" w:bottom="1440" w:left="1757" w:header="0" w:footer="765" w:gutter="0"/>
          <w:cols w:space="0" w:num="1"/>
          <w:docGrid w:linePitch="312" w:charSpace="0"/>
        </w:sectPr>
      </w:pPr>
    </w:p>
    <w:p w14:paraId="1A374F53">
      <w:pPr>
        <w:spacing w:before="209" w:line="259" w:lineRule="auto"/>
        <w:ind w:left="24" w:right="310" w:firstLine="663"/>
        <w:rPr>
          <w:rFonts w:ascii="方正仿宋_GBK" w:eastAsia="方正仿宋_GBK" w:cs="方正仿宋_GBK"/>
          <w:sz w:val="32"/>
          <w:szCs w:val="32"/>
          <w:lang w:eastAsia="zh-CN"/>
        </w:rPr>
      </w:pPr>
      <w:r>
        <w:rPr>
          <w:lang w:eastAsia="zh-CN"/>
        </w:rPr>
        <w:drawing>
          <wp:anchor distT="0" distB="0" distL="0" distR="0" simplePos="0" relativeHeight="251659264" behindDoc="0" locked="0" layoutInCell="0" allowOverlap="1">
            <wp:simplePos x="0" y="0"/>
            <wp:positionH relativeFrom="page">
              <wp:posOffset>-3175</wp:posOffset>
            </wp:positionH>
            <wp:positionV relativeFrom="page">
              <wp:posOffset>-3175</wp:posOffset>
            </wp:positionV>
            <wp:extent cx="6350" cy="6350"/>
            <wp:effectExtent l="0" t="0" r="0" b="0"/>
            <wp:wrapNone/>
            <wp:docPr id="65" name="图片 65"/>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41"/>
                    <a:stretch>
                      <a:fillRect/>
                    </a:stretch>
                  </pic:blipFill>
                  <pic:spPr>
                    <a:xfrm>
                      <a:off x="0" y="0"/>
                      <a:ext cx="6350" cy="6350"/>
                    </a:xfrm>
                    <a:prstGeom prst="rect">
                      <a:avLst/>
                    </a:prstGeom>
                    <a:noFill/>
                    <a:ln w="9525" cap="flat" cmpd="sng">
                      <a:noFill/>
                      <a:prstDash val="solid"/>
                      <a:miter/>
                    </a:ln>
                  </pic:spPr>
                </pic:pic>
              </a:graphicData>
            </a:graphic>
          </wp:anchor>
        </w:drawing>
      </w:r>
      <w:r>
        <w:rPr>
          <w:rFonts w:ascii="方正仿宋_GBK" w:eastAsia="方正仿宋_GBK" w:cs="方正仿宋_GBK"/>
          <w:b/>
          <w:bCs/>
          <w:spacing w:val="-3"/>
          <w:sz w:val="32"/>
          <w:szCs w:val="32"/>
          <w:lang w:eastAsia="zh-CN"/>
        </w:rPr>
        <w:t>一、一般公共预算财政拨款收入：</w:t>
      </w:r>
      <w:r>
        <w:rPr>
          <w:rFonts w:ascii="方正仿宋_GBK" w:eastAsia="方正仿宋_GBK" w:cs="方正仿宋_GBK"/>
          <w:spacing w:val="-3"/>
          <w:sz w:val="32"/>
          <w:szCs w:val="32"/>
          <w:lang w:eastAsia="zh-CN"/>
        </w:rPr>
        <w:t>指中央财政当</w:t>
      </w:r>
      <w:r>
        <w:rPr>
          <w:rFonts w:ascii="方正仿宋_GBK" w:eastAsia="方正仿宋_GBK" w:cs="方正仿宋_GBK"/>
          <w:spacing w:val="-4"/>
          <w:sz w:val="32"/>
          <w:szCs w:val="32"/>
          <w:lang w:eastAsia="zh-CN"/>
        </w:rPr>
        <w:t>年拨</w:t>
      </w:r>
      <w:r>
        <w:rPr>
          <w:rFonts w:ascii="方正仿宋_GBK" w:eastAsia="方正仿宋_GBK" w:cs="方正仿宋_GBK"/>
          <w:sz w:val="32"/>
          <w:szCs w:val="32"/>
          <w:lang w:eastAsia="zh-CN"/>
        </w:rPr>
        <w:t xml:space="preserve"> </w:t>
      </w:r>
      <w:r>
        <w:rPr>
          <w:rFonts w:ascii="方正仿宋_GBK" w:eastAsia="方正仿宋_GBK" w:cs="方正仿宋_GBK"/>
          <w:spacing w:val="-3"/>
          <w:sz w:val="32"/>
          <w:szCs w:val="32"/>
          <w:lang w:eastAsia="zh-CN"/>
        </w:rPr>
        <w:t>付的资金。</w:t>
      </w:r>
    </w:p>
    <w:p w14:paraId="155B7C75">
      <w:pPr>
        <w:spacing w:before="103" w:line="269" w:lineRule="auto"/>
        <w:ind w:left="28" w:right="329" w:firstLine="683"/>
        <w:rPr>
          <w:rFonts w:ascii="方正仿宋_GBK" w:eastAsia="方正仿宋_GBK" w:cs="方正仿宋_GBK"/>
          <w:sz w:val="32"/>
          <w:szCs w:val="32"/>
          <w:lang w:eastAsia="zh-CN"/>
        </w:rPr>
      </w:pPr>
      <w:r>
        <w:rPr>
          <w:rFonts w:hint="eastAsia" w:ascii="方正仿宋_GBK" w:eastAsia="方正仿宋_GBK" w:cs="方正仿宋_GBK"/>
          <w:b/>
          <w:bCs/>
          <w:spacing w:val="-4"/>
          <w:sz w:val="32"/>
          <w:szCs w:val="32"/>
          <w:lang w:eastAsia="zh-CN"/>
        </w:rPr>
        <w:t>二</w:t>
      </w:r>
      <w:r>
        <w:rPr>
          <w:rFonts w:ascii="方正仿宋_GBK" w:eastAsia="方正仿宋_GBK" w:cs="方正仿宋_GBK"/>
          <w:b/>
          <w:bCs/>
          <w:spacing w:val="-4"/>
          <w:sz w:val="32"/>
          <w:szCs w:val="32"/>
          <w:lang w:eastAsia="zh-CN"/>
        </w:rPr>
        <w:t>、其他收入：</w:t>
      </w:r>
      <w:r>
        <w:rPr>
          <w:rFonts w:ascii="方正仿宋_GBK" w:eastAsia="方正仿宋_GBK" w:cs="方正仿宋_GBK"/>
          <w:spacing w:val="-4"/>
          <w:sz w:val="32"/>
          <w:szCs w:val="32"/>
          <w:lang w:eastAsia="zh-CN"/>
        </w:rPr>
        <w:t>指除上述一般公共预算财政拨款收</w:t>
      </w:r>
      <w:r>
        <w:rPr>
          <w:rFonts w:ascii="方正仿宋_GBK" w:eastAsia="方正仿宋_GBK" w:cs="方正仿宋_GBK"/>
          <w:spacing w:val="4"/>
          <w:sz w:val="32"/>
          <w:szCs w:val="32"/>
          <w:lang w:eastAsia="zh-CN"/>
        </w:rPr>
        <w:t xml:space="preserve">   </w:t>
      </w:r>
      <w:r>
        <w:rPr>
          <w:rFonts w:ascii="方正仿宋_GBK" w:eastAsia="方正仿宋_GBK" w:cs="方正仿宋_GBK"/>
          <w:spacing w:val="-1"/>
          <w:sz w:val="32"/>
          <w:szCs w:val="32"/>
          <w:lang w:eastAsia="zh-CN"/>
        </w:rPr>
        <w:t>入、事业收入、事业单位经营收入等以外的收入。主要是</w:t>
      </w:r>
      <w:r>
        <w:rPr>
          <w:rFonts w:ascii="方正仿宋_GBK" w:eastAsia="方正仿宋_GBK" w:cs="方正仿宋_GBK"/>
          <w:spacing w:val="5"/>
          <w:sz w:val="32"/>
          <w:szCs w:val="32"/>
          <w:lang w:eastAsia="zh-CN"/>
        </w:rPr>
        <w:t xml:space="preserve"> </w:t>
      </w:r>
      <w:r>
        <w:rPr>
          <w:rFonts w:ascii="方正仿宋_GBK" w:eastAsia="方正仿宋_GBK" w:cs="方正仿宋_GBK"/>
          <w:spacing w:val="-1"/>
          <w:sz w:val="32"/>
          <w:szCs w:val="32"/>
          <w:lang w:eastAsia="zh-CN"/>
        </w:rPr>
        <w:t>非同级财政拨款收入、存款利息收入等。</w:t>
      </w:r>
    </w:p>
    <w:p w14:paraId="3E210FA5">
      <w:pPr>
        <w:spacing w:before="118" w:line="281" w:lineRule="auto"/>
        <w:ind w:left="38" w:right="314" w:firstLine="648"/>
        <w:jc w:val="both"/>
        <w:rPr>
          <w:rFonts w:ascii="方正仿宋_GBK" w:eastAsia="方正仿宋_GBK" w:cs="方正仿宋_GBK"/>
          <w:sz w:val="32"/>
          <w:szCs w:val="32"/>
          <w:lang w:eastAsia="zh-CN"/>
        </w:rPr>
      </w:pPr>
      <w:r>
        <w:rPr>
          <w:rFonts w:hint="eastAsia" w:ascii="方正仿宋_GBK" w:eastAsia="方正仿宋_GBK" w:cs="方正仿宋_GBK"/>
          <w:b/>
          <w:bCs/>
          <w:spacing w:val="-3"/>
          <w:sz w:val="32"/>
          <w:szCs w:val="32"/>
          <w:lang w:eastAsia="zh-CN"/>
        </w:rPr>
        <w:t>三</w:t>
      </w:r>
      <w:r>
        <w:rPr>
          <w:rFonts w:ascii="方正仿宋_GBK" w:eastAsia="方正仿宋_GBK" w:cs="方正仿宋_GBK"/>
          <w:b/>
          <w:bCs/>
          <w:spacing w:val="-3"/>
          <w:sz w:val="32"/>
          <w:szCs w:val="32"/>
          <w:lang w:eastAsia="zh-CN"/>
        </w:rPr>
        <w:t>、年初结转和结余：</w:t>
      </w:r>
      <w:r>
        <w:rPr>
          <w:rFonts w:ascii="方正仿宋_GBK" w:eastAsia="方正仿宋_GBK" w:cs="方正仿宋_GBK"/>
          <w:spacing w:val="-3"/>
          <w:sz w:val="32"/>
          <w:szCs w:val="32"/>
          <w:lang w:eastAsia="zh-CN"/>
        </w:rPr>
        <w:t>指单位以前年度尚未完成、结</w:t>
      </w:r>
      <w:r>
        <w:rPr>
          <w:rFonts w:ascii="方正仿宋_GBK" w:eastAsia="方正仿宋_GBK" w:cs="方正仿宋_GBK"/>
          <w:spacing w:val="12"/>
          <w:sz w:val="32"/>
          <w:szCs w:val="32"/>
          <w:lang w:eastAsia="zh-CN"/>
        </w:rPr>
        <w:t xml:space="preserve"> </w:t>
      </w:r>
      <w:r>
        <w:rPr>
          <w:rFonts w:ascii="方正仿宋_GBK" w:eastAsia="方正仿宋_GBK" w:cs="方正仿宋_GBK"/>
          <w:spacing w:val="-4"/>
          <w:sz w:val="32"/>
          <w:szCs w:val="32"/>
          <w:lang w:eastAsia="zh-CN"/>
        </w:rPr>
        <w:t>转到本年仍按原规定用途继续使用的资金，或项目已完成</w:t>
      </w:r>
      <w:r>
        <w:rPr>
          <w:rFonts w:ascii="方正仿宋_GBK" w:eastAsia="方正仿宋_GBK" w:cs="方正仿宋_GBK"/>
          <w:sz w:val="32"/>
          <w:szCs w:val="32"/>
          <w:lang w:eastAsia="zh-CN"/>
        </w:rPr>
        <w:t xml:space="preserve"> </w:t>
      </w:r>
      <w:r>
        <w:rPr>
          <w:rFonts w:ascii="方正仿宋_GBK" w:eastAsia="方正仿宋_GBK" w:cs="方正仿宋_GBK"/>
          <w:spacing w:val="-4"/>
          <w:sz w:val="32"/>
          <w:szCs w:val="32"/>
          <w:lang w:eastAsia="zh-CN"/>
        </w:rPr>
        <w:t>等产生的结余资金。</w:t>
      </w:r>
    </w:p>
    <w:p w14:paraId="0B78EEA5">
      <w:pPr>
        <w:spacing w:before="37" w:line="283" w:lineRule="auto"/>
        <w:ind w:left="29" w:right="305" w:firstLine="650"/>
        <w:jc w:val="both"/>
        <w:rPr>
          <w:rFonts w:ascii="方正仿宋_GBK" w:eastAsia="方正仿宋_GBK" w:cs="方正仿宋_GBK"/>
          <w:sz w:val="32"/>
          <w:szCs w:val="32"/>
          <w:lang w:eastAsia="zh-CN"/>
        </w:rPr>
      </w:pPr>
      <w:r>
        <w:rPr>
          <w:rFonts w:hint="eastAsia" w:ascii="方正仿宋_GBK" w:eastAsia="方正仿宋_GBK" w:cs="方正仿宋_GBK"/>
          <w:b/>
          <w:bCs/>
          <w:spacing w:val="-4"/>
          <w:sz w:val="32"/>
          <w:szCs w:val="32"/>
          <w:lang w:eastAsia="zh-CN"/>
        </w:rPr>
        <w:t>四</w:t>
      </w:r>
      <w:r>
        <w:rPr>
          <w:rFonts w:ascii="方正仿宋_GBK" w:eastAsia="方正仿宋_GBK" w:cs="方正仿宋_GBK"/>
          <w:b/>
          <w:bCs/>
          <w:spacing w:val="-4"/>
          <w:sz w:val="32"/>
          <w:szCs w:val="32"/>
          <w:lang w:eastAsia="zh-CN"/>
        </w:rPr>
        <w:t>、一般公共服务（类）海关事务（款</w:t>
      </w:r>
      <w:r>
        <w:rPr>
          <w:rFonts w:ascii="方正仿宋_GBK" w:eastAsia="方正仿宋_GBK" w:cs="方正仿宋_GBK"/>
          <w:b/>
          <w:bCs/>
          <w:spacing w:val="7"/>
          <w:sz w:val="32"/>
          <w:szCs w:val="32"/>
          <w:lang w:eastAsia="zh-CN"/>
        </w:rPr>
        <w:t>）：</w:t>
      </w:r>
      <w:r>
        <w:rPr>
          <w:rFonts w:ascii="方正仿宋_GBK" w:eastAsia="方正仿宋_GBK" w:cs="方正仿宋_GBK"/>
          <w:spacing w:val="-4"/>
          <w:sz w:val="32"/>
          <w:szCs w:val="32"/>
          <w:lang w:eastAsia="zh-CN"/>
        </w:rPr>
        <w:t>反映</w:t>
      </w:r>
      <w:r>
        <w:rPr>
          <w:rFonts w:ascii="方正仿宋_GBK" w:eastAsia="方正仿宋_GBK" w:cs="方正仿宋_GBK"/>
          <w:spacing w:val="-5"/>
          <w:sz w:val="32"/>
          <w:szCs w:val="32"/>
          <w:lang w:eastAsia="zh-CN"/>
        </w:rPr>
        <w:t>海关</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用于系统行政和事业单位的基本支出及完成专项业务工作</w:t>
      </w:r>
      <w:r>
        <w:rPr>
          <w:rFonts w:ascii="方正仿宋_GBK" w:eastAsia="方正仿宋_GBK" w:cs="方正仿宋_GBK"/>
          <w:spacing w:val="4"/>
          <w:sz w:val="32"/>
          <w:szCs w:val="32"/>
          <w:lang w:eastAsia="zh-CN"/>
        </w:rPr>
        <w:t xml:space="preserve"> </w:t>
      </w:r>
      <w:r>
        <w:rPr>
          <w:rFonts w:ascii="方正仿宋_GBK" w:eastAsia="方正仿宋_GBK" w:cs="方正仿宋_GBK"/>
          <w:spacing w:val="-4"/>
          <w:sz w:val="32"/>
          <w:szCs w:val="32"/>
          <w:lang w:eastAsia="zh-CN"/>
        </w:rPr>
        <w:t>的项目支出。</w:t>
      </w:r>
    </w:p>
    <w:p w14:paraId="676320B1">
      <w:pPr>
        <w:spacing w:before="24" w:line="278" w:lineRule="auto"/>
        <w:ind w:left="25" w:right="319" w:firstLine="64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行政运行（项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反映行政单位（包括参照公务员管</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理的事业单位）的基本支出。</w:t>
      </w:r>
    </w:p>
    <w:p w14:paraId="1AE67450">
      <w:pPr>
        <w:spacing w:before="30" w:line="283" w:lineRule="auto"/>
        <w:ind w:left="27" w:right="310" w:firstLine="660"/>
        <w:jc w:val="both"/>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一般行政管理事务（项</w:t>
      </w:r>
      <w:r>
        <w:rPr>
          <w:rFonts w:ascii="方正仿宋_GBK" w:eastAsia="方正仿宋_GBK" w:cs="方正仿宋_GBK"/>
          <w:b/>
          <w:bCs/>
          <w:spacing w:val="11"/>
          <w:sz w:val="32"/>
          <w:szCs w:val="32"/>
          <w:lang w:eastAsia="zh-CN"/>
        </w:rPr>
        <w:t>）：</w:t>
      </w:r>
      <w:r>
        <w:rPr>
          <w:rFonts w:ascii="方正仿宋_GBK" w:eastAsia="方正仿宋_GBK" w:cs="方正仿宋_GBK"/>
          <w:spacing w:val="-4"/>
          <w:sz w:val="32"/>
          <w:szCs w:val="32"/>
          <w:lang w:eastAsia="zh-CN"/>
        </w:rPr>
        <w:t>反映行政单位（包括参照</w:t>
      </w:r>
      <w:r>
        <w:rPr>
          <w:rFonts w:ascii="方正仿宋_GBK" w:eastAsia="方正仿宋_GBK" w:cs="方正仿宋_GBK"/>
          <w:spacing w:val="1"/>
          <w:sz w:val="32"/>
          <w:szCs w:val="32"/>
          <w:lang w:eastAsia="zh-CN"/>
        </w:rPr>
        <w:t xml:space="preserve"> </w:t>
      </w:r>
      <w:r>
        <w:rPr>
          <w:rFonts w:ascii="方正仿宋_GBK" w:eastAsia="方正仿宋_GBK" w:cs="方正仿宋_GBK"/>
          <w:spacing w:val="-4"/>
          <w:sz w:val="32"/>
          <w:szCs w:val="32"/>
          <w:lang w:eastAsia="zh-CN"/>
        </w:rPr>
        <w:t>公务员管理的事业单位）未单独设置项级科目的其</w:t>
      </w:r>
      <w:r>
        <w:rPr>
          <w:rFonts w:ascii="方正仿宋_GBK" w:eastAsia="方正仿宋_GBK" w:cs="方正仿宋_GBK"/>
          <w:spacing w:val="-5"/>
          <w:sz w:val="32"/>
          <w:szCs w:val="32"/>
          <w:lang w:eastAsia="zh-CN"/>
        </w:rPr>
        <w:t>他项目</w:t>
      </w:r>
      <w:r>
        <w:rPr>
          <w:rFonts w:ascii="方正仿宋_GBK" w:eastAsia="方正仿宋_GBK" w:cs="方正仿宋_GBK"/>
          <w:sz w:val="32"/>
          <w:szCs w:val="32"/>
          <w:lang w:eastAsia="zh-CN"/>
        </w:rPr>
        <w:t xml:space="preserve"> </w:t>
      </w:r>
      <w:r>
        <w:rPr>
          <w:rFonts w:ascii="方正仿宋_GBK" w:eastAsia="方正仿宋_GBK" w:cs="方正仿宋_GBK"/>
          <w:spacing w:val="-6"/>
          <w:sz w:val="32"/>
          <w:szCs w:val="32"/>
          <w:lang w:eastAsia="zh-CN"/>
        </w:rPr>
        <w:t>支出。</w:t>
      </w:r>
    </w:p>
    <w:p w14:paraId="327C812A">
      <w:pPr>
        <w:spacing w:before="111" w:line="271" w:lineRule="auto"/>
        <w:ind w:left="67" w:right="636" w:firstLine="61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缉私办案（项</w:t>
      </w:r>
      <w:r>
        <w:rPr>
          <w:rFonts w:ascii="方正仿宋_GBK" w:eastAsia="方正仿宋_GBK" w:cs="方正仿宋_GBK"/>
          <w:b/>
          <w:bCs/>
          <w:spacing w:val="15"/>
          <w:sz w:val="32"/>
          <w:szCs w:val="32"/>
          <w:lang w:eastAsia="zh-CN"/>
        </w:rPr>
        <w:t>）：</w:t>
      </w:r>
      <w:r>
        <w:rPr>
          <w:rFonts w:ascii="方正仿宋_GBK" w:eastAsia="方正仿宋_GBK" w:cs="方正仿宋_GBK"/>
          <w:spacing w:val="-4"/>
          <w:sz w:val="32"/>
          <w:szCs w:val="32"/>
          <w:lang w:eastAsia="zh-CN"/>
        </w:rPr>
        <w:t>反映海关用于缉私办案方面的支</w:t>
      </w:r>
      <w:r>
        <w:rPr>
          <w:rFonts w:ascii="方正仿宋_GBK" w:eastAsia="方正仿宋_GBK" w:cs="方正仿宋_GBK"/>
          <w:spacing w:val="-29"/>
          <w:sz w:val="32"/>
          <w:szCs w:val="32"/>
          <w:lang w:eastAsia="zh-CN"/>
        </w:rPr>
        <w:t>出。</w:t>
      </w:r>
    </w:p>
    <w:p w14:paraId="11ECFDD0">
      <w:pPr>
        <w:spacing w:before="25" w:line="278" w:lineRule="auto"/>
        <w:ind w:left="24" w:right="314" w:firstLine="647"/>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信息化建设（项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反映海关系统用于信息化建设及</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运行维护方面的支出。</w:t>
      </w:r>
    </w:p>
    <w:p w14:paraId="06D6FF88">
      <w:pPr>
        <w:spacing w:before="26" w:line="276" w:lineRule="auto"/>
        <w:ind w:left="33" w:right="350" w:firstLine="647"/>
        <w:jc w:val="both"/>
        <w:rPr>
          <w:rFonts w:ascii="方正仿宋_GBK" w:eastAsia="方正仿宋_GBK" w:cs="方正仿宋_GBK"/>
          <w:sz w:val="32"/>
          <w:szCs w:val="32"/>
          <w:lang w:eastAsia="zh-CN"/>
        </w:rPr>
      </w:pPr>
      <w:r>
        <w:rPr>
          <w:rFonts w:ascii="方正仿宋_GBK" w:eastAsia="方正仿宋_GBK" w:cs="方正仿宋_GBK"/>
          <w:b/>
          <w:bCs/>
          <w:spacing w:val="-5"/>
          <w:sz w:val="32"/>
          <w:szCs w:val="32"/>
          <w:lang w:eastAsia="zh-CN"/>
        </w:rPr>
        <w:t>海关关务（项</w:t>
      </w:r>
      <w:r>
        <w:rPr>
          <w:rFonts w:ascii="方正仿宋_GBK" w:eastAsia="方正仿宋_GBK" w:cs="方正仿宋_GBK"/>
          <w:b/>
          <w:bCs/>
          <w:spacing w:val="12"/>
          <w:sz w:val="32"/>
          <w:szCs w:val="32"/>
          <w:lang w:eastAsia="zh-CN"/>
        </w:rPr>
        <w:t>）：</w:t>
      </w:r>
      <w:r>
        <w:rPr>
          <w:rFonts w:ascii="方正仿宋_GBK" w:eastAsia="方正仿宋_GBK" w:cs="方正仿宋_GBK"/>
          <w:spacing w:val="-5"/>
          <w:sz w:val="32"/>
          <w:szCs w:val="32"/>
          <w:lang w:eastAsia="zh-CN"/>
        </w:rPr>
        <w:t>反映海关行政执法提供业务保障、</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支持能力以及基础设施建设、设备设施运维等方面的支</w:t>
      </w:r>
      <w:r>
        <w:rPr>
          <w:rFonts w:ascii="方正仿宋_GBK" w:eastAsia="方正仿宋_GBK" w:cs="方正仿宋_GBK"/>
          <w:sz w:val="32"/>
          <w:szCs w:val="32"/>
          <w:lang w:eastAsia="zh-CN"/>
        </w:rPr>
        <w:t xml:space="preserve">   </w:t>
      </w:r>
      <w:r>
        <w:rPr>
          <w:rFonts w:ascii="方正仿宋_GBK" w:eastAsia="方正仿宋_GBK" w:cs="方正仿宋_GBK"/>
          <w:spacing w:val="-12"/>
          <w:sz w:val="32"/>
          <w:szCs w:val="32"/>
          <w:lang w:eastAsia="zh-CN"/>
        </w:rPr>
        <w:t>出。</w:t>
      </w:r>
    </w:p>
    <w:p w14:paraId="260E9D15">
      <w:pPr>
        <w:spacing w:before="13" w:line="281" w:lineRule="auto"/>
        <w:ind w:left="23" w:right="319" w:firstLine="657"/>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海关监管（项</w:t>
      </w:r>
      <w:r>
        <w:rPr>
          <w:rFonts w:ascii="方正仿宋_GBK" w:eastAsia="方正仿宋_GBK" w:cs="方正仿宋_GBK"/>
          <w:b/>
          <w:bCs/>
          <w:spacing w:val="17"/>
          <w:sz w:val="32"/>
          <w:szCs w:val="32"/>
          <w:lang w:eastAsia="zh-CN"/>
        </w:rPr>
        <w:t>）：</w:t>
      </w:r>
      <w:r>
        <w:rPr>
          <w:rFonts w:ascii="方正仿宋_GBK" w:eastAsia="方正仿宋_GBK" w:cs="方正仿宋_GBK"/>
          <w:spacing w:val="-4"/>
          <w:sz w:val="32"/>
          <w:szCs w:val="32"/>
          <w:lang w:eastAsia="zh-CN"/>
        </w:rPr>
        <w:t>反映海关用于监管执法、业务管理</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及相关技术支持方面的支出。</w:t>
      </w:r>
    </w:p>
    <w:p w14:paraId="7842F0A2">
      <w:pPr>
        <w:spacing w:before="30" w:line="278" w:lineRule="auto"/>
        <w:ind w:left="27" w:right="319" w:firstLine="641"/>
        <w:rPr>
          <w:rFonts w:ascii="方正仿宋_GBK" w:eastAsia="方正仿宋_GBK" w:cs="方正仿宋_GBK"/>
          <w:spacing w:val="-1"/>
          <w:sz w:val="32"/>
          <w:szCs w:val="32"/>
          <w:lang w:eastAsia="zh-CN"/>
        </w:rPr>
      </w:pPr>
      <w:r>
        <w:rPr>
          <w:rFonts w:ascii="方正仿宋_GBK" w:eastAsia="方正仿宋_GBK" w:cs="方正仿宋_GBK"/>
          <w:b/>
          <w:bCs/>
          <w:spacing w:val="-3"/>
          <w:sz w:val="32"/>
          <w:szCs w:val="32"/>
          <w:lang w:eastAsia="zh-CN"/>
        </w:rPr>
        <w:t>检验检疫（项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反映海关用于出入境检验检疫行政</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执法、业务管理及相关技术支持方面的支出。</w:t>
      </w:r>
    </w:p>
    <w:p w14:paraId="6D3CFE2B">
      <w:pPr>
        <w:spacing w:before="144" w:line="259" w:lineRule="auto"/>
        <w:ind w:left="40" w:right="300" w:firstLine="644"/>
        <w:rPr>
          <w:rFonts w:ascii="方正仿宋_GBK" w:eastAsia="方正仿宋_GBK" w:cs="方正仿宋_GBK"/>
          <w:sz w:val="32"/>
          <w:szCs w:val="32"/>
          <w:lang w:eastAsia="zh-CN"/>
        </w:rPr>
      </w:pPr>
      <w:r>
        <w:rPr>
          <w:rFonts w:hint="eastAsia" w:ascii="方正仿宋_GBK" w:eastAsia="方正仿宋_GBK" w:cs="方正仿宋_GBK"/>
          <w:b/>
          <w:bCs/>
          <w:spacing w:val="-5"/>
          <w:sz w:val="32"/>
          <w:szCs w:val="32"/>
          <w:lang w:eastAsia="zh-CN"/>
        </w:rPr>
        <w:t>五</w:t>
      </w:r>
      <w:r>
        <w:rPr>
          <w:rFonts w:ascii="方正仿宋_GBK" w:eastAsia="方正仿宋_GBK" w:cs="方正仿宋_GBK"/>
          <w:b/>
          <w:bCs/>
          <w:spacing w:val="-5"/>
          <w:sz w:val="32"/>
          <w:szCs w:val="32"/>
          <w:lang w:eastAsia="zh-CN"/>
        </w:rPr>
        <w:t>、公共安全支出（类）缉私警察（款</w:t>
      </w:r>
      <w:r>
        <w:rPr>
          <w:rFonts w:ascii="方正仿宋_GBK" w:eastAsia="方正仿宋_GBK" w:cs="方正仿宋_GBK"/>
          <w:b/>
          <w:bCs/>
          <w:spacing w:val="17"/>
          <w:sz w:val="32"/>
          <w:szCs w:val="32"/>
          <w:lang w:eastAsia="zh-CN"/>
        </w:rPr>
        <w:t>）：</w:t>
      </w:r>
      <w:r>
        <w:rPr>
          <w:rFonts w:ascii="方正仿宋_GBK" w:eastAsia="方正仿宋_GBK" w:cs="方正仿宋_GBK"/>
          <w:spacing w:val="-5"/>
          <w:sz w:val="32"/>
          <w:szCs w:val="32"/>
          <w:lang w:eastAsia="zh-CN"/>
        </w:rPr>
        <w:t>反映海</w:t>
      </w:r>
      <w:r>
        <w:rPr>
          <w:rFonts w:ascii="方正仿宋_GBK" w:eastAsia="方正仿宋_GBK" w:cs="方正仿宋_GBK"/>
          <w:spacing w:val="1"/>
          <w:sz w:val="32"/>
          <w:szCs w:val="32"/>
          <w:lang w:eastAsia="zh-CN"/>
        </w:rPr>
        <w:t xml:space="preserve"> </w:t>
      </w:r>
      <w:r>
        <w:rPr>
          <w:rFonts w:ascii="方正仿宋_GBK" w:eastAsia="方正仿宋_GBK" w:cs="方正仿宋_GBK"/>
          <w:spacing w:val="-3"/>
          <w:sz w:val="32"/>
          <w:szCs w:val="32"/>
          <w:lang w:eastAsia="zh-CN"/>
        </w:rPr>
        <w:t>关缉私警察的支出。</w:t>
      </w:r>
    </w:p>
    <w:p w14:paraId="1C7C4833">
      <w:pPr>
        <w:spacing w:before="112" w:line="278" w:lineRule="auto"/>
        <w:ind w:left="30" w:right="319" w:firstLine="64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行政运行（项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反映行政单位（包括参照公务员管</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理的事业单位）的基本支出。</w:t>
      </w:r>
    </w:p>
    <w:p w14:paraId="3A4BD656">
      <w:pPr>
        <w:spacing w:before="21" w:line="283" w:lineRule="auto"/>
        <w:ind w:left="35" w:right="319" w:firstLine="652"/>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缉私业务（项</w:t>
      </w:r>
      <w:r>
        <w:rPr>
          <w:rFonts w:ascii="方正仿宋_GBK" w:eastAsia="方正仿宋_GBK" w:cs="方正仿宋_GBK"/>
          <w:b/>
          <w:bCs/>
          <w:spacing w:val="16"/>
          <w:sz w:val="32"/>
          <w:szCs w:val="32"/>
          <w:lang w:eastAsia="zh-CN"/>
        </w:rPr>
        <w:t>）：</w:t>
      </w:r>
      <w:r>
        <w:rPr>
          <w:rFonts w:ascii="方正仿宋_GBK" w:eastAsia="方正仿宋_GBK" w:cs="方正仿宋_GBK"/>
          <w:spacing w:val="-4"/>
          <w:sz w:val="32"/>
          <w:szCs w:val="32"/>
          <w:lang w:eastAsia="zh-CN"/>
        </w:rPr>
        <w:t>反映缉私警察开展执法工作，打击</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走私犯罪活动的支出。</w:t>
      </w:r>
    </w:p>
    <w:p w14:paraId="18CCE528">
      <w:pPr>
        <w:spacing w:before="109" w:line="262" w:lineRule="auto"/>
        <w:ind w:left="38" w:right="300" w:firstLine="647"/>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六、社会保障和就业支出（类）行政事业单位养老</w:t>
      </w:r>
      <w:r>
        <w:rPr>
          <w:rFonts w:ascii="方正仿宋_GBK" w:eastAsia="方正仿宋_GBK" w:cs="方正仿宋_GBK"/>
          <w:spacing w:val="11"/>
          <w:sz w:val="32"/>
          <w:szCs w:val="32"/>
          <w:lang w:eastAsia="zh-CN"/>
        </w:rPr>
        <w:t xml:space="preserve"> </w:t>
      </w:r>
      <w:r>
        <w:rPr>
          <w:rFonts w:ascii="方正仿宋_GBK" w:eastAsia="方正仿宋_GBK" w:cs="方正仿宋_GBK"/>
          <w:b/>
          <w:bCs/>
          <w:spacing w:val="-3"/>
          <w:sz w:val="32"/>
          <w:szCs w:val="32"/>
          <w:lang w:eastAsia="zh-CN"/>
        </w:rPr>
        <w:t>支出（款</w:t>
      </w:r>
      <w:r>
        <w:rPr>
          <w:rFonts w:ascii="方正仿宋_GBK" w:eastAsia="方正仿宋_GBK" w:cs="方正仿宋_GBK"/>
          <w:b/>
          <w:bCs/>
          <w:spacing w:val="16"/>
          <w:sz w:val="32"/>
          <w:szCs w:val="32"/>
          <w:lang w:eastAsia="zh-CN"/>
        </w:rPr>
        <w:t>）：</w:t>
      </w:r>
      <w:r>
        <w:rPr>
          <w:rFonts w:ascii="方正仿宋_GBK" w:eastAsia="方正仿宋_GBK" w:cs="方正仿宋_GBK"/>
          <w:spacing w:val="-3"/>
          <w:sz w:val="32"/>
          <w:szCs w:val="32"/>
          <w:lang w:eastAsia="zh-CN"/>
        </w:rPr>
        <w:t>反映用于海关行政事业单位离退休方面的支</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2"/>
          <w:sz w:val="32"/>
          <w:szCs w:val="32"/>
          <w:lang w:eastAsia="zh-CN"/>
        </w:rPr>
        <w:t>出。</w:t>
      </w:r>
    </w:p>
    <w:p w14:paraId="0AF4EF9A">
      <w:pPr>
        <w:spacing w:before="148" w:line="281" w:lineRule="auto"/>
        <w:ind w:left="33" w:right="314" w:firstLine="641"/>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行政单位离退休（项</w:t>
      </w:r>
      <w:r>
        <w:rPr>
          <w:rFonts w:ascii="方正仿宋_GBK" w:eastAsia="方正仿宋_GBK" w:cs="方正仿宋_GBK"/>
          <w:b/>
          <w:bCs/>
          <w:spacing w:val="9"/>
          <w:sz w:val="32"/>
          <w:szCs w:val="32"/>
          <w:lang w:eastAsia="zh-CN"/>
        </w:rPr>
        <w:t>）：</w:t>
      </w:r>
      <w:r>
        <w:rPr>
          <w:rFonts w:ascii="方正仿宋_GBK" w:eastAsia="方正仿宋_GBK" w:cs="方正仿宋_GBK"/>
          <w:spacing w:val="-3"/>
          <w:sz w:val="32"/>
          <w:szCs w:val="32"/>
          <w:lang w:eastAsia="zh-CN"/>
        </w:rPr>
        <w:t>反映海关系统行政单位（包</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括参照公务员管理的事业单位）开支的离退休支出。</w:t>
      </w:r>
    </w:p>
    <w:p w14:paraId="47BC22A0">
      <w:pPr>
        <w:spacing w:before="32" w:line="283" w:lineRule="auto"/>
        <w:ind w:left="40" w:right="300" w:firstLine="631"/>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机关事业单位基本养老保险缴费支出（项</w:t>
      </w:r>
      <w:r>
        <w:rPr>
          <w:rFonts w:ascii="方正仿宋_GBK" w:eastAsia="方正仿宋_GBK" w:cs="方正仿宋_GBK"/>
          <w:b/>
          <w:bCs/>
          <w:spacing w:val="13"/>
          <w:sz w:val="32"/>
          <w:szCs w:val="32"/>
          <w:lang w:eastAsia="zh-CN"/>
        </w:rPr>
        <w:t>）：</w:t>
      </w:r>
      <w:r>
        <w:rPr>
          <w:rFonts w:ascii="方正仿宋_GBK" w:eastAsia="方正仿宋_GBK" w:cs="方正仿宋_GBK"/>
          <w:spacing w:val="-4"/>
          <w:sz w:val="32"/>
          <w:szCs w:val="32"/>
          <w:lang w:eastAsia="zh-CN"/>
        </w:rPr>
        <w:t>反映机</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关事业单位实施养老保险制度由单位缴纳的基本养</w:t>
      </w:r>
      <w:r>
        <w:rPr>
          <w:rFonts w:ascii="方正仿宋_GBK" w:eastAsia="方正仿宋_GBK" w:cs="方正仿宋_GBK"/>
          <w:spacing w:val="-2"/>
          <w:sz w:val="32"/>
          <w:szCs w:val="32"/>
          <w:lang w:eastAsia="zh-CN"/>
        </w:rPr>
        <w:t>老保险</w:t>
      </w:r>
      <w:r>
        <w:rPr>
          <w:rFonts w:ascii="方正仿宋_GBK" w:eastAsia="方正仿宋_GBK" w:cs="方正仿宋_GBK"/>
          <w:sz w:val="32"/>
          <w:szCs w:val="32"/>
          <w:lang w:eastAsia="zh-CN"/>
        </w:rPr>
        <w:t xml:space="preserve"> </w:t>
      </w:r>
      <w:r>
        <w:rPr>
          <w:rFonts w:ascii="方正仿宋_GBK" w:eastAsia="方正仿宋_GBK" w:cs="方正仿宋_GBK"/>
          <w:spacing w:val="-6"/>
          <w:sz w:val="32"/>
          <w:szCs w:val="32"/>
          <w:lang w:eastAsia="zh-CN"/>
        </w:rPr>
        <w:t>费支出。</w:t>
      </w:r>
    </w:p>
    <w:p w14:paraId="61C733AA">
      <w:pPr>
        <w:spacing w:before="26" w:line="281" w:lineRule="auto"/>
        <w:ind w:left="44" w:right="305" w:firstLine="628"/>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机关事业单位职业年金缴费支出（项</w:t>
      </w:r>
      <w:r>
        <w:rPr>
          <w:rFonts w:ascii="方正仿宋_GBK" w:eastAsia="方正仿宋_GBK" w:cs="方正仿宋_GBK"/>
          <w:b/>
          <w:bCs/>
          <w:spacing w:val="14"/>
          <w:sz w:val="32"/>
          <w:szCs w:val="32"/>
          <w:lang w:eastAsia="zh-CN"/>
        </w:rPr>
        <w:t>）：</w:t>
      </w:r>
      <w:r>
        <w:rPr>
          <w:rFonts w:ascii="方正仿宋_GBK" w:eastAsia="方正仿宋_GBK" w:cs="方正仿宋_GBK"/>
          <w:spacing w:val="-4"/>
          <w:sz w:val="32"/>
          <w:szCs w:val="32"/>
          <w:lang w:eastAsia="zh-CN"/>
        </w:rPr>
        <w:t>反映机关事</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业单位实施养老保险制度由单位实际缴纳的职</w:t>
      </w:r>
      <w:r>
        <w:rPr>
          <w:rFonts w:ascii="方正仿宋_GBK" w:eastAsia="方正仿宋_GBK" w:cs="方正仿宋_GBK"/>
          <w:spacing w:val="-2"/>
          <w:sz w:val="32"/>
          <w:szCs w:val="32"/>
          <w:lang w:eastAsia="zh-CN"/>
        </w:rPr>
        <w:t>业年金支</w:t>
      </w:r>
    </w:p>
    <w:p w14:paraId="5FDFDAB7">
      <w:pPr>
        <w:spacing w:before="34" w:line="204" w:lineRule="auto"/>
        <w:ind w:left="72"/>
        <w:rPr>
          <w:rFonts w:ascii="方正仿宋_GBK" w:eastAsia="方正仿宋_GBK" w:cs="方正仿宋_GBK"/>
          <w:sz w:val="32"/>
          <w:szCs w:val="32"/>
          <w:lang w:eastAsia="zh-CN"/>
        </w:rPr>
      </w:pPr>
      <w:r>
        <w:rPr>
          <w:rFonts w:ascii="方正仿宋_GBK" w:eastAsia="方正仿宋_GBK" w:cs="方正仿宋_GBK"/>
          <w:spacing w:val="-29"/>
          <w:sz w:val="32"/>
          <w:szCs w:val="32"/>
          <w:lang w:eastAsia="zh-CN"/>
        </w:rPr>
        <w:t>出。</w:t>
      </w:r>
    </w:p>
    <w:p w14:paraId="426F95DC">
      <w:pPr>
        <w:spacing w:before="150" w:line="281" w:lineRule="auto"/>
        <w:ind w:right="1265" w:firstLine="685"/>
        <w:rPr>
          <w:rFonts w:ascii="方正仿宋_GBK" w:eastAsia="方正仿宋_GBK" w:cs="方正仿宋_GBK"/>
          <w:spacing w:val="-1"/>
          <w:sz w:val="32"/>
          <w:szCs w:val="32"/>
          <w:lang w:eastAsia="zh-CN"/>
        </w:rPr>
      </w:pPr>
      <w:r>
        <w:rPr>
          <w:rFonts w:ascii="方正仿宋_GBK" w:eastAsia="方正仿宋_GBK" w:cs="方正仿宋_GBK"/>
          <w:b/>
          <w:bCs/>
          <w:spacing w:val="-4"/>
          <w:sz w:val="32"/>
          <w:szCs w:val="32"/>
          <w:lang w:eastAsia="zh-CN"/>
        </w:rPr>
        <w:t>七、卫生健康支出（类）行政事业单位医疗</w:t>
      </w:r>
      <w:r>
        <w:rPr>
          <w:rFonts w:ascii="方正仿宋_GBK" w:eastAsia="方正仿宋_GBK" w:cs="方正仿宋_GBK"/>
          <w:spacing w:val="5"/>
          <w:sz w:val="32"/>
          <w:szCs w:val="32"/>
          <w:lang w:eastAsia="zh-CN"/>
        </w:rPr>
        <w:t xml:space="preserve"> </w:t>
      </w:r>
      <w:r>
        <w:rPr>
          <w:rFonts w:ascii="方正仿宋_GBK" w:eastAsia="方正仿宋_GBK" w:cs="方正仿宋_GBK"/>
          <w:b/>
          <w:bCs/>
          <w:spacing w:val="-1"/>
          <w:sz w:val="32"/>
          <w:szCs w:val="32"/>
          <w:lang w:eastAsia="zh-CN"/>
        </w:rPr>
        <w:t>（款</w:t>
      </w:r>
      <w:r>
        <w:rPr>
          <w:rFonts w:ascii="方正仿宋_GBK" w:eastAsia="方正仿宋_GBK" w:cs="方正仿宋_GBK"/>
          <w:b/>
          <w:bCs/>
          <w:spacing w:val="11"/>
          <w:sz w:val="32"/>
          <w:szCs w:val="32"/>
          <w:lang w:eastAsia="zh-CN"/>
        </w:rPr>
        <w:t>）：</w:t>
      </w:r>
      <w:r>
        <w:rPr>
          <w:rFonts w:ascii="方正仿宋_GBK" w:eastAsia="方正仿宋_GBK" w:cs="方正仿宋_GBK"/>
          <w:spacing w:val="-1"/>
          <w:sz w:val="32"/>
          <w:szCs w:val="32"/>
          <w:lang w:eastAsia="zh-CN"/>
        </w:rPr>
        <w:t>反映行政事业单位医疗方面的支出。</w:t>
      </w:r>
    </w:p>
    <w:p w14:paraId="71DA8350">
      <w:pPr>
        <w:spacing w:before="214" w:line="283" w:lineRule="auto"/>
        <w:ind w:right="314" w:firstLine="675"/>
        <w:jc w:val="both"/>
        <w:rPr>
          <w:rFonts w:ascii="方正仿宋_GBK" w:eastAsia="方正仿宋_GBK" w:cs="方正仿宋_GBK"/>
          <w:sz w:val="32"/>
          <w:szCs w:val="32"/>
          <w:lang w:eastAsia="zh-CN"/>
        </w:rPr>
      </w:pPr>
      <w:r>
        <w:rPr>
          <w:lang w:eastAsia="zh-CN"/>
        </w:rPr>
        <w:drawing>
          <wp:anchor distT="0" distB="0" distL="0" distR="0" simplePos="0" relativeHeight="251660288" behindDoc="0" locked="0" layoutInCell="0" allowOverlap="1">
            <wp:simplePos x="0" y="0"/>
            <wp:positionH relativeFrom="page">
              <wp:posOffset>-3175</wp:posOffset>
            </wp:positionH>
            <wp:positionV relativeFrom="page">
              <wp:posOffset>-3175</wp:posOffset>
            </wp:positionV>
            <wp:extent cx="6350" cy="6350"/>
            <wp:effectExtent l="0" t="0" r="0" b="0"/>
            <wp:wrapNone/>
            <wp:docPr id="68" name="图片 68"/>
            <wp:cNvGraphicFramePr/>
            <a:graphic xmlns:a="http://schemas.openxmlformats.org/drawingml/2006/main">
              <a:graphicData uri="http://schemas.openxmlformats.org/drawingml/2006/picture">
                <pic:pic xmlns:pic="http://schemas.openxmlformats.org/drawingml/2006/picture">
                  <pic:nvPicPr>
                    <pic:cNvPr id="68" name="图片 68"/>
                    <pic:cNvPicPr/>
                  </pic:nvPicPr>
                  <pic:blipFill>
                    <a:blip r:embed="rId41"/>
                    <a:stretch>
                      <a:fillRect/>
                    </a:stretch>
                  </pic:blipFill>
                  <pic:spPr>
                    <a:xfrm>
                      <a:off x="0" y="0"/>
                      <a:ext cx="6350" cy="6350"/>
                    </a:xfrm>
                    <a:prstGeom prst="rect">
                      <a:avLst/>
                    </a:prstGeom>
                    <a:noFill/>
                    <a:ln w="9525" cap="flat" cmpd="sng">
                      <a:noFill/>
                      <a:prstDash val="solid"/>
                      <a:miter/>
                    </a:ln>
                  </pic:spPr>
                </pic:pic>
              </a:graphicData>
            </a:graphic>
          </wp:anchor>
        </w:drawing>
      </w:r>
      <w:r>
        <w:rPr>
          <w:rFonts w:ascii="方正仿宋_GBK" w:eastAsia="方正仿宋_GBK" w:cs="方正仿宋_GBK"/>
          <w:b/>
          <w:bCs/>
          <w:spacing w:val="-3"/>
          <w:sz w:val="32"/>
          <w:szCs w:val="32"/>
          <w:lang w:eastAsia="zh-CN"/>
        </w:rPr>
        <w:t>行政单位医疗（项</w:t>
      </w:r>
      <w:r>
        <w:rPr>
          <w:rFonts w:ascii="方正仿宋_GBK" w:eastAsia="方正仿宋_GBK" w:cs="方正仿宋_GBK"/>
          <w:b/>
          <w:bCs/>
          <w:spacing w:val="11"/>
          <w:sz w:val="32"/>
          <w:szCs w:val="32"/>
          <w:lang w:eastAsia="zh-CN"/>
        </w:rPr>
        <w:t>）：</w:t>
      </w:r>
      <w:r>
        <w:rPr>
          <w:rFonts w:ascii="方正仿宋_GBK" w:eastAsia="方正仿宋_GBK" w:cs="方正仿宋_GBK"/>
          <w:spacing w:val="-3"/>
          <w:sz w:val="32"/>
          <w:szCs w:val="32"/>
          <w:lang w:eastAsia="zh-CN"/>
        </w:rPr>
        <w:t>反映财政部门安排的行政单位</w:t>
      </w:r>
      <w:r>
        <w:rPr>
          <w:rFonts w:ascii="方正仿宋_GBK" w:eastAsia="方正仿宋_GBK" w:cs="方正仿宋_GBK"/>
          <w:sz w:val="32"/>
          <w:szCs w:val="32"/>
          <w:lang w:eastAsia="zh-CN"/>
        </w:rPr>
        <w:t xml:space="preserve"> （包括参照公务员管理的事业单位）基本医疗保险缴费经</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费，未参加医疗保险的行政单位的公费医疗经费，按国家</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规定享受离休人员、红军老战士待遇人员的医疗经费。</w:t>
      </w:r>
    </w:p>
    <w:p w14:paraId="4EA80F8E">
      <w:pPr>
        <w:spacing w:before="33" w:line="281" w:lineRule="auto"/>
        <w:ind w:left="67" w:right="314" w:firstLine="608"/>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公务员医疗补助（项</w:t>
      </w:r>
      <w:r>
        <w:rPr>
          <w:rFonts w:ascii="方正仿宋_GBK" w:eastAsia="方正仿宋_GBK" w:cs="方正仿宋_GBK"/>
          <w:b/>
          <w:bCs/>
          <w:spacing w:val="9"/>
          <w:sz w:val="32"/>
          <w:szCs w:val="32"/>
          <w:lang w:eastAsia="zh-CN"/>
        </w:rPr>
        <w:t>）：</w:t>
      </w:r>
      <w:r>
        <w:rPr>
          <w:rFonts w:ascii="方正仿宋_GBK" w:eastAsia="方正仿宋_GBK" w:cs="方正仿宋_GBK"/>
          <w:spacing w:val="-3"/>
          <w:sz w:val="32"/>
          <w:szCs w:val="32"/>
          <w:lang w:eastAsia="zh-CN"/>
        </w:rPr>
        <w:t>反映财政部门安排的公务员</w:t>
      </w:r>
      <w:r>
        <w:rPr>
          <w:rFonts w:ascii="方正仿宋_GBK" w:eastAsia="方正仿宋_GBK" w:cs="方正仿宋_GBK"/>
          <w:sz w:val="32"/>
          <w:szCs w:val="32"/>
          <w:lang w:eastAsia="zh-CN"/>
        </w:rPr>
        <w:t xml:space="preserve"> </w:t>
      </w:r>
      <w:r>
        <w:rPr>
          <w:rFonts w:ascii="方正仿宋_GBK" w:eastAsia="方正仿宋_GBK" w:cs="方正仿宋_GBK"/>
          <w:spacing w:val="-8"/>
          <w:sz w:val="32"/>
          <w:szCs w:val="32"/>
          <w:lang w:eastAsia="zh-CN"/>
        </w:rPr>
        <w:t>医疗补助经费。</w:t>
      </w:r>
    </w:p>
    <w:p w14:paraId="3B6D4441">
      <w:pPr>
        <w:spacing w:before="23" w:line="283" w:lineRule="auto"/>
        <w:ind w:left="53" w:right="300" w:firstLine="631"/>
        <w:jc w:val="both"/>
        <w:rPr>
          <w:rFonts w:ascii="方正仿宋_GBK" w:eastAsia="方正仿宋_GBK" w:cs="方正仿宋_GBK"/>
          <w:sz w:val="32"/>
          <w:szCs w:val="32"/>
          <w:lang w:eastAsia="zh-CN"/>
        </w:rPr>
      </w:pPr>
      <w:r>
        <w:rPr>
          <w:rFonts w:ascii="方正仿宋_GBK" w:eastAsia="方正仿宋_GBK" w:cs="方正仿宋_GBK"/>
          <w:b/>
          <w:bCs/>
          <w:spacing w:val="-5"/>
          <w:sz w:val="32"/>
          <w:szCs w:val="32"/>
          <w:lang w:eastAsia="zh-CN"/>
        </w:rPr>
        <w:t>八、住房保障支出（类）住房改革支出（款</w:t>
      </w:r>
      <w:r>
        <w:rPr>
          <w:rFonts w:ascii="方正仿宋_GBK" w:eastAsia="方正仿宋_GBK" w:cs="方正仿宋_GBK"/>
          <w:b/>
          <w:bCs/>
          <w:spacing w:val="14"/>
          <w:sz w:val="32"/>
          <w:szCs w:val="32"/>
          <w:lang w:eastAsia="zh-CN"/>
        </w:rPr>
        <w:t>）：</w:t>
      </w:r>
      <w:r>
        <w:rPr>
          <w:rFonts w:ascii="方正仿宋_GBK" w:eastAsia="方正仿宋_GBK" w:cs="方正仿宋_GBK"/>
          <w:spacing w:val="-5"/>
          <w:sz w:val="32"/>
          <w:szCs w:val="32"/>
          <w:lang w:eastAsia="zh-CN"/>
        </w:rPr>
        <w:t>反</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映行政事业单位用财政拨款资金和其他资金等安排的住房</w:t>
      </w:r>
      <w:r>
        <w:rPr>
          <w:rFonts w:ascii="方正仿宋_GBK" w:eastAsia="方正仿宋_GBK" w:cs="方正仿宋_GBK"/>
          <w:spacing w:val="10"/>
          <w:sz w:val="32"/>
          <w:szCs w:val="32"/>
          <w:lang w:eastAsia="zh-CN"/>
        </w:rPr>
        <w:t xml:space="preserve"> </w:t>
      </w:r>
      <w:r>
        <w:rPr>
          <w:rFonts w:ascii="方正仿宋_GBK" w:eastAsia="方正仿宋_GBK" w:cs="方正仿宋_GBK"/>
          <w:spacing w:val="-8"/>
          <w:sz w:val="32"/>
          <w:szCs w:val="32"/>
          <w:lang w:eastAsia="zh-CN"/>
        </w:rPr>
        <w:t>改革支出。</w:t>
      </w:r>
    </w:p>
    <w:p w14:paraId="3ACC3F3F">
      <w:pPr>
        <w:spacing w:before="24" w:line="283" w:lineRule="auto"/>
        <w:ind w:left="34" w:right="314" w:firstLine="642"/>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住房公积金（项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反映行政事业单位按人力资源和</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社会保障部、财政部规定的基本工资和津贴补贴以及规定</w:t>
      </w:r>
      <w:r>
        <w:rPr>
          <w:rFonts w:ascii="方正仿宋_GBK" w:eastAsia="方正仿宋_GBK" w:cs="方正仿宋_GBK"/>
          <w:spacing w:val="4"/>
          <w:sz w:val="32"/>
          <w:szCs w:val="32"/>
          <w:lang w:eastAsia="zh-CN"/>
        </w:rPr>
        <w:t xml:space="preserve"> </w:t>
      </w:r>
      <w:r>
        <w:rPr>
          <w:rFonts w:ascii="方正仿宋_GBK" w:eastAsia="方正仿宋_GBK" w:cs="方正仿宋_GBK"/>
          <w:spacing w:val="-2"/>
          <w:sz w:val="32"/>
          <w:szCs w:val="32"/>
          <w:lang w:eastAsia="zh-CN"/>
        </w:rPr>
        <w:t>比例为职工缴纳的住房公积金。</w:t>
      </w:r>
    </w:p>
    <w:p w14:paraId="69CFFEBA">
      <w:pPr>
        <w:spacing w:before="29" w:line="283" w:lineRule="auto"/>
        <w:ind w:left="30" w:right="319" w:firstLine="648"/>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购房补贴（项</w:t>
      </w:r>
      <w:r>
        <w:rPr>
          <w:rFonts w:ascii="方正仿宋_GBK" w:eastAsia="方正仿宋_GBK" w:cs="方正仿宋_GBK"/>
          <w:b/>
          <w:bCs/>
          <w:spacing w:val="10"/>
          <w:sz w:val="32"/>
          <w:szCs w:val="32"/>
          <w:lang w:eastAsia="zh-CN"/>
        </w:rPr>
        <w:t>）：</w:t>
      </w:r>
      <w:r>
        <w:rPr>
          <w:rFonts w:ascii="方正仿宋_GBK" w:eastAsia="方正仿宋_GBK" w:cs="方正仿宋_GBK"/>
          <w:spacing w:val="-3"/>
          <w:sz w:val="32"/>
          <w:szCs w:val="32"/>
          <w:lang w:eastAsia="zh-CN"/>
        </w:rPr>
        <w:t>反映按房改政策规定，行政事业单</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位向符合条件的职工（含离退休人员）发放的用于购买住</w:t>
      </w:r>
      <w:r>
        <w:rPr>
          <w:rFonts w:ascii="方正仿宋_GBK" w:eastAsia="方正仿宋_GBK" w:cs="方正仿宋_GBK"/>
          <w:spacing w:val="7"/>
          <w:sz w:val="32"/>
          <w:szCs w:val="32"/>
          <w:lang w:eastAsia="zh-CN"/>
        </w:rPr>
        <w:t xml:space="preserve"> </w:t>
      </w:r>
      <w:r>
        <w:rPr>
          <w:rFonts w:ascii="方正仿宋_GBK" w:eastAsia="方正仿宋_GBK" w:cs="方正仿宋_GBK"/>
          <w:spacing w:val="-4"/>
          <w:sz w:val="32"/>
          <w:szCs w:val="32"/>
          <w:lang w:eastAsia="zh-CN"/>
        </w:rPr>
        <w:t>房的补贴。</w:t>
      </w:r>
    </w:p>
    <w:p w14:paraId="03A0A18A">
      <w:pPr>
        <w:spacing w:before="211" w:line="281" w:lineRule="auto"/>
        <w:ind w:right="329" w:firstLine="631" w:firstLineChars="200"/>
        <w:rPr>
          <w:rFonts w:ascii="方正仿宋_GBK" w:eastAsia="方正仿宋_GBK" w:cs="方正仿宋_GBK"/>
          <w:sz w:val="32"/>
          <w:szCs w:val="32"/>
          <w:lang w:eastAsia="zh-CN"/>
        </w:rPr>
      </w:pPr>
      <w:r>
        <w:rPr>
          <w:rFonts w:hint="eastAsia" w:ascii="方正仿宋_GBK" w:eastAsia="方正仿宋_GBK" w:cs="方正仿宋_GBK"/>
          <w:b/>
          <w:bCs/>
          <w:spacing w:val="-3"/>
          <w:sz w:val="32"/>
          <w:szCs w:val="32"/>
          <w:lang w:eastAsia="zh-CN"/>
        </w:rPr>
        <w:t>九</w:t>
      </w:r>
      <w:r>
        <w:rPr>
          <w:rFonts w:ascii="方正仿宋_GBK" w:eastAsia="方正仿宋_GBK" w:cs="方正仿宋_GBK"/>
          <w:b/>
          <w:bCs/>
          <w:spacing w:val="-3"/>
          <w:sz w:val="32"/>
          <w:szCs w:val="32"/>
          <w:lang w:eastAsia="zh-CN"/>
        </w:rPr>
        <w:t>、年末结转和结余：</w:t>
      </w:r>
      <w:r>
        <w:rPr>
          <w:rFonts w:ascii="方正仿宋_GBK" w:eastAsia="方正仿宋_GBK" w:cs="方正仿宋_GBK"/>
          <w:spacing w:val="-3"/>
          <w:sz w:val="32"/>
          <w:szCs w:val="32"/>
          <w:lang w:eastAsia="zh-CN"/>
        </w:rPr>
        <w:t>指单位按有关规定结转到下</w:t>
      </w:r>
      <w:r>
        <w:rPr>
          <w:lang w:eastAsia="zh-CN"/>
        </w:rPr>
        <w:drawing>
          <wp:anchor distT="0" distB="0" distL="0" distR="0" simplePos="0" relativeHeight="251661312" behindDoc="0" locked="0" layoutInCell="0" allowOverlap="1">
            <wp:simplePos x="0" y="0"/>
            <wp:positionH relativeFrom="page">
              <wp:posOffset>-3175</wp:posOffset>
            </wp:positionH>
            <wp:positionV relativeFrom="page">
              <wp:posOffset>-3175</wp:posOffset>
            </wp:positionV>
            <wp:extent cx="6350" cy="6350"/>
            <wp:effectExtent l="0" t="0" r="0" b="0"/>
            <wp:wrapNone/>
            <wp:docPr id="71" name="图片 71"/>
            <wp:cNvGraphicFramePr/>
            <a:graphic xmlns:a="http://schemas.openxmlformats.org/drawingml/2006/main">
              <a:graphicData uri="http://schemas.openxmlformats.org/drawingml/2006/picture">
                <pic:pic xmlns:pic="http://schemas.openxmlformats.org/drawingml/2006/picture">
                  <pic:nvPicPr>
                    <pic:cNvPr id="71" name="图片 71"/>
                    <pic:cNvPicPr/>
                  </pic:nvPicPr>
                  <pic:blipFill>
                    <a:blip r:embed="rId41"/>
                    <a:stretch>
                      <a:fillRect/>
                    </a:stretch>
                  </pic:blipFill>
                  <pic:spPr>
                    <a:xfrm>
                      <a:off x="0" y="0"/>
                      <a:ext cx="6350" cy="6350"/>
                    </a:xfrm>
                    <a:prstGeom prst="rect">
                      <a:avLst/>
                    </a:prstGeom>
                    <a:noFill/>
                    <a:ln w="9525" cap="flat" cmpd="sng">
                      <a:noFill/>
                      <a:prstDash val="solid"/>
                      <a:miter/>
                    </a:ln>
                  </pic:spPr>
                </pic:pic>
              </a:graphicData>
            </a:graphic>
          </wp:anchor>
        </w:drawing>
      </w:r>
      <w:r>
        <w:rPr>
          <w:rFonts w:ascii="方正仿宋_GBK" w:eastAsia="方正仿宋_GBK" w:cs="方正仿宋_GBK"/>
          <w:spacing w:val="-7"/>
          <w:sz w:val="32"/>
          <w:szCs w:val="32"/>
          <w:lang w:eastAsia="zh-CN"/>
        </w:rPr>
        <w:t>年或以后年度继续使用的资金，或项目已完成等产生的结</w:t>
      </w:r>
      <w:r>
        <w:rPr>
          <w:rFonts w:ascii="方正仿宋_GBK" w:eastAsia="方正仿宋_GBK" w:cs="方正仿宋_GBK"/>
          <w:sz w:val="32"/>
          <w:szCs w:val="32"/>
          <w:lang w:eastAsia="zh-CN"/>
        </w:rPr>
        <w:t xml:space="preserve"> </w:t>
      </w:r>
      <w:r>
        <w:rPr>
          <w:rFonts w:ascii="方正仿宋_GBK" w:eastAsia="方正仿宋_GBK" w:cs="方正仿宋_GBK"/>
          <w:spacing w:val="-4"/>
          <w:sz w:val="32"/>
          <w:szCs w:val="32"/>
          <w:lang w:eastAsia="zh-CN"/>
        </w:rPr>
        <w:t>余资金。</w:t>
      </w:r>
    </w:p>
    <w:p w14:paraId="62A52353">
      <w:pPr>
        <w:spacing w:before="26" w:line="259" w:lineRule="auto"/>
        <w:ind w:left="98" w:right="314" w:firstLine="637"/>
        <w:rPr>
          <w:rFonts w:ascii="方正仿宋_GBK" w:eastAsia="方正仿宋_GBK" w:cs="方正仿宋_GBK"/>
          <w:sz w:val="32"/>
          <w:szCs w:val="32"/>
          <w:lang w:eastAsia="zh-CN"/>
        </w:rPr>
      </w:pPr>
      <w:r>
        <w:rPr>
          <w:rFonts w:ascii="方正仿宋_GBK" w:eastAsia="方正仿宋_GBK" w:cs="方正仿宋_GBK"/>
          <w:b/>
          <w:bCs/>
          <w:spacing w:val="-6"/>
          <w:sz w:val="32"/>
          <w:szCs w:val="32"/>
          <w:lang w:eastAsia="zh-CN"/>
        </w:rPr>
        <w:t>十、基本支出：</w:t>
      </w:r>
      <w:r>
        <w:rPr>
          <w:rFonts w:ascii="方正仿宋_GBK" w:eastAsia="方正仿宋_GBK" w:cs="方正仿宋_GBK"/>
          <w:spacing w:val="-6"/>
          <w:sz w:val="32"/>
          <w:szCs w:val="32"/>
          <w:lang w:eastAsia="zh-CN"/>
        </w:rPr>
        <w:t>指为保障机构正常运转</w:t>
      </w:r>
      <w:r>
        <w:rPr>
          <w:rFonts w:ascii="方正仿宋_GBK" w:eastAsia="方正仿宋_GBK" w:cs="方正仿宋_GBK"/>
          <w:spacing w:val="-7"/>
          <w:sz w:val="32"/>
          <w:szCs w:val="32"/>
          <w:lang w:eastAsia="zh-CN"/>
        </w:rPr>
        <w:t>、完成</w:t>
      </w:r>
      <w:r>
        <w:rPr>
          <w:rFonts w:ascii="方正仿宋_GBK" w:eastAsia="方正仿宋_GBK" w:cs="方正仿宋_GBK"/>
          <w:spacing w:val="-51"/>
          <w:sz w:val="32"/>
          <w:szCs w:val="32"/>
          <w:lang w:eastAsia="zh-CN"/>
        </w:rPr>
        <w:t xml:space="preserve"> </w:t>
      </w:r>
      <w:r>
        <w:rPr>
          <w:rFonts w:ascii="方正仿宋_GBK" w:eastAsia="方正仿宋_GBK" w:cs="方正仿宋_GBK"/>
          <w:spacing w:val="-7"/>
          <w:sz w:val="32"/>
          <w:szCs w:val="32"/>
          <w:lang w:eastAsia="zh-CN"/>
        </w:rPr>
        <w:t>日</w:t>
      </w:r>
      <w:r>
        <w:rPr>
          <w:rFonts w:ascii="方正仿宋_GBK" w:eastAsia="方正仿宋_GBK" w:cs="方正仿宋_GBK"/>
          <w:spacing w:val="-2"/>
          <w:sz w:val="32"/>
          <w:szCs w:val="32"/>
          <w:lang w:eastAsia="zh-CN"/>
        </w:rPr>
        <w:t>常工作任务而发生的人员支出和公用支出。</w:t>
      </w:r>
    </w:p>
    <w:p w14:paraId="22F0AA6A">
      <w:pPr>
        <w:spacing w:before="111" w:line="259" w:lineRule="auto"/>
        <w:ind w:left="79" w:right="314" w:firstLine="655"/>
        <w:rPr>
          <w:rFonts w:ascii="方正仿宋_GBK" w:eastAsia="方正仿宋_GBK" w:cs="方正仿宋_GBK"/>
          <w:sz w:val="32"/>
          <w:szCs w:val="32"/>
          <w:lang w:eastAsia="zh-CN"/>
        </w:rPr>
      </w:pPr>
      <w:r>
        <w:rPr>
          <w:rFonts w:ascii="方正仿宋_GBK" w:eastAsia="方正仿宋_GBK" w:cs="方正仿宋_GBK"/>
          <w:b/>
          <w:bCs/>
          <w:spacing w:val="-6"/>
          <w:sz w:val="32"/>
          <w:szCs w:val="32"/>
          <w:lang w:eastAsia="zh-CN"/>
        </w:rPr>
        <w:t>十</w:t>
      </w:r>
      <w:r>
        <w:rPr>
          <w:rFonts w:hint="eastAsia" w:ascii="方正仿宋_GBK" w:eastAsia="方正仿宋_GBK" w:cs="方正仿宋_GBK"/>
          <w:b/>
          <w:bCs/>
          <w:spacing w:val="-6"/>
          <w:sz w:val="32"/>
          <w:szCs w:val="32"/>
          <w:lang w:eastAsia="zh-CN"/>
        </w:rPr>
        <w:t>一</w:t>
      </w:r>
      <w:r>
        <w:rPr>
          <w:rFonts w:ascii="方正仿宋_GBK" w:eastAsia="方正仿宋_GBK" w:cs="方正仿宋_GBK"/>
          <w:b/>
          <w:bCs/>
          <w:spacing w:val="-6"/>
          <w:sz w:val="32"/>
          <w:szCs w:val="32"/>
          <w:lang w:eastAsia="zh-CN"/>
        </w:rPr>
        <w:t>、项目支出：</w:t>
      </w:r>
      <w:r>
        <w:rPr>
          <w:rFonts w:ascii="方正仿宋_GBK" w:eastAsia="方正仿宋_GBK" w:cs="方正仿宋_GBK"/>
          <w:spacing w:val="-6"/>
          <w:sz w:val="32"/>
          <w:szCs w:val="32"/>
          <w:lang w:eastAsia="zh-CN"/>
        </w:rPr>
        <w:t>指在基本支出之外为完成特定行</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政任务或事业发展目标所发生的支出。</w:t>
      </w:r>
    </w:p>
    <w:p w14:paraId="7167ECA8">
      <w:pPr>
        <w:spacing w:before="112" w:line="257" w:lineRule="auto"/>
        <w:ind w:right="314" w:firstLine="735"/>
        <w:rPr>
          <w:rFonts w:ascii="方正仿宋_GBK" w:eastAsia="方正仿宋_GBK" w:cs="方正仿宋_GBK"/>
          <w:sz w:val="32"/>
          <w:szCs w:val="32"/>
          <w:lang w:eastAsia="zh-CN"/>
        </w:rPr>
      </w:pPr>
      <w:r>
        <w:rPr>
          <w:rFonts w:hint="eastAsia" w:ascii="方正仿宋_GBK" w:eastAsia="方正仿宋_GBK" w:cs="方正仿宋_GBK"/>
          <w:b/>
          <w:bCs/>
          <w:spacing w:val="-4"/>
          <w:sz w:val="32"/>
          <w:szCs w:val="32"/>
          <w:lang w:eastAsia="zh-CN"/>
        </w:rPr>
        <w:t>十二</w:t>
      </w:r>
      <w:r>
        <w:rPr>
          <w:rFonts w:ascii="方正仿宋_GBK" w:eastAsia="方正仿宋_GBK" w:cs="方正仿宋_GBK"/>
          <w:b/>
          <w:bCs/>
          <w:spacing w:val="-4"/>
          <w:sz w:val="32"/>
          <w:szCs w:val="32"/>
          <w:lang w:eastAsia="zh-CN"/>
        </w:rPr>
        <w:t>、“</w:t>
      </w:r>
      <w:r>
        <w:rPr>
          <w:rFonts w:ascii="方正仿宋_GBK" w:eastAsia="方正仿宋_GBK" w:cs="方正仿宋_GBK"/>
          <w:spacing w:val="-106"/>
          <w:sz w:val="32"/>
          <w:szCs w:val="32"/>
          <w:lang w:eastAsia="zh-CN"/>
        </w:rPr>
        <w:t xml:space="preserve"> </w:t>
      </w:r>
      <w:r>
        <w:rPr>
          <w:rFonts w:ascii="方正仿宋_GBK" w:eastAsia="方正仿宋_GBK" w:cs="方正仿宋_GBK"/>
          <w:b/>
          <w:bCs/>
          <w:spacing w:val="-4"/>
          <w:sz w:val="32"/>
          <w:szCs w:val="32"/>
          <w:lang w:eastAsia="zh-CN"/>
        </w:rPr>
        <w:t>三公经费”：</w:t>
      </w:r>
      <w:r>
        <w:rPr>
          <w:rFonts w:ascii="方正仿宋_GBK" w:eastAsia="方正仿宋_GBK" w:cs="方正仿宋_GBK"/>
          <w:spacing w:val="-4"/>
          <w:sz w:val="32"/>
          <w:szCs w:val="32"/>
          <w:lang w:eastAsia="zh-CN"/>
        </w:rPr>
        <w:t>纳入中央财政预决算管</w:t>
      </w:r>
      <w:r>
        <w:rPr>
          <w:rFonts w:ascii="方正仿宋_GBK" w:eastAsia="方正仿宋_GBK" w:cs="方正仿宋_GBK"/>
          <w:spacing w:val="-5"/>
          <w:sz w:val="32"/>
          <w:szCs w:val="32"/>
          <w:lang w:eastAsia="zh-CN"/>
        </w:rPr>
        <w:t>理的</w:t>
      </w:r>
      <w:r>
        <w:rPr>
          <w:rFonts w:ascii="方正仿宋_GBK" w:eastAsia="方正仿宋_GBK" w:cs="方正仿宋_GBK"/>
          <w:sz w:val="32"/>
          <w:szCs w:val="32"/>
          <w:lang w:eastAsia="zh-CN"/>
        </w:rPr>
        <w:t xml:space="preserve"> </w:t>
      </w:r>
      <w:r>
        <w:rPr>
          <w:rFonts w:cs="Times New Roman"/>
          <w:sz w:val="32"/>
          <w:szCs w:val="32"/>
          <w:lang w:eastAsia="zh-CN"/>
        </w:rPr>
        <w:t>“</w:t>
      </w:r>
      <w:r>
        <w:rPr>
          <w:rFonts w:cs="Times New Roman"/>
          <w:spacing w:val="-38"/>
          <w:sz w:val="32"/>
          <w:szCs w:val="32"/>
          <w:lang w:eastAsia="zh-CN"/>
        </w:rPr>
        <w:t xml:space="preserve"> </w:t>
      </w:r>
      <w:r>
        <w:rPr>
          <w:rFonts w:ascii="方正仿宋_GBK" w:eastAsia="方正仿宋_GBK" w:cs="方正仿宋_GBK"/>
          <w:sz w:val="32"/>
          <w:szCs w:val="32"/>
          <w:lang w:eastAsia="zh-CN"/>
        </w:rPr>
        <w:t>三公</w:t>
      </w:r>
      <w:r>
        <w:rPr>
          <w:rFonts w:cs="Times New Roman"/>
          <w:sz w:val="32"/>
          <w:szCs w:val="32"/>
          <w:lang w:eastAsia="zh-CN"/>
        </w:rPr>
        <w:t>”</w:t>
      </w:r>
      <w:r>
        <w:rPr>
          <w:rFonts w:cs="Times New Roman"/>
          <w:spacing w:val="-58"/>
          <w:sz w:val="32"/>
          <w:szCs w:val="32"/>
          <w:lang w:eastAsia="zh-CN"/>
        </w:rPr>
        <w:t xml:space="preserve"> </w:t>
      </w:r>
      <w:r>
        <w:rPr>
          <w:rFonts w:ascii="方正仿宋_GBK" w:eastAsia="方正仿宋_GBK" w:cs="方正仿宋_GBK"/>
          <w:sz w:val="32"/>
          <w:szCs w:val="32"/>
          <w:lang w:eastAsia="zh-CN"/>
        </w:rPr>
        <w:t>经费，是指中央部门用财政拨款安排的因公出国</w:t>
      </w:r>
    </w:p>
    <w:p w14:paraId="2249B977">
      <w:pPr>
        <w:spacing w:before="122" w:line="281" w:lineRule="auto"/>
        <w:ind w:left="47" w:right="329"/>
        <w:rPr>
          <w:rFonts w:ascii="方正仿宋_GBK" w:eastAsia="方正仿宋_GBK" w:cs="方正仿宋_GBK"/>
          <w:sz w:val="32"/>
          <w:szCs w:val="32"/>
          <w:lang w:eastAsia="zh-CN"/>
        </w:rPr>
      </w:pPr>
      <w:r>
        <w:rPr>
          <w:rFonts w:ascii="方正仿宋_GBK" w:eastAsia="方正仿宋_GBK" w:cs="方正仿宋_GBK"/>
          <w:sz w:val="32"/>
          <w:szCs w:val="32"/>
          <w:lang w:eastAsia="zh-CN"/>
        </w:rPr>
        <w:t>（境）费、公务用车购置及运行费和公务接待费。其中，</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因公出国（境）费反映单位公务出国（境）的国际旅费、</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w:t>
      </w:r>
      <w:r>
        <w:rPr>
          <w:rFonts w:ascii="方正仿宋_GBK" w:eastAsia="方正仿宋_GBK" w:cs="方正仿宋_GBK"/>
          <w:spacing w:val="13"/>
          <w:sz w:val="32"/>
          <w:szCs w:val="32"/>
          <w:lang w:eastAsia="zh-CN"/>
        </w:rPr>
        <w:t xml:space="preserve"> </w:t>
      </w:r>
      <w:r>
        <w:rPr>
          <w:rFonts w:ascii="方正仿宋_GBK" w:eastAsia="方正仿宋_GBK" w:cs="方正仿宋_GBK"/>
          <w:spacing w:val="2"/>
          <w:sz w:val="32"/>
          <w:szCs w:val="32"/>
          <w:lang w:eastAsia="zh-CN"/>
        </w:rPr>
        <w:t>待）支出。</w:t>
      </w:r>
    </w:p>
    <w:p w14:paraId="6E2DA602">
      <w:pPr>
        <w:spacing w:before="112" w:line="257" w:lineRule="auto"/>
        <w:ind w:right="314" w:firstLine="735"/>
        <w:rPr>
          <w:rFonts w:ascii="方正仿宋_GBK" w:eastAsia="方正仿宋_GBK" w:cs="方正仿宋_GBK"/>
          <w:sz w:val="32"/>
          <w:szCs w:val="32"/>
          <w:lang w:eastAsia="zh-CN"/>
        </w:rPr>
      </w:pPr>
      <w:r>
        <w:rPr>
          <w:rFonts w:hint="eastAsia" w:ascii="方正仿宋_GBK" w:eastAsia="方正仿宋_GBK" w:cs="方正仿宋_GBK"/>
          <w:b/>
          <w:bCs/>
          <w:spacing w:val="-4"/>
          <w:sz w:val="32"/>
          <w:szCs w:val="32"/>
          <w:lang w:eastAsia="zh-CN"/>
        </w:rPr>
        <w:t>十三、机关运行经费：</w:t>
      </w:r>
      <w:r>
        <w:rPr>
          <w:rFonts w:hint="eastAsia" w:ascii="方正仿宋_GBK" w:eastAsia="方正仿宋_GBK" w:cs="方正仿宋_GBK"/>
          <w:sz w:val="32"/>
          <w:szCs w:val="32"/>
          <w:lang w:eastAsia="zh-CN"/>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17" w:type="default"/>
      <w:footerReference r:id="rId18" w:type="default"/>
      <w:pgSz w:w="11922" w:h="16849"/>
      <w:pgMar w:top="1440" w:right="1757" w:bottom="1440" w:left="1757" w:header="0" w:footer="765"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altName w:val="宋体"/>
    <w:panose1 w:val="00000000000000000000"/>
    <w:charset w:val="00"/>
    <w:family w:val="auto"/>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楷体_GBK">
    <w:panose1 w:val="02000000000000000000"/>
    <w:charset w:val="86"/>
    <w:family w:val="script"/>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6BB96">
    <w:pPr>
      <w:spacing w:line="14" w:lineRule="auto"/>
    </w:pPr>
  </w:p>
  <w:p w14:paraId="77FB137B">
    <w:pPr>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2032E">
    <w:pPr>
      <w:spacing w:line="14" w:lineRule="auto"/>
    </w:pPr>
    <w:r>
      <w:pict>
        <v:shape id="文本框 11" o:spid="_x0000_s1045" o:spt="202" type="#_x0000_t202" style="position:absolute;left:0pt;margin-top:0pt;height:10.35pt;width:4.5pt;mso-position-horizontal:center;mso-position-horizontal-relative:margin;mso-wrap-style:none;z-index:251664384;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6QUSrPAAAAAgEAAA8AAAAAAAAAAQAgAAAAIgAAAGRycy9kb3ducmV2&#10;LnhtbFBLAQIUABQAAAAIAIdO4kB7zhN4zAEAAJgDAAAOAAAAAAAAAAEAIAAAAB4BAABkcnMvZTJv&#10;RG9jLnhtbFBLBQYAAAAABgAGAFkBAABcBQAAAAA=&#10;">
          <v:path/>
          <v:fill on="f" focussize="0,0"/>
          <v:stroke on="f" joinstyle="miter"/>
          <v:imagedata o:title=""/>
          <o:lock v:ext="edit"/>
          <v:textbox inset="0mm,0mm,0mm,0mm" style="mso-fit-shape-to-text:t;">
            <w:txbxContent>
              <w:p w14:paraId="51AF428F">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w:t>
                </w:r>
                <w:r>
                  <w:rPr>
                    <w:rFonts w:hint="eastAsia" w:eastAsia="宋体"/>
                    <w:lang w:eastAsia="zh-CN"/>
                  </w:rPr>
                  <w:fldChar w:fldCharType="end"/>
                </w:r>
              </w:p>
            </w:txbxContent>
          </v:textbox>
        </v:shape>
      </w:pict>
    </w:r>
  </w:p>
  <w:p w14:paraId="3D28C30E">
    <w:pPr>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FAE9A">
    <w:pPr>
      <w:spacing w:line="14" w:lineRule="auto"/>
      <w:rPr>
        <w:sz w:val="18"/>
        <w:szCs w:val="18"/>
      </w:rPr>
    </w:pPr>
    <w:r>
      <w:rPr>
        <w:sz w:val="18"/>
      </w:rPr>
      <w:pict>
        <v:shape id="_x0000_s1042" o:spid="_x0000_s1042" o:spt="202" type="#_x0000_t202" style="position:absolute;left:0pt;margin-top:0pt;height:10.35pt;width:4.5pt;mso-position-horizontal:center;mso-position-horizontal-relative:margin;mso-wrap-style:none;z-index:251665408;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pBRKs8AAAACAQAADwAAAAAAAAABACAAAAAiAAAAZHJzL2Rvd25y&#10;ZXYueG1sUEsBAhQAFAAAAAgAh07iQIBJKdfOAQAAmAMAAA4AAAAAAAAAAQAgAAAAHgEAAGRycy9l&#10;Mm9Eb2MueG1sUEsFBgAAAAAGAAYAWQEAAF4FAAAAAA==&#10;">
          <v:path/>
          <v:fill on="f" focussize="0,0"/>
          <v:stroke on="f" joinstyle="miter"/>
          <v:imagedata o:title=""/>
          <o:lock v:ext="edit"/>
          <v:textbox inset="0mm,0mm,0mm,0mm" style="mso-fit-shape-to-text:t;">
            <w:txbxContent>
              <w:p w14:paraId="106F3597">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w:t>
                </w:r>
                <w:r>
                  <w:rPr>
                    <w:rFonts w:hint="eastAsia" w:eastAsia="宋体"/>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B7E0">
    <w:pPr>
      <w:spacing w:line="14" w:lineRule="auto"/>
      <w:rPr>
        <w:sz w:val="20"/>
        <w:szCs w:val="20"/>
      </w:rPr>
    </w:pPr>
    <w:r>
      <w:rPr>
        <w:sz w:val="20"/>
      </w:rPr>
      <w:pict>
        <v:shape id="文本框 21" o:spid="_x0000_s1041" o:spt="202" type="#_x0000_t202" style="position:absolute;left:0pt;margin-top:0pt;height:10.35pt;width:9pt;mso-position-horizontal:center;mso-position-horizontal-relative:margin;mso-wrap-style:none;z-index:251666432;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v7yJ88AAAADAQAADwAAAAAAAAABACAAAAAiAAAAZHJzL2Rvd25y&#10;ZXYueG1sUEsBAhQAFAAAAAgAh07iQMf2xzrOAQAAmQMAAA4AAAAAAAAAAQAgAAAAHgEAAGRycy9l&#10;Mm9Eb2MueG1sUEsFBgAAAAAGAAYAWQEAAF4FAAAAAA==&#10;">
          <v:path/>
          <v:fill on="f" focussize="0,0"/>
          <v:stroke on="f" joinstyle="miter"/>
          <v:imagedata o:title=""/>
          <o:lock v:ext="edit"/>
          <v:textbox inset="0mm,0mm,0mm,0mm" style="mso-fit-shape-to-text:t;">
            <w:txbxContent>
              <w:p w14:paraId="162D591A">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16</w:t>
                </w:r>
                <w:r>
                  <w:rPr>
                    <w:rFonts w:hint="eastAsia" w:eastAsia="宋体"/>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A3101">
    <w:pPr>
      <w:spacing w:line="14" w:lineRule="auto"/>
      <w:rPr>
        <w:sz w:val="20"/>
        <w:szCs w:val="20"/>
      </w:rPr>
    </w:pPr>
    <w:r>
      <w:rPr>
        <w:sz w:val="20"/>
      </w:rPr>
      <w:pict>
        <v:shape id="文本框 37" o:spid="_x0000_s1038" o:spt="202" type="#_x0000_t202" style="position:absolute;left:0pt;margin-top:0pt;height:10.35pt;width:9pt;mso-position-horizontal:center;mso-position-horizontal-relative:margin;mso-wrap-style:none;z-index:251667456;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v7yJ88AAAADAQAADwAAAAAAAAABACAAAAAiAAAAZHJzL2Rvd25y&#10;ZXYueG1sUEsBAhQAFAAAAAgAh07iQASzKdDOAQAAmQMAAA4AAAAAAAAAAQAgAAAAHgEAAGRycy9l&#10;Mm9Eb2MueG1sUEsFBgAAAAAGAAYAWQEAAF4FAAAAAA==&#10;">
          <v:path/>
          <v:fill on="f" focussize="0,0"/>
          <v:stroke on="f" joinstyle="miter"/>
          <v:imagedata o:title=""/>
          <o:lock v:ext="edit"/>
          <v:textbox inset="0mm,0mm,0mm,0mm" style="mso-fit-shape-to-text:t;">
            <w:txbxContent>
              <w:p w14:paraId="7EB39C24">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19</w:t>
                </w:r>
                <w:r>
                  <w:rPr>
                    <w:rFonts w:hint="eastAsia" w:eastAsia="宋体"/>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204ED">
    <w:pPr>
      <w:spacing w:line="14" w:lineRule="auto"/>
      <w:rPr>
        <w:sz w:val="20"/>
        <w:szCs w:val="20"/>
      </w:rPr>
    </w:pPr>
    <w:r>
      <w:rPr>
        <w:sz w:val="20"/>
      </w:rPr>
      <w:pict>
        <v:shape id="文本框 57" o:spid="_x0000_s1033" o:spt="202" type="#_x0000_t202" style="position:absolute;left:0pt;margin-top:0pt;height:10.35pt;width:9pt;mso-position-horizontal:center;mso-position-horizontal-relative:margin;mso-wrap-style:none;z-index:251668480;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v7yJ88AAAADAQAADwAAAAAAAAABACAAAAAiAAAAZHJzL2Rvd25y&#10;ZXYueG1sUEsBAhQAFAAAAAgAh07iQHkn3qPOAQAAmQMAAA4AAAAAAAAAAQAgAAAAHgEAAGRycy9l&#10;Mm9Eb2MueG1sUEsFBgAAAAAGAAYAWQEAAF4FAAAAAA==&#10;">
          <v:path/>
          <v:fill on="f" focussize="0,0"/>
          <v:stroke on="f" joinstyle="miter"/>
          <v:imagedata o:title=""/>
          <o:lock v:ext="edit"/>
          <v:textbox inset="0mm,0mm,0mm,0mm" style="mso-fit-shape-to-text:t;">
            <w:txbxContent>
              <w:p w14:paraId="0D4C720A">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33</w:t>
                </w:r>
                <w:r>
                  <w:rPr>
                    <w:rFonts w:hint="eastAsia" w:eastAsia="宋体"/>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73CAC">
    <w:pPr>
      <w:spacing w:line="14" w:lineRule="auto"/>
      <w:rPr>
        <w:sz w:val="20"/>
        <w:szCs w:val="20"/>
      </w:rPr>
    </w:pPr>
    <w:r>
      <w:rPr>
        <w:sz w:val="20"/>
      </w:rPr>
      <w:pict>
        <v:shape id="文本框 64" o:spid="_x0000_s1030" o:spt="202" type="#_x0000_t202" style="position:absolute;left:0pt;margin-top:0pt;height:10.35pt;width:9pt;mso-position-horizontal:center;mso-position-horizontal-relative:margin;mso-wrap-style:none;z-index:251669504;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v7yJ88AAAADAQAADwAAAAAAAAABACAAAAAiAAAAZHJzL2Rvd25y&#10;ZXYueG1sUEsBAhQAFAAAAAgAh07iQKxxmivOAQAAmQMAAA4AAAAAAAAAAQAgAAAAHgEAAGRycy9l&#10;Mm9Eb2MueG1sUEsFBgAAAAAGAAYAWQEAAF4FAAAAAA==&#10;">
          <v:path/>
          <v:fill on="f" focussize="0,0"/>
          <v:stroke on="f" joinstyle="miter"/>
          <v:imagedata o:title=""/>
          <o:lock v:ext="edit"/>
          <v:textbox inset="0mm,0mm,0mm,0mm" style="mso-fit-shape-to-text:t;">
            <w:txbxContent>
              <w:p w14:paraId="22AB831E">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A1E35">
    <w:pPr>
      <w:spacing w:line="14" w:lineRule="auto"/>
      <w:rPr>
        <w:sz w:val="20"/>
        <w:szCs w:val="20"/>
      </w:rPr>
    </w:pPr>
    <w:r>
      <w:rPr>
        <w:sz w:val="20"/>
      </w:rPr>
      <w:pict>
        <v:shape id="文本框 80" o:spid="_x0000_s1027" o:spt="202" type="#_x0000_t202" style="position:absolute;left:0pt;margin-top:0pt;height:10.35pt;width:9pt;mso-position-horizontal:center;mso-position-horizontal-relative:margin;mso-wrap-style:none;z-index:251670528;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v7yJ88AAAADAQAADwAAAAAAAAABACAAAAAiAAAAZHJzL2Rvd25y&#10;ZXYueG1sUEsBAhQAFAAAAAgAh07iQE1T+hvOAQAAmQMAAA4AAAAAAAAAAQAgAAAAHgEAAGRycy9l&#10;Mm9Eb2MueG1sUEsFBgAAAAAGAAYAWQEAAF4FAAAAAA==&#10;">
          <v:path/>
          <v:fill on="f" focussize="0,0"/>
          <v:stroke on="f" joinstyle="miter"/>
          <v:imagedata o:title=""/>
          <o:lock v:ext="edit"/>
          <v:textbox inset="0mm,0mm,0mm,0mm" style="mso-fit-shape-to-text:t;">
            <w:txbxContent>
              <w:p w14:paraId="5D4EEF60">
                <w:pPr>
                  <w:pStyle w:val="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DCB1A">
    <w:pPr>
      <w:spacing w:line="14" w:lineRule="auto"/>
      <w:rPr>
        <w:sz w:val="2"/>
        <w:szCs w:val="2"/>
      </w:rPr>
    </w:pPr>
    <w:r>
      <w:pict>
        <v:group id="_x0000_s1048" o:spid="_x0000_s1048" o:spt="203" style="height:0.1pt;width:0.1pt;" coordorigin="1687,-8" coordsize="2,1203203" o:gfxdata="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XjOKtAAAAD/AAAADwAAAAAAAAABACAAAAAiAAAAZHJzL2Rvd25yZXYueG1sUEsBAhQAFAAAAAgA&#10;h07iQEip5fJmAgAAQAUAAA4AAAAAAAAAAQAgAAAAHwEAAGRycy9lMm9Eb2MueG1sUEsFBgAAAAAG&#10;AAYAWQEAAPcFAAAAAA==&#10;">
          <o:lock v:ext="edit"/>
          <v:rect id="图片 4" o:spid="_x0000_s1026" o:spt="1" style="position:absolute;left:1687;top:-8;height:1;width:2;" filled="f" coordsize="21600,21600" o:gfxdata="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cjWb4A&#10;AADaAAAADwAAAAAAAAABACAAAAAiAAAAZHJzL2Rvd25yZXYueG1sUEsBAhQAFAAAAAgAh07iQDMv&#10;BZ47AAAAOQAAABAAAAAAAAAAAQAgAAAADQEAAGRycy9zaGFwZXhtbC54bWxQSwUGAAAAAAYABgBb&#10;AQAAtwMAAAAA&#10;">
            <v:path/>
            <v:fill on="f" focussize="0,0"/>
            <v:stroke weight="0.24pt"/>
            <v:imagedata o:title=""/>
            <o:lock v:ext="edit" aspectratio="t"/>
          </v:rect>
          <w10:wrap type="none"/>
          <w10:anchorlock/>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F9A27">
    <w:pPr>
      <w:spacing w:line="14" w:lineRule="auto"/>
      <w:rPr>
        <w:sz w:val="2"/>
        <w:szCs w:val="2"/>
      </w:rPr>
    </w:pPr>
    <w:r>
      <w:pict>
        <v:group id="组合 7" o:spid="_x0000_s1046" o:spt="203" style="height:0.1pt;width:0.1pt;" coordorigin="1756,-15" coordsize="2,1203203" o:gfxdata="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5eM4q0AAAAP8AAAAPAAAAAAAAAAEAIAAAACIAAABkcnMvZG93bnJldi54bWxQSwECFAAU&#10;AAAACACHTuJAtAnFi2sCAABCBQAADgAAAAAAAAABACAAAAAfAQAAZHJzL2Uyb0RvYy54bWxQSwUG&#10;AAAAAAYABgBZAQAA/AUAAAAA&#10;">
          <o:lock v:ext="edit"/>
          <v:rect id="图片 8" o:spid="_x0000_s1047" o:spt="1" style="position:absolute;left:1756;top:-15;height:1;width:2;" filled="f" coordsize="21600,21600" o:gfxdata="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Ietr4A&#10;AADaAAAADwAAAAAAAAABACAAAAAiAAAAZHJzL2Rvd25yZXYueG1sUEsBAhQAFAAAAAgAh07iQDMv&#10;BZ47AAAAOQAAABAAAAAAAAAAAQAgAAAADQEAAGRycy9zaGFwZXhtbC54bWxQSwUGAAAAAAYABgBb&#10;AQAAtwMAAAAA&#10;">
            <v:path/>
            <v:fill on="f" focussize="0,0"/>
            <v:stroke weight="0.24pt"/>
            <v:imagedata o:title=""/>
            <o:lock v:ext="edit" aspectratio="t"/>
          </v:rect>
          <w10:wrap type="none"/>
          <w10:anchorlock/>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0974D">
    <w:pPr>
      <w:spacing w:line="14" w:lineRule="auto"/>
      <w:rPr>
        <w:sz w:val="2"/>
        <w:szCs w:val="2"/>
      </w:rPr>
    </w:pPr>
    <w:r>
      <w:pict>
        <v:group id="组合 14" o:spid="_x0000_s1043" o:spt="203" style="height:0.1pt;width:0.1pt;" coordorigin="1765,-8" coordsize="2,1203203" o:gfxdata="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XjOKtAAAAD/AAAADwAAAAAAAAABACAAAAAiAAAAZHJzL2Rvd25yZXYueG1sUEsBAhQAFAAA&#10;AAgAh07iQNuVKOVpAgAAQgUAAA4AAAAAAAAAAQAgAAAAHwEAAGRycy9lMm9Eb2MueG1sUEsFBgAA&#10;AAAGAAYAWQEAAPoFAAAAAA==&#10;">
          <o:lock v:ext="edit"/>
          <v:rect id="图片 15" o:spid="_x0000_s1044" o:spt="1" style="position:absolute;left:1765;top:-8;height:1;width:2;" filled="f" coordsize="21600,21600" o:gfxdata="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CwlWr4A&#10;AADaAAAADwAAAAAAAAABACAAAAAiAAAAZHJzL2Rvd25yZXYueG1sUEsBAhQAFAAAAAgAh07iQDMv&#10;BZ47AAAAOQAAABAAAAAAAAAAAQAgAAAADQEAAGRycy9zaGFwZXhtbC54bWxQSwUGAAAAAAYABgBb&#10;AQAAtwMAAAAA&#10;">
            <v:path/>
            <v:fill on="f" focussize="0,0"/>
            <v:stroke weight="0.24pt"/>
            <v:imagedata o:title=""/>
            <o:lock v:ext="edit" aspectratio="t"/>
          </v:rect>
          <w10:wrap type="none"/>
          <w10:anchorlock/>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DA14B">
    <w:pPr>
      <w:spacing w:line="14" w:lineRule="auto"/>
      <w:rPr>
        <w:sz w:val="2"/>
        <w:szCs w:val="2"/>
      </w:rPr>
    </w:pPr>
    <w:r>
      <w:pict>
        <v:group id="组合 30" o:spid="_x0000_s1039" o:spt="203" style="height:0.1pt;width:0.1pt;" coordorigin="1758,-15" coordsize="2,1203203" o:gfxdata="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XjOKtAAAAD/AAAADwAAAAAAAAABACAAAAAiAAAAZHJzL2Rvd25yZXYueG1sUEsBAhQAFAAA&#10;AAgAh07iQEpu+i5pAgAARAUAAA4AAAAAAAAAAQAgAAAAHwEAAGRycy9lMm9Eb2MueG1sUEsFBgAA&#10;AAAGAAYAWQEAAPoFAAAAAA==&#10;">
          <o:lock v:ext="edit"/>
          <v:rect id="图片 31" o:spid="_x0000_s1040" o:spt="1" style="position:absolute;left:1758;top:-15;height:1;width:2;" filled="f" coordsize="21600,21600" o:gfxdata="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xSzugAAANoA&#10;AAAPAAAAAAAAAAEAIAAAACIAAABkcnMvZG93bnJldi54bWxQSwECFAAUAAAACACHTuJAMy8FnjsA&#10;AAA5AAAAEAAAAAAAAAABACAAAAAJAQAAZHJzL3NoYXBleG1sLnhtbFBLBQYAAAAABgAGAFsBAACz&#10;AwAAAAA=&#10;">
            <v:path/>
            <v:fill on="f" focussize="0,0"/>
            <v:stroke weight="0.24pt"/>
            <v:imagedata o:title=""/>
            <o:lock v:ext="edit" aspectratio="t"/>
          </v:rect>
          <w10:wrap type="none"/>
          <w10:anchorlock/>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6C088">
    <w:pPr>
      <w:spacing w:line="14" w:lineRule="auto"/>
      <w:rPr>
        <w:sz w:val="20"/>
        <w:szCs w:val="20"/>
      </w:rPr>
    </w:pPr>
    <w:r>
      <w:pict>
        <v:group id="组合 46" o:spid="_x0000_s1036" o:spt="203" style="height:0.05pt;width:0.1pt;" coordorigin="1758,-5" coordsize="2,1203203" o:gfxdata="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Q/piJ0AAAAP8AAAAPAAAAAAAAAAEAIAAAACIAAABkcnMvZG93bnJldi54bWxQSwEC&#10;FAAUAAAACACHTuJA6DhMjm4CAABDBQAADgAAAAAAAAABACAAAAAfAQAAZHJzL2Uyb0RvYy54bWxQ&#10;SwUGAAAAAAYABgBZAQAA/wUAAAAA&#10;">
          <o:lock v:ext="edit"/>
          <v:rect id="图片 47" o:spid="_x0000_s1037" o:spt="1" style="position:absolute;left:1758;top:-5;height:1;width:2;" filled="f" coordsize="21600,21600" o:gfxdata="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4Rp3&#10;wAAAANsAAAAPAAAAAAAAAAEAIAAAACIAAABkcnMvZG93bnJldi54bWxQSwECFAAUAAAACACHTuJA&#10;My8FnjsAAAA5AAAAEAAAAAAAAAABACAAAAAPAQAAZHJzL3NoYXBleG1sLnhtbFBLBQYAAAAABgAG&#10;AFsBAAC5AwAAAAA=&#10;">
            <v:path/>
            <v:fill on="f" focussize="0,0"/>
            <v:stroke weight="0.24pt"/>
            <v:imagedata o:title=""/>
            <o:lock v:ext="edit" aspectratio="t"/>
          </v:rect>
          <w10:wrap type="none"/>
          <w10:anchorlock/>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5CF4D">
    <w:pPr>
      <w:spacing w:line="14" w:lineRule="auto"/>
      <w:rPr>
        <w:sz w:val="20"/>
        <w:szCs w:val="20"/>
      </w:rPr>
    </w:pPr>
    <w:r>
      <w:pict>
        <v:group id="组合 53" o:spid="_x0000_s1034" o:spt="203" style="height:0.05pt;width:0.1pt;" coordorigin="1758,-5" coordsize="2,1203203" o:gfxdata="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D+mInQAAAA/wAAAA8AAAAAAAAAAQAgAAAAIgAAAGRycy9kb3ducmV2LnhtbFBLAQIU&#10;ABQAAAAIAIdO4kBmLiExbQIAAEMFAAAOAAAAAAAAAAEAIAAAAB8BAABkcnMvZTJvRG9jLnhtbFBL&#10;BQYAAAAABgAGAFkBAAD+BQAAAAA=&#10;">
          <o:lock v:ext="edit"/>
          <v:rect id="图片 54" o:spid="_x0000_s1035" o:spt="1" style="position:absolute;left:1758;top:-5;height:1;width:2;" filled="f" coordsize="21600,21600" o:gfxdata="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yGbvQAA&#10;ANsAAAAPAAAAAAAAAAEAIAAAACIAAABkcnMvZG93bnJldi54bWxQSwECFAAUAAAACACHTuJAMy8F&#10;njsAAAA5AAAAEAAAAAAAAAABACAAAAAMAQAAZHJzL3NoYXBleG1sLnhtbFBLBQYAAAAABgAGAFsB&#10;AAC2AwAAAAA=&#10;">
            <v:path/>
            <v:fill on="f" focussize="0,0"/>
            <v:stroke weight="0.24pt"/>
            <v:imagedata o:title=""/>
            <o:lock v:ext="edit" aspectratio="t"/>
          </v:rect>
          <w10:wrap type="none"/>
          <w10:anchorlock/>
        </v:group>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90824">
    <w:pPr>
      <w:spacing w:line="14" w:lineRule="auto"/>
      <w:rPr>
        <w:sz w:val="2"/>
        <w:szCs w:val="2"/>
      </w:rPr>
    </w:pPr>
    <w:r>
      <w:pict>
        <v:group id="组合 60" o:spid="_x0000_s1031" o:spt="203" style="height:0.1pt;width:0.1pt;" coordorigin="1789,-8" coordsize="2,1203203" o:gfxdata="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l4zirQAAAA/wAAAA8AAAAAAAAAAQAgAAAAIgAAAGRycy9kb3ducmV2LnhtbFBLAQIUABQAAAAI&#10;AIdO4kBx4csMZwIAAEQFAAAOAAAAAAAAAAEAIAAAAB8BAABkcnMvZTJvRG9jLnhtbFBLBQYAAAAA&#10;BgAGAFkBAAD4BQAAAAA=&#10;">
          <o:lock v:ext="edit"/>
          <v:rect id="图片 61" o:spid="_x0000_s1032" o:spt="1" style="position:absolute;left:1789;top:-8;height:1;width:2;" filled="f" coordsize="21600,21600" o:gfxdata="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7aHHS8AAAA&#10;2wAAAA8AAAAAAAAAAQAgAAAAIgAAAGRycy9kb3ducmV2LnhtbFBLAQIUABQAAAAIAIdO4kAzLwWe&#10;OwAAADkAAAAQAAAAAAAAAAEAIAAAAAsBAABkcnMvc2hhcGV4bWwueG1sUEsFBgAAAAAGAAYAWwEA&#10;ALUDAAAAAA==&#10;">
            <v:path/>
            <v:fill on="f" focussize="0,0"/>
            <v:stroke weight="0.24pt"/>
            <v:imagedata o:title=""/>
            <o:lock v:ext="edit" aspectratio="t"/>
          </v:rect>
          <w10:wrap type="none"/>
          <w10:anchorlock/>
        </v:group>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30AD3">
    <w:pPr>
      <w:spacing w:line="14" w:lineRule="auto"/>
      <w:rPr>
        <w:sz w:val="2"/>
        <w:szCs w:val="2"/>
      </w:rPr>
    </w:pPr>
    <w:r>
      <w:pict>
        <v:group id="组合 76" o:spid="_x0000_s1028" o:spt="203" style="height:0.1pt;width:0.1pt;" coordorigin="1758,0" coordsize="2,1203203" o:gfxdata="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l4zirQAAAA/wAAAA8AAAAAAAAAAQAgAAAAIgAAAGRycy9kb3ducmV2LnhtbFBLAQIUABQAAAAI&#10;AIdO4kCuE8DNZwIAAEIFAAAOAAAAAAAAAAEAIAAAAB8BAABkcnMvZTJvRG9jLnhtbFBLBQYAAAAA&#10;BgAGAFkBAAD4BQAAAAA=&#10;">
          <o:lock v:ext="edit"/>
          <v:rect id="图片 77" o:spid="_x0000_s1029" o:spt="1" style="position:absolute;left:1758;top:0;height:1;width:2;" filled="f" coordsize="21600,21600" o:gfxdata="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EJ5i8AAAA&#10;2wAAAA8AAAAAAAAAAQAgAAAAIgAAAGRycy9kb3ducmV2LnhtbFBLAQIUABQAAAAIAIdO4kAzLwWe&#10;OwAAADkAAAAQAAAAAAAAAAEAIAAAAAsBAABkcnMvc2hhcGV4bWwueG1sUEsFBgAAAAAGAAYAWwEA&#10;ALUDAAAAAA==&#10;">
            <v:path/>
            <v:fill on="f" focussize="0,0"/>
            <v:stroke weight="0.24pt"/>
            <v:imagedata o:title=""/>
            <o:lock v:ext="edit" aspectratio="t"/>
          </v:rect>
          <w10:wrap type="none"/>
          <w10:anchorlock/>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ED9CCF"/>
    <w:multiLevelType w:val="singleLevel"/>
    <w:tmpl w:val="2FED9CCF"/>
    <w:lvl w:ilvl="0" w:tentative="0">
      <w:start w:val="7"/>
      <w:numFmt w:val="chineseCounting"/>
      <w:suff w:val="nothing"/>
      <w:lvlText w:val="%1、"/>
      <w:lvlJc w:val="left"/>
      <w:pPr>
        <w:ind w:left="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720"/>
  <w:drawingGridHorizontalSpacing w:val="220"/>
  <w:drawingGridVerticalSpacing w:val="156"/>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CF496A"/>
    <w:rsid w:val="0002685C"/>
    <w:rsid w:val="0003183B"/>
    <w:rsid w:val="0006101B"/>
    <w:rsid w:val="000657D0"/>
    <w:rsid w:val="00073CFC"/>
    <w:rsid w:val="000B5FB4"/>
    <w:rsid w:val="000D570A"/>
    <w:rsid w:val="001115B9"/>
    <w:rsid w:val="001218B1"/>
    <w:rsid w:val="00126F18"/>
    <w:rsid w:val="00194672"/>
    <w:rsid w:val="001C67C8"/>
    <w:rsid w:val="001F2853"/>
    <w:rsid w:val="001F40D0"/>
    <w:rsid w:val="00202CC7"/>
    <w:rsid w:val="00227A11"/>
    <w:rsid w:val="002C0E49"/>
    <w:rsid w:val="003016BF"/>
    <w:rsid w:val="00302F64"/>
    <w:rsid w:val="00331858"/>
    <w:rsid w:val="003A4CBC"/>
    <w:rsid w:val="003D61CF"/>
    <w:rsid w:val="00414017"/>
    <w:rsid w:val="004720E7"/>
    <w:rsid w:val="004B0297"/>
    <w:rsid w:val="00507D93"/>
    <w:rsid w:val="005659EC"/>
    <w:rsid w:val="005816C4"/>
    <w:rsid w:val="005A53D8"/>
    <w:rsid w:val="005A6932"/>
    <w:rsid w:val="0067636D"/>
    <w:rsid w:val="006822D5"/>
    <w:rsid w:val="00682FCD"/>
    <w:rsid w:val="00690A48"/>
    <w:rsid w:val="006A107F"/>
    <w:rsid w:val="006C24E3"/>
    <w:rsid w:val="006E30DD"/>
    <w:rsid w:val="006F2C36"/>
    <w:rsid w:val="00710D73"/>
    <w:rsid w:val="0072131C"/>
    <w:rsid w:val="007338CB"/>
    <w:rsid w:val="0074078C"/>
    <w:rsid w:val="00740801"/>
    <w:rsid w:val="007E3528"/>
    <w:rsid w:val="0082684D"/>
    <w:rsid w:val="0088013F"/>
    <w:rsid w:val="008A29FA"/>
    <w:rsid w:val="008C3BE0"/>
    <w:rsid w:val="009136B8"/>
    <w:rsid w:val="009201B1"/>
    <w:rsid w:val="00935588"/>
    <w:rsid w:val="009521C0"/>
    <w:rsid w:val="00975C37"/>
    <w:rsid w:val="009907D4"/>
    <w:rsid w:val="009A6870"/>
    <w:rsid w:val="009C005A"/>
    <w:rsid w:val="009D2199"/>
    <w:rsid w:val="009E24F5"/>
    <w:rsid w:val="009E7963"/>
    <w:rsid w:val="00A34442"/>
    <w:rsid w:val="00A366CF"/>
    <w:rsid w:val="00A71C42"/>
    <w:rsid w:val="00A82657"/>
    <w:rsid w:val="00A92924"/>
    <w:rsid w:val="00A9598F"/>
    <w:rsid w:val="00AB2E42"/>
    <w:rsid w:val="00AF1B35"/>
    <w:rsid w:val="00B65AA2"/>
    <w:rsid w:val="00BC4244"/>
    <w:rsid w:val="00BC63A1"/>
    <w:rsid w:val="00BE62EF"/>
    <w:rsid w:val="00BF40D8"/>
    <w:rsid w:val="00C23CEE"/>
    <w:rsid w:val="00C27C2F"/>
    <w:rsid w:val="00C30C9D"/>
    <w:rsid w:val="00C56811"/>
    <w:rsid w:val="00C9602A"/>
    <w:rsid w:val="00CC20C6"/>
    <w:rsid w:val="00CF496A"/>
    <w:rsid w:val="00D2712F"/>
    <w:rsid w:val="00D32349"/>
    <w:rsid w:val="00D56B3E"/>
    <w:rsid w:val="00E01AA3"/>
    <w:rsid w:val="00E21766"/>
    <w:rsid w:val="00E56F9F"/>
    <w:rsid w:val="00E85298"/>
    <w:rsid w:val="00EC1759"/>
    <w:rsid w:val="00F4381D"/>
    <w:rsid w:val="03D668CB"/>
    <w:rsid w:val="11B88BA1"/>
    <w:rsid w:val="15D00B1E"/>
    <w:rsid w:val="2FBB78DB"/>
    <w:rsid w:val="2FCF1E76"/>
    <w:rsid w:val="2FF657E4"/>
    <w:rsid w:val="32F54466"/>
    <w:rsid w:val="37C6FE75"/>
    <w:rsid w:val="39A3C205"/>
    <w:rsid w:val="3DFF8D3B"/>
    <w:rsid w:val="3ECFBCA7"/>
    <w:rsid w:val="43B936E8"/>
    <w:rsid w:val="4A771AF7"/>
    <w:rsid w:val="4B75A4FF"/>
    <w:rsid w:val="4F5D540A"/>
    <w:rsid w:val="4F7DEFE4"/>
    <w:rsid w:val="4FFB8FAA"/>
    <w:rsid w:val="50014BD8"/>
    <w:rsid w:val="59000091"/>
    <w:rsid w:val="5B9BA6EF"/>
    <w:rsid w:val="5E3FFC30"/>
    <w:rsid w:val="5FEB6096"/>
    <w:rsid w:val="621576D1"/>
    <w:rsid w:val="6DE1632F"/>
    <w:rsid w:val="6E5D54F3"/>
    <w:rsid w:val="6E99280E"/>
    <w:rsid w:val="6ED31848"/>
    <w:rsid w:val="6EFE2EFE"/>
    <w:rsid w:val="6F872E08"/>
    <w:rsid w:val="75B997BE"/>
    <w:rsid w:val="75FE1650"/>
    <w:rsid w:val="763FF4C7"/>
    <w:rsid w:val="765FAD84"/>
    <w:rsid w:val="77762BF7"/>
    <w:rsid w:val="77FFDE78"/>
    <w:rsid w:val="78D23833"/>
    <w:rsid w:val="79A72397"/>
    <w:rsid w:val="7A55D898"/>
    <w:rsid w:val="7ABF370E"/>
    <w:rsid w:val="7B6FF2C5"/>
    <w:rsid w:val="7B97D9EB"/>
    <w:rsid w:val="7BDEAD72"/>
    <w:rsid w:val="7BEF7057"/>
    <w:rsid w:val="7BFB51C1"/>
    <w:rsid w:val="7BFEE5D9"/>
    <w:rsid w:val="7D2A4F26"/>
    <w:rsid w:val="7D4D6865"/>
    <w:rsid w:val="7DF6FA6B"/>
    <w:rsid w:val="7DFE9F5E"/>
    <w:rsid w:val="7E7E58C0"/>
    <w:rsid w:val="7EAE2E7C"/>
    <w:rsid w:val="7EBF43EB"/>
    <w:rsid w:val="7F1B6371"/>
    <w:rsid w:val="7F5D7387"/>
    <w:rsid w:val="7F7B30F5"/>
    <w:rsid w:val="7FBDC5BB"/>
    <w:rsid w:val="7FDC1C1F"/>
    <w:rsid w:val="7FFF89A5"/>
    <w:rsid w:val="98FC06D0"/>
    <w:rsid w:val="ADC325FB"/>
    <w:rsid w:val="ADCD1E6C"/>
    <w:rsid w:val="B5572E5C"/>
    <w:rsid w:val="BBBB3B4F"/>
    <w:rsid w:val="BF4FCDF4"/>
    <w:rsid w:val="BFC4E1AD"/>
    <w:rsid w:val="BFE9DAFA"/>
    <w:rsid w:val="C8BFBCF3"/>
    <w:rsid w:val="CFA29340"/>
    <w:rsid w:val="CFBF7C51"/>
    <w:rsid w:val="D7DF3509"/>
    <w:rsid w:val="DAEC5220"/>
    <w:rsid w:val="DDFF91F8"/>
    <w:rsid w:val="DF521ACA"/>
    <w:rsid w:val="DF539D6D"/>
    <w:rsid w:val="DF689F5E"/>
    <w:rsid w:val="DFBF07EF"/>
    <w:rsid w:val="DFFFFB85"/>
    <w:rsid w:val="EBAF1C5E"/>
    <w:rsid w:val="EBBFD688"/>
    <w:rsid w:val="EDFF3905"/>
    <w:rsid w:val="EFFD7C1B"/>
    <w:rsid w:val="F15FC535"/>
    <w:rsid w:val="F3796D8E"/>
    <w:rsid w:val="F37F519F"/>
    <w:rsid w:val="F5A65EE1"/>
    <w:rsid w:val="F67D8F0A"/>
    <w:rsid w:val="F75FDA46"/>
    <w:rsid w:val="F7EF6FF5"/>
    <w:rsid w:val="F7FE4F81"/>
    <w:rsid w:val="F7FEF755"/>
    <w:rsid w:val="F9EE64A8"/>
    <w:rsid w:val="FB5789C5"/>
    <w:rsid w:val="FB7E8295"/>
    <w:rsid w:val="FBF3AD79"/>
    <w:rsid w:val="FBFF134E"/>
    <w:rsid w:val="FC87F16E"/>
    <w:rsid w:val="FE7AC432"/>
    <w:rsid w:val="FE7B4D94"/>
    <w:rsid w:val="FE9F42BF"/>
    <w:rsid w:val="FFCF24C1"/>
    <w:rsid w:val="FFDD5DB2"/>
    <w:rsid w:val="FFF9000C"/>
    <w:rsid w:val="FFFFA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Arial"/>
      <w:sz w:val="22"/>
      <w:szCs w:val="22"/>
      <w:lang w:val="en-US" w:eastAsia="en-US"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b/>
      <w:sz w:val="20"/>
    </w:rPr>
  </w:style>
  <w:style w:type="paragraph" w:styleId="3">
    <w:name w:val="Body Text"/>
    <w:basedOn w:val="1"/>
    <w:qFormat/>
    <w:uiPriority w:val="0"/>
    <w:pPr>
      <w:ind w:left="1296"/>
    </w:pPr>
    <w:rPr>
      <w:rFonts w:ascii="方正仿宋_GBK" w:eastAsia="方正仿宋_GBK"/>
      <w:sz w:val="31"/>
      <w:szCs w:val="31"/>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7"/>
      </w:tabs>
      <w:snapToGrid w:val="0"/>
    </w:pPr>
    <w:rPr>
      <w:sz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rPr>
  </w:style>
  <w:style w:type="paragraph" w:styleId="7">
    <w:name w:val="toc 6"/>
    <w:basedOn w:val="1"/>
    <w:next w:val="1"/>
    <w:qFormat/>
    <w:uiPriority w:val="0"/>
    <w:pPr>
      <w:ind w:left="2100"/>
    </w:pPr>
  </w:style>
  <w:style w:type="paragraph" w:styleId="8">
    <w:name w:val="table of figures"/>
    <w:basedOn w:val="1"/>
    <w:next w:val="1"/>
    <w:qFormat/>
    <w:uiPriority w:val="0"/>
  </w:style>
  <w:style w:type="paragraph" w:styleId="9">
    <w:name w:val="toc 2"/>
    <w:basedOn w:val="1"/>
    <w:next w:val="1"/>
    <w:qFormat/>
    <w:uiPriority w:val="0"/>
    <w:pPr>
      <w:ind w:left="200" w:leftChars="200"/>
    </w:pPr>
  </w:style>
  <w:style w:type="paragraph" w:customStyle="1" w:styleId="12">
    <w:name w:val="TOC 1"/>
    <w:basedOn w:val="1"/>
    <w:qFormat/>
    <w:uiPriority w:val="0"/>
    <w:pPr>
      <w:spacing w:before="132"/>
      <w:ind w:left="1800"/>
    </w:pPr>
    <w:rPr>
      <w:rFonts w:ascii="宋体" w:eastAsia="宋体"/>
      <w:sz w:val="31"/>
      <w:szCs w:val="31"/>
    </w:rPr>
  </w:style>
  <w:style w:type="paragraph" w:customStyle="1" w:styleId="13">
    <w:name w:val="Heading 1"/>
    <w:basedOn w:val="1"/>
    <w:qFormat/>
    <w:uiPriority w:val="0"/>
    <w:pPr>
      <w:ind w:left="1103"/>
      <w:outlineLvl w:val="1"/>
    </w:pPr>
    <w:rPr>
      <w:rFonts w:ascii="黑体" w:eastAsia="黑体"/>
      <w:sz w:val="72"/>
      <w:szCs w:val="72"/>
    </w:rPr>
  </w:style>
  <w:style w:type="paragraph" w:customStyle="1" w:styleId="14">
    <w:name w:val="Heading 2"/>
    <w:basedOn w:val="1"/>
    <w:qFormat/>
    <w:uiPriority w:val="0"/>
    <w:pPr>
      <w:ind w:left="1934"/>
      <w:outlineLvl w:val="2"/>
    </w:pPr>
    <w:rPr>
      <w:rFonts w:ascii="方正小标宋_GBK" w:eastAsia="方正小标宋_GBK"/>
      <w:sz w:val="36"/>
      <w:szCs w:val="36"/>
    </w:rPr>
  </w:style>
  <w:style w:type="paragraph" w:customStyle="1" w:styleId="15">
    <w:name w:val="Heading 3"/>
    <w:basedOn w:val="1"/>
    <w:qFormat/>
    <w:uiPriority w:val="0"/>
    <w:pPr>
      <w:ind w:left="2068"/>
      <w:outlineLvl w:val="3"/>
    </w:pPr>
    <w:rPr>
      <w:rFonts w:ascii="方正仿宋_GBK" w:eastAsia="方正仿宋_GBK"/>
      <w:b/>
      <w:bCs/>
      <w:sz w:val="31"/>
      <w:szCs w:val="31"/>
    </w:rPr>
  </w:style>
  <w:style w:type="paragraph" w:customStyle="1" w:styleId="16">
    <w:name w:val="列出段落1"/>
    <w:basedOn w:val="1"/>
    <w:qFormat/>
    <w:uiPriority w:val="0"/>
  </w:style>
  <w:style w:type="paragraph" w:customStyle="1" w:styleId="17">
    <w:name w:val="Table Paragraph"/>
    <w:basedOn w:val="1"/>
    <w:qFormat/>
    <w:uiPriority w:val="0"/>
  </w:style>
  <w:style w:type="paragraph" w:customStyle="1" w:styleId="18">
    <w:name w:val="无间隔1"/>
    <w:next w:val="7"/>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19">
    <w:name w:val="样式 9 10 磅"/>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样式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21">
    <w:name w:val="样式 1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22">
    <w:name w:val="样式 2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23">
    <w:name w:val="样式 3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24">
    <w:name w:val="样式 4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25">
    <w:name w:val="样式 10 10 磅"/>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样式 11 磅"/>
    <w:qFormat/>
    <w:uiPriority w:val="0"/>
    <w:pPr>
      <w:widowControl w:val="0"/>
    </w:pPr>
    <w:rPr>
      <w:rFonts w:ascii="Times New Roman" w:hAnsi="Times New Roman" w:eastAsia="Times New Roman" w:cs="Arial"/>
      <w:sz w:val="22"/>
      <w:szCs w:val="22"/>
      <w:lang w:val="en-US" w:eastAsia="en-US" w:bidi="ar-SA"/>
    </w:rPr>
  </w:style>
  <w:style w:type="paragraph" w:customStyle="1" w:styleId="28">
    <w:name w:val="样式 5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29">
    <w:name w:val="样式 6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0">
    <w:name w:val="样式 7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1">
    <w:name w:val="样式 8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2">
    <w:name w:val="样式 9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3">
    <w:name w:val="样式 10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4">
    <w:name w:val="样式 11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5">
    <w:name w:val="样式 12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6">
    <w:name w:val="样式 13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7">
    <w:name w:val="样式 14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8">
    <w:name w:val="样式 15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39">
    <w:name w:val="样式 16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40">
    <w:name w:val="样式 1 11 磅"/>
    <w:qFormat/>
    <w:uiPriority w:val="0"/>
    <w:pPr>
      <w:widowControl w:val="0"/>
    </w:pPr>
    <w:rPr>
      <w:rFonts w:ascii="Times New Roman" w:hAnsi="Times New Roman" w:eastAsia="Times New Roman" w:cs="Arial"/>
      <w:sz w:val="22"/>
      <w:szCs w:val="22"/>
      <w:lang w:val="en-US" w:eastAsia="en-US" w:bidi="ar-SA"/>
    </w:rPr>
  </w:style>
  <w:style w:type="paragraph" w:customStyle="1" w:styleId="41">
    <w:name w:val="样式 17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42">
    <w:name w:val="样式 2 11 磅"/>
    <w:qFormat/>
    <w:uiPriority w:val="0"/>
    <w:pPr>
      <w:widowControl w:val="0"/>
    </w:pPr>
    <w:rPr>
      <w:rFonts w:ascii="Times New Roman" w:hAnsi="Times New Roman" w:eastAsia="Times New Roman" w:cs="Arial"/>
      <w:sz w:val="22"/>
      <w:szCs w:val="22"/>
      <w:lang w:val="en-US" w:eastAsia="en-US" w:bidi="ar-SA"/>
    </w:rPr>
  </w:style>
  <w:style w:type="paragraph" w:customStyle="1" w:styleId="43">
    <w:name w:val="样式 18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44">
    <w:name w:val="样式 3 11 磅"/>
    <w:qFormat/>
    <w:uiPriority w:val="0"/>
    <w:pPr>
      <w:widowControl w:val="0"/>
    </w:pPr>
    <w:rPr>
      <w:rFonts w:ascii="Times New Roman" w:hAnsi="Times New Roman" w:eastAsia="Times New Roman" w:cs="Arial"/>
      <w:sz w:val="22"/>
      <w:szCs w:val="22"/>
      <w:lang w:val="en-US" w:eastAsia="en-US" w:bidi="ar-SA"/>
    </w:rPr>
  </w:style>
  <w:style w:type="paragraph" w:customStyle="1" w:styleId="45">
    <w:name w:val="样式 4 11 磅"/>
    <w:qFormat/>
    <w:uiPriority w:val="0"/>
    <w:pPr>
      <w:widowControl w:val="0"/>
    </w:pPr>
    <w:rPr>
      <w:rFonts w:ascii="Times New Roman" w:hAnsi="Times New Roman" w:eastAsia="Times New Roman" w:cs="Arial"/>
      <w:sz w:val="22"/>
      <w:szCs w:val="22"/>
      <w:lang w:val="en-US" w:eastAsia="en-US" w:bidi="ar-SA"/>
    </w:rPr>
  </w:style>
  <w:style w:type="paragraph" w:customStyle="1" w:styleId="46">
    <w:name w:val="样式 5 11 磅"/>
    <w:qFormat/>
    <w:uiPriority w:val="0"/>
    <w:pPr>
      <w:widowControl w:val="0"/>
    </w:pPr>
    <w:rPr>
      <w:rFonts w:ascii="Times New Roman" w:hAnsi="Times New Roman" w:eastAsia="Times New Roman" w:cs="Arial"/>
      <w:sz w:val="22"/>
      <w:szCs w:val="22"/>
      <w:lang w:val="en-US" w:eastAsia="en-US" w:bidi="ar-SA"/>
    </w:rPr>
  </w:style>
  <w:style w:type="paragraph" w:customStyle="1" w:styleId="47">
    <w:name w:val="样式 6 11 磅"/>
    <w:qFormat/>
    <w:uiPriority w:val="0"/>
    <w:pPr>
      <w:widowControl w:val="0"/>
    </w:pPr>
    <w:rPr>
      <w:rFonts w:ascii="Times New Roman" w:hAnsi="Times New Roman" w:eastAsia="Times New Roman" w:cs="Arial"/>
      <w:sz w:val="22"/>
      <w:szCs w:val="22"/>
      <w:lang w:val="en-US" w:eastAsia="en-US" w:bidi="ar-SA"/>
    </w:rPr>
  </w:style>
  <w:style w:type="paragraph" w:customStyle="1" w:styleId="48">
    <w:name w:val="样式 19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49">
    <w:name w:val="样式 7 11 磅"/>
    <w:qFormat/>
    <w:uiPriority w:val="0"/>
    <w:pPr>
      <w:widowControl w:val="0"/>
    </w:pPr>
    <w:rPr>
      <w:rFonts w:ascii="Times New Roman" w:hAnsi="Times New Roman" w:eastAsia="Times New Roman" w:cs="Arial"/>
      <w:sz w:val="22"/>
      <w:szCs w:val="22"/>
      <w:lang w:val="en-US" w:eastAsia="en-US" w:bidi="ar-SA"/>
    </w:rPr>
  </w:style>
  <w:style w:type="paragraph" w:customStyle="1" w:styleId="50">
    <w:name w:val="样式 8 11 磅"/>
    <w:qFormat/>
    <w:uiPriority w:val="0"/>
    <w:pPr>
      <w:widowControl w:val="0"/>
    </w:pPr>
    <w:rPr>
      <w:rFonts w:ascii="Times New Roman" w:hAnsi="Times New Roman" w:eastAsia="Times New Roman" w:cs="Arial"/>
      <w:sz w:val="22"/>
      <w:szCs w:val="22"/>
      <w:lang w:val="en-US" w:eastAsia="en-US" w:bidi="ar-SA"/>
    </w:rPr>
  </w:style>
  <w:style w:type="paragraph" w:customStyle="1" w:styleId="51">
    <w:name w:val="样式 9 11 磅"/>
    <w:qFormat/>
    <w:uiPriority w:val="0"/>
    <w:pPr>
      <w:widowControl w:val="0"/>
    </w:pPr>
    <w:rPr>
      <w:rFonts w:ascii="Times New Roman" w:hAnsi="Times New Roman" w:eastAsia="Times New Roman" w:cs="Arial"/>
      <w:sz w:val="22"/>
      <w:szCs w:val="22"/>
      <w:lang w:val="en-US" w:eastAsia="en-US" w:bidi="ar-SA"/>
    </w:rPr>
  </w:style>
  <w:style w:type="paragraph" w:customStyle="1" w:styleId="52">
    <w:name w:val="样式 10 11 磅"/>
    <w:qFormat/>
    <w:uiPriority w:val="0"/>
    <w:pPr>
      <w:widowControl w:val="0"/>
    </w:pPr>
    <w:rPr>
      <w:rFonts w:ascii="Times New Roman" w:hAnsi="Times New Roman" w:eastAsia="Times New Roman" w:cs="Arial"/>
      <w:sz w:val="22"/>
      <w:szCs w:val="22"/>
      <w:lang w:val="en-US" w:eastAsia="en-US" w:bidi="ar-SA"/>
    </w:rPr>
  </w:style>
  <w:style w:type="paragraph" w:customStyle="1" w:styleId="53">
    <w:name w:val="样式 11 11 磅"/>
    <w:qFormat/>
    <w:uiPriority w:val="0"/>
    <w:pPr>
      <w:widowControl w:val="0"/>
    </w:pPr>
    <w:rPr>
      <w:rFonts w:ascii="Times New Roman" w:hAnsi="Times New Roman" w:eastAsia="Times New Roman" w:cs="Arial"/>
      <w:sz w:val="22"/>
      <w:szCs w:val="22"/>
      <w:lang w:val="en-US" w:eastAsia="en-US" w:bidi="ar-SA"/>
    </w:rPr>
  </w:style>
  <w:style w:type="paragraph" w:customStyle="1" w:styleId="54">
    <w:name w:val="样式 20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55">
    <w:name w:val="样式 12 11 磅"/>
    <w:qFormat/>
    <w:uiPriority w:val="0"/>
    <w:pPr>
      <w:widowControl w:val="0"/>
    </w:pPr>
    <w:rPr>
      <w:rFonts w:ascii="Times New Roman" w:hAnsi="Times New Roman" w:eastAsia="Times New Roman" w:cs="Arial"/>
      <w:sz w:val="22"/>
      <w:szCs w:val="22"/>
      <w:lang w:val="en-US" w:eastAsia="en-US" w:bidi="ar-SA"/>
    </w:rPr>
  </w:style>
  <w:style w:type="paragraph" w:customStyle="1" w:styleId="56">
    <w:name w:val="样式 13 11 磅"/>
    <w:qFormat/>
    <w:uiPriority w:val="0"/>
    <w:pPr>
      <w:widowControl w:val="0"/>
    </w:pPr>
    <w:rPr>
      <w:rFonts w:ascii="Times New Roman" w:hAnsi="Times New Roman" w:eastAsia="Times New Roman" w:cs="Arial"/>
      <w:sz w:val="22"/>
      <w:szCs w:val="22"/>
      <w:lang w:val="en-US" w:eastAsia="en-US" w:bidi="ar-SA"/>
    </w:rPr>
  </w:style>
  <w:style w:type="paragraph" w:customStyle="1" w:styleId="57">
    <w:name w:val="样式 14 11 磅"/>
    <w:qFormat/>
    <w:uiPriority w:val="0"/>
    <w:pPr>
      <w:widowControl w:val="0"/>
    </w:pPr>
    <w:rPr>
      <w:rFonts w:ascii="Times New Roman" w:hAnsi="Times New Roman" w:eastAsia="Times New Roman" w:cs="Arial"/>
      <w:sz w:val="22"/>
      <w:szCs w:val="22"/>
      <w:lang w:val="en-US" w:eastAsia="en-US" w:bidi="ar-SA"/>
    </w:rPr>
  </w:style>
  <w:style w:type="paragraph" w:customStyle="1" w:styleId="58">
    <w:name w:val="样式 15 11 磅"/>
    <w:qFormat/>
    <w:uiPriority w:val="0"/>
    <w:pPr>
      <w:widowControl w:val="0"/>
    </w:pPr>
    <w:rPr>
      <w:rFonts w:ascii="Times New Roman" w:hAnsi="Times New Roman" w:eastAsia="Times New Roman" w:cs="Arial"/>
      <w:sz w:val="22"/>
      <w:szCs w:val="22"/>
      <w:lang w:val="en-US" w:eastAsia="en-US" w:bidi="ar-SA"/>
    </w:rPr>
  </w:style>
  <w:style w:type="paragraph" w:customStyle="1" w:styleId="59">
    <w:name w:val="样式 21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60">
    <w:name w:val="样式 16 11 磅"/>
    <w:qFormat/>
    <w:uiPriority w:val="0"/>
    <w:pPr>
      <w:widowControl w:val="0"/>
    </w:pPr>
    <w:rPr>
      <w:rFonts w:ascii="Times New Roman" w:hAnsi="Times New Roman" w:eastAsia="Times New Roman" w:cs="Arial"/>
      <w:sz w:val="22"/>
      <w:szCs w:val="22"/>
      <w:lang w:val="en-US" w:eastAsia="en-US" w:bidi="ar-SA"/>
    </w:rPr>
  </w:style>
  <w:style w:type="paragraph" w:customStyle="1" w:styleId="61">
    <w:name w:val="样式 17 11 磅"/>
    <w:qFormat/>
    <w:uiPriority w:val="0"/>
    <w:pPr>
      <w:widowControl w:val="0"/>
    </w:pPr>
    <w:rPr>
      <w:rFonts w:ascii="Times New Roman" w:hAnsi="Times New Roman" w:eastAsia="Times New Roman" w:cs="Arial"/>
      <w:sz w:val="22"/>
      <w:szCs w:val="22"/>
      <w:lang w:val="en-US" w:eastAsia="en-US" w:bidi="ar-SA"/>
    </w:rPr>
  </w:style>
  <w:style w:type="paragraph" w:customStyle="1" w:styleId="62">
    <w:name w:val="样式 22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63">
    <w:name w:val="样式 18 11 磅"/>
    <w:qFormat/>
    <w:uiPriority w:val="0"/>
    <w:pPr>
      <w:widowControl w:val="0"/>
    </w:pPr>
    <w:rPr>
      <w:rFonts w:ascii="Times New Roman" w:hAnsi="Times New Roman" w:eastAsia="Times New Roman" w:cs="Arial"/>
      <w:sz w:val="22"/>
      <w:szCs w:val="22"/>
      <w:lang w:val="en-US" w:eastAsia="en-US" w:bidi="ar-SA"/>
    </w:rPr>
  </w:style>
  <w:style w:type="paragraph" w:customStyle="1" w:styleId="64">
    <w:name w:val="样式 19 11 磅"/>
    <w:qFormat/>
    <w:uiPriority w:val="0"/>
    <w:pPr>
      <w:widowControl w:val="0"/>
    </w:pPr>
    <w:rPr>
      <w:rFonts w:ascii="Times New Roman" w:hAnsi="Times New Roman" w:eastAsia="Times New Roman" w:cs="Arial"/>
      <w:sz w:val="22"/>
      <w:szCs w:val="22"/>
      <w:lang w:val="en-US" w:eastAsia="en-US" w:bidi="ar-SA"/>
    </w:rPr>
  </w:style>
  <w:style w:type="paragraph" w:customStyle="1" w:styleId="65">
    <w:name w:val="样式 23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66">
    <w:name w:val="样式 24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67">
    <w:name w:val="样式 25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68">
    <w:name w:val="样式 20 11 磅"/>
    <w:qFormat/>
    <w:uiPriority w:val="0"/>
    <w:pPr>
      <w:widowControl w:val="0"/>
    </w:pPr>
    <w:rPr>
      <w:rFonts w:ascii="Times New Roman" w:hAnsi="Times New Roman" w:eastAsia="Times New Roman" w:cs="Arial"/>
      <w:sz w:val="22"/>
      <w:szCs w:val="22"/>
      <w:lang w:val="en-US" w:eastAsia="en-US" w:bidi="ar-SA"/>
    </w:rPr>
  </w:style>
  <w:style w:type="paragraph" w:customStyle="1" w:styleId="69">
    <w:name w:val="样式 21 11 磅"/>
    <w:qFormat/>
    <w:uiPriority w:val="0"/>
    <w:pPr>
      <w:widowControl w:val="0"/>
    </w:pPr>
    <w:rPr>
      <w:rFonts w:ascii="Times New Roman" w:hAnsi="Times New Roman" w:eastAsia="Times New Roman" w:cs="Arial"/>
      <w:sz w:val="22"/>
      <w:szCs w:val="22"/>
      <w:lang w:val="en-US" w:eastAsia="en-US" w:bidi="ar-SA"/>
    </w:rPr>
  </w:style>
  <w:style w:type="paragraph" w:customStyle="1" w:styleId="70">
    <w:name w:val="样式 26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71">
    <w:name w:val="样式 27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72">
    <w:name w:val="样式 28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73">
    <w:name w:val="样式 22 11 磅"/>
    <w:qFormat/>
    <w:uiPriority w:val="0"/>
    <w:pPr>
      <w:widowControl w:val="0"/>
    </w:pPr>
    <w:rPr>
      <w:rFonts w:ascii="Times New Roman" w:hAnsi="Times New Roman" w:eastAsia="Times New Roman" w:cs="Arial"/>
      <w:sz w:val="22"/>
      <w:szCs w:val="22"/>
      <w:lang w:val="en-US" w:eastAsia="en-US" w:bidi="ar-SA"/>
    </w:rPr>
  </w:style>
  <w:style w:type="paragraph" w:customStyle="1" w:styleId="74">
    <w:name w:val="样式 29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75">
    <w:name w:val="样式 23 11 磅"/>
    <w:qFormat/>
    <w:uiPriority w:val="0"/>
    <w:pPr>
      <w:widowControl w:val="0"/>
    </w:pPr>
    <w:rPr>
      <w:rFonts w:ascii="Times New Roman" w:hAnsi="Times New Roman" w:eastAsia="Times New Roman" w:cs="Arial"/>
      <w:sz w:val="22"/>
      <w:szCs w:val="22"/>
      <w:lang w:val="en-US" w:eastAsia="en-US" w:bidi="ar-SA"/>
    </w:rPr>
  </w:style>
  <w:style w:type="paragraph" w:customStyle="1" w:styleId="76">
    <w:name w:val="样式 30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77">
    <w:name w:val="样式 31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78">
    <w:name w:val="样式 32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79">
    <w:name w:val="样式 33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80">
    <w:name w:val="样式 34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81">
    <w:name w:val="样式 24 11 磅"/>
    <w:qFormat/>
    <w:uiPriority w:val="0"/>
    <w:pPr>
      <w:widowControl w:val="0"/>
    </w:pPr>
    <w:rPr>
      <w:rFonts w:ascii="Times New Roman" w:hAnsi="Times New Roman" w:eastAsia="Times New Roman" w:cs="Arial"/>
      <w:sz w:val="22"/>
      <w:szCs w:val="22"/>
      <w:lang w:val="en-US" w:eastAsia="en-US" w:bidi="ar-SA"/>
    </w:rPr>
  </w:style>
  <w:style w:type="paragraph" w:customStyle="1" w:styleId="82">
    <w:name w:val="样式 25 11 磅"/>
    <w:qFormat/>
    <w:uiPriority w:val="0"/>
    <w:pPr>
      <w:widowControl w:val="0"/>
    </w:pPr>
    <w:rPr>
      <w:rFonts w:ascii="Times New Roman" w:hAnsi="Times New Roman" w:eastAsia="Times New Roman" w:cs="Arial"/>
      <w:sz w:val="22"/>
      <w:szCs w:val="22"/>
      <w:lang w:val="en-US" w:eastAsia="en-US" w:bidi="ar-SA"/>
    </w:rPr>
  </w:style>
  <w:style w:type="paragraph" w:customStyle="1" w:styleId="83">
    <w:name w:val="样式 35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84">
    <w:name w:val="样式 36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85">
    <w:name w:val="样式 26 11 磅"/>
    <w:qFormat/>
    <w:uiPriority w:val="0"/>
    <w:pPr>
      <w:widowControl w:val="0"/>
    </w:pPr>
    <w:rPr>
      <w:rFonts w:ascii="Times New Roman" w:hAnsi="Times New Roman" w:eastAsia="Times New Roman" w:cs="Arial"/>
      <w:sz w:val="22"/>
      <w:szCs w:val="22"/>
      <w:lang w:val="en-US" w:eastAsia="en-US" w:bidi="ar-SA"/>
    </w:rPr>
  </w:style>
  <w:style w:type="paragraph" w:customStyle="1" w:styleId="86">
    <w:name w:val="样式 27 11 磅"/>
    <w:qFormat/>
    <w:uiPriority w:val="0"/>
    <w:pPr>
      <w:widowControl w:val="0"/>
    </w:pPr>
    <w:rPr>
      <w:rFonts w:ascii="Times New Roman" w:hAnsi="Times New Roman" w:eastAsia="Times New Roman" w:cs="Arial"/>
      <w:sz w:val="22"/>
      <w:szCs w:val="22"/>
      <w:lang w:val="en-US" w:eastAsia="en-US" w:bidi="ar-SA"/>
    </w:rPr>
  </w:style>
  <w:style w:type="paragraph" w:customStyle="1" w:styleId="87">
    <w:name w:val="样式 37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88">
    <w:name w:val="样式 28 11 磅"/>
    <w:qFormat/>
    <w:uiPriority w:val="0"/>
    <w:pPr>
      <w:widowControl w:val="0"/>
    </w:pPr>
    <w:rPr>
      <w:rFonts w:ascii="Times New Roman" w:hAnsi="Times New Roman" w:eastAsia="Times New Roman" w:cs="Arial"/>
      <w:sz w:val="22"/>
      <w:szCs w:val="22"/>
      <w:lang w:val="en-US" w:eastAsia="en-US" w:bidi="ar-SA"/>
    </w:rPr>
  </w:style>
  <w:style w:type="paragraph" w:customStyle="1" w:styleId="89">
    <w:name w:val="样式 29 11 磅"/>
    <w:qFormat/>
    <w:uiPriority w:val="0"/>
    <w:pPr>
      <w:widowControl w:val="0"/>
    </w:pPr>
    <w:rPr>
      <w:rFonts w:ascii="Times New Roman" w:hAnsi="Times New Roman" w:eastAsia="Times New Roman" w:cs="Arial"/>
      <w:sz w:val="22"/>
      <w:szCs w:val="22"/>
      <w:lang w:val="en-US" w:eastAsia="en-US" w:bidi="ar-SA"/>
    </w:rPr>
  </w:style>
  <w:style w:type="paragraph" w:customStyle="1" w:styleId="90">
    <w:name w:val="样式 38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91">
    <w:name w:val="样式 30 11 磅"/>
    <w:qFormat/>
    <w:uiPriority w:val="0"/>
    <w:pPr>
      <w:widowControl w:val="0"/>
    </w:pPr>
    <w:rPr>
      <w:rFonts w:ascii="Times New Roman" w:hAnsi="Times New Roman" w:eastAsia="Times New Roman" w:cs="Arial"/>
      <w:sz w:val="22"/>
      <w:szCs w:val="22"/>
      <w:lang w:val="en-US" w:eastAsia="en-US" w:bidi="ar-SA"/>
    </w:rPr>
  </w:style>
  <w:style w:type="paragraph" w:customStyle="1" w:styleId="92">
    <w:name w:val="样式 31 11 磅"/>
    <w:qFormat/>
    <w:uiPriority w:val="0"/>
    <w:pPr>
      <w:widowControl w:val="0"/>
    </w:pPr>
    <w:rPr>
      <w:rFonts w:ascii="Times New Roman" w:hAnsi="Times New Roman" w:eastAsia="Times New Roman" w:cs="Arial"/>
      <w:sz w:val="22"/>
      <w:szCs w:val="22"/>
      <w:lang w:val="en-US" w:eastAsia="en-US" w:bidi="ar-SA"/>
    </w:rPr>
  </w:style>
  <w:style w:type="paragraph" w:customStyle="1" w:styleId="93">
    <w:name w:val="样式 39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94">
    <w:name w:val="样式 40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95">
    <w:name w:val="样式 32 11 磅"/>
    <w:qFormat/>
    <w:uiPriority w:val="0"/>
    <w:pPr>
      <w:widowControl w:val="0"/>
    </w:pPr>
    <w:rPr>
      <w:rFonts w:ascii="Times New Roman" w:hAnsi="Times New Roman" w:eastAsia="Times New Roman" w:cs="Arial"/>
      <w:sz w:val="22"/>
      <w:szCs w:val="22"/>
      <w:lang w:val="en-US" w:eastAsia="en-US" w:bidi="ar-SA"/>
    </w:rPr>
  </w:style>
  <w:style w:type="paragraph" w:customStyle="1" w:styleId="96">
    <w:name w:val="样式 41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97">
    <w:name w:val="样式 42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98">
    <w:name w:val="样式 43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99">
    <w:name w:val="样式 44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00">
    <w:name w:val="样式 45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01">
    <w:name w:val="样式 46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02">
    <w:name w:val="样式 33 11 磅"/>
    <w:qFormat/>
    <w:uiPriority w:val="0"/>
    <w:pPr>
      <w:widowControl w:val="0"/>
    </w:pPr>
    <w:rPr>
      <w:rFonts w:ascii="Times New Roman" w:hAnsi="Times New Roman" w:eastAsia="Times New Roman" w:cs="Arial"/>
      <w:sz w:val="22"/>
      <w:szCs w:val="22"/>
      <w:lang w:val="en-US" w:eastAsia="en-US" w:bidi="ar-SA"/>
    </w:rPr>
  </w:style>
  <w:style w:type="paragraph" w:customStyle="1" w:styleId="103">
    <w:name w:val="样式 34 11 磅"/>
    <w:qFormat/>
    <w:uiPriority w:val="0"/>
    <w:pPr>
      <w:widowControl w:val="0"/>
    </w:pPr>
    <w:rPr>
      <w:rFonts w:ascii="Times New Roman" w:hAnsi="Times New Roman" w:eastAsia="Times New Roman" w:cs="Arial"/>
      <w:sz w:val="22"/>
      <w:szCs w:val="22"/>
      <w:lang w:val="en-US" w:eastAsia="en-US" w:bidi="ar-SA"/>
    </w:rPr>
  </w:style>
  <w:style w:type="paragraph" w:customStyle="1" w:styleId="104">
    <w:name w:val="样式 35 11 磅"/>
    <w:qFormat/>
    <w:uiPriority w:val="0"/>
    <w:pPr>
      <w:widowControl w:val="0"/>
    </w:pPr>
    <w:rPr>
      <w:rFonts w:ascii="Times New Roman" w:hAnsi="Times New Roman" w:eastAsia="Times New Roman" w:cs="Arial"/>
      <w:sz w:val="22"/>
      <w:szCs w:val="22"/>
      <w:lang w:val="en-US" w:eastAsia="en-US" w:bidi="ar-SA"/>
    </w:rPr>
  </w:style>
  <w:style w:type="paragraph" w:customStyle="1" w:styleId="105">
    <w:name w:val="样式 36 11 磅"/>
    <w:qFormat/>
    <w:uiPriority w:val="0"/>
    <w:pPr>
      <w:widowControl w:val="0"/>
    </w:pPr>
    <w:rPr>
      <w:rFonts w:ascii="Times New Roman" w:hAnsi="Times New Roman" w:eastAsia="Times New Roman" w:cs="Arial"/>
      <w:sz w:val="22"/>
      <w:szCs w:val="22"/>
      <w:lang w:val="en-US" w:eastAsia="en-US" w:bidi="ar-SA"/>
    </w:rPr>
  </w:style>
  <w:style w:type="paragraph" w:customStyle="1" w:styleId="106">
    <w:name w:val="样式 37 11 磅"/>
    <w:qFormat/>
    <w:uiPriority w:val="0"/>
    <w:pPr>
      <w:widowControl w:val="0"/>
    </w:pPr>
    <w:rPr>
      <w:rFonts w:ascii="Times New Roman" w:hAnsi="Times New Roman" w:eastAsia="Times New Roman" w:cs="Arial"/>
      <w:sz w:val="22"/>
      <w:szCs w:val="22"/>
      <w:lang w:val="en-US" w:eastAsia="en-US" w:bidi="ar-SA"/>
    </w:rPr>
  </w:style>
  <w:style w:type="paragraph" w:customStyle="1" w:styleId="107">
    <w:name w:val="样式 38 11 磅"/>
    <w:qFormat/>
    <w:uiPriority w:val="0"/>
    <w:pPr>
      <w:widowControl w:val="0"/>
    </w:pPr>
    <w:rPr>
      <w:rFonts w:ascii="Times New Roman" w:hAnsi="Times New Roman" w:eastAsia="Times New Roman" w:cs="Arial"/>
      <w:sz w:val="22"/>
      <w:szCs w:val="22"/>
      <w:lang w:val="en-US" w:eastAsia="en-US" w:bidi="ar-SA"/>
    </w:rPr>
  </w:style>
  <w:style w:type="paragraph" w:customStyle="1" w:styleId="108">
    <w:name w:val="样式 39 11 磅"/>
    <w:qFormat/>
    <w:uiPriority w:val="0"/>
    <w:pPr>
      <w:widowControl w:val="0"/>
    </w:pPr>
    <w:rPr>
      <w:rFonts w:ascii="Times New Roman" w:hAnsi="Times New Roman" w:eastAsia="Times New Roman" w:cs="Arial"/>
      <w:sz w:val="22"/>
      <w:szCs w:val="22"/>
      <w:lang w:val="en-US" w:eastAsia="en-US" w:bidi="ar-SA"/>
    </w:rPr>
  </w:style>
  <w:style w:type="paragraph" w:customStyle="1" w:styleId="109">
    <w:name w:val="样式 40 11 磅"/>
    <w:qFormat/>
    <w:uiPriority w:val="0"/>
    <w:pPr>
      <w:widowControl w:val="0"/>
    </w:pPr>
    <w:rPr>
      <w:rFonts w:ascii="Times New Roman" w:hAnsi="Times New Roman" w:eastAsia="Times New Roman" w:cs="Arial"/>
      <w:sz w:val="22"/>
      <w:szCs w:val="22"/>
      <w:lang w:val="en-US" w:eastAsia="en-US" w:bidi="ar-SA"/>
    </w:rPr>
  </w:style>
  <w:style w:type="paragraph" w:customStyle="1" w:styleId="110">
    <w:name w:val="样式 41 11 磅"/>
    <w:qFormat/>
    <w:uiPriority w:val="0"/>
    <w:pPr>
      <w:widowControl w:val="0"/>
    </w:pPr>
    <w:rPr>
      <w:rFonts w:ascii="Times New Roman" w:hAnsi="Times New Roman" w:eastAsia="Times New Roman" w:cs="Arial"/>
      <w:sz w:val="22"/>
      <w:szCs w:val="22"/>
      <w:lang w:val="en-US" w:eastAsia="en-US" w:bidi="ar-SA"/>
    </w:rPr>
  </w:style>
  <w:style w:type="paragraph" w:customStyle="1" w:styleId="111">
    <w:name w:val="样式 42 11 磅"/>
    <w:qFormat/>
    <w:uiPriority w:val="0"/>
    <w:pPr>
      <w:widowControl w:val="0"/>
    </w:pPr>
    <w:rPr>
      <w:rFonts w:ascii="Times New Roman" w:hAnsi="Times New Roman" w:eastAsia="Times New Roman" w:cs="Arial"/>
      <w:sz w:val="22"/>
      <w:szCs w:val="22"/>
      <w:lang w:val="en-US" w:eastAsia="en-US" w:bidi="ar-SA"/>
    </w:rPr>
  </w:style>
  <w:style w:type="paragraph" w:customStyle="1" w:styleId="112">
    <w:name w:val="样式 43 11 磅"/>
    <w:qFormat/>
    <w:uiPriority w:val="0"/>
    <w:pPr>
      <w:widowControl w:val="0"/>
    </w:pPr>
    <w:rPr>
      <w:rFonts w:ascii="Times New Roman" w:hAnsi="Times New Roman" w:eastAsia="Times New Roman" w:cs="Arial"/>
      <w:sz w:val="22"/>
      <w:szCs w:val="22"/>
      <w:lang w:val="en-US" w:eastAsia="en-US" w:bidi="ar-SA"/>
    </w:rPr>
  </w:style>
  <w:style w:type="paragraph" w:customStyle="1" w:styleId="113">
    <w:name w:val="样式 44 11 磅"/>
    <w:qFormat/>
    <w:uiPriority w:val="0"/>
    <w:pPr>
      <w:widowControl w:val="0"/>
    </w:pPr>
    <w:rPr>
      <w:rFonts w:ascii="Times New Roman" w:hAnsi="Times New Roman" w:eastAsia="Times New Roman" w:cs="Arial"/>
      <w:sz w:val="22"/>
      <w:szCs w:val="22"/>
      <w:lang w:val="en-US" w:eastAsia="en-US" w:bidi="ar-SA"/>
    </w:rPr>
  </w:style>
  <w:style w:type="paragraph" w:customStyle="1" w:styleId="114">
    <w:name w:val="样式 45 11 磅"/>
    <w:qFormat/>
    <w:uiPriority w:val="0"/>
    <w:pPr>
      <w:widowControl w:val="0"/>
    </w:pPr>
    <w:rPr>
      <w:rFonts w:ascii="Times New Roman" w:hAnsi="Times New Roman" w:eastAsia="Times New Roman" w:cs="Arial"/>
      <w:sz w:val="22"/>
      <w:szCs w:val="22"/>
      <w:lang w:val="en-US" w:eastAsia="en-US" w:bidi="ar-SA"/>
    </w:rPr>
  </w:style>
  <w:style w:type="paragraph" w:customStyle="1" w:styleId="115">
    <w:name w:val="样式 46 11 磅"/>
    <w:qFormat/>
    <w:uiPriority w:val="0"/>
    <w:pPr>
      <w:widowControl w:val="0"/>
    </w:pPr>
    <w:rPr>
      <w:rFonts w:ascii="Times New Roman" w:hAnsi="Times New Roman" w:eastAsia="Times New Roman" w:cs="Arial"/>
      <w:sz w:val="22"/>
      <w:szCs w:val="22"/>
      <w:lang w:val="en-US" w:eastAsia="en-US" w:bidi="ar-SA"/>
    </w:rPr>
  </w:style>
  <w:style w:type="paragraph" w:customStyle="1" w:styleId="116">
    <w:name w:val="样式 47 11 磅"/>
    <w:qFormat/>
    <w:uiPriority w:val="0"/>
    <w:pPr>
      <w:widowControl w:val="0"/>
    </w:pPr>
    <w:rPr>
      <w:rFonts w:ascii="Times New Roman" w:hAnsi="Times New Roman" w:eastAsia="Times New Roman" w:cs="Arial"/>
      <w:sz w:val="22"/>
      <w:szCs w:val="22"/>
      <w:lang w:val="en-US" w:eastAsia="en-US" w:bidi="ar-SA"/>
    </w:rPr>
  </w:style>
  <w:style w:type="paragraph" w:customStyle="1" w:styleId="117">
    <w:name w:val="样式 48 11 磅"/>
    <w:qFormat/>
    <w:uiPriority w:val="0"/>
    <w:pPr>
      <w:widowControl w:val="0"/>
    </w:pPr>
    <w:rPr>
      <w:rFonts w:ascii="Times New Roman" w:hAnsi="Times New Roman" w:eastAsia="Times New Roman" w:cs="Arial"/>
      <w:sz w:val="22"/>
      <w:szCs w:val="22"/>
      <w:lang w:val="en-US" w:eastAsia="en-US" w:bidi="ar-SA"/>
    </w:rPr>
  </w:style>
  <w:style w:type="paragraph" w:customStyle="1" w:styleId="118">
    <w:name w:val="样式 49 11 磅"/>
    <w:qFormat/>
    <w:uiPriority w:val="0"/>
    <w:pPr>
      <w:widowControl w:val="0"/>
    </w:pPr>
    <w:rPr>
      <w:rFonts w:ascii="Times New Roman" w:hAnsi="Times New Roman" w:eastAsia="Times New Roman" w:cs="Arial"/>
      <w:sz w:val="22"/>
      <w:szCs w:val="22"/>
      <w:lang w:val="en-US" w:eastAsia="en-US" w:bidi="ar-SA"/>
    </w:rPr>
  </w:style>
  <w:style w:type="paragraph" w:customStyle="1" w:styleId="119">
    <w:name w:val="样式 50 11 磅"/>
    <w:qFormat/>
    <w:uiPriority w:val="0"/>
    <w:pPr>
      <w:widowControl w:val="0"/>
    </w:pPr>
    <w:rPr>
      <w:rFonts w:ascii="Times New Roman" w:hAnsi="Times New Roman" w:eastAsia="Times New Roman" w:cs="Arial"/>
      <w:sz w:val="22"/>
      <w:szCs w:val="22"/>
      <w:lang w:val="en-US" w:eastAsia="en-US" w:bidi="ar-SA"/>
    </w:rPr>
  </w:style>
  <w:style w:type="paragraph" w:customStyle="1" w:styleId="120">
    <w:name w:val="样式 51 11 磅"/>
    <w:qFormat/>
    <w:uiPriority w:val="0"/>
    <w:pPr>
      <w:widowControl w:val="0"/>
    </w:pPr>
    <w:rPr>
      <w:rFonts w:ascii="Times New Roman" w:hAnsi="Times New Roman" w:eastAsia="Times New Roman" w:cs="Arial"/>
      <w:sz w:val="22"/>
      <w:szCs w:val="22"/>
      <w:lang w:val="en-US" w:eastAsia="en-US" w:bidi="ar-SA"/>
    </w:rPr>
  </w:style>
  <w:style w:type="paragraph" w:customStyle="1" w:styleId="121">
    <w:name w:val="样式 52 11 磅"/>
    <w:qFormat/>
    <w:uiPriority w:val="0"/>
    <w:pPr>
      <w:widowControl w:val="0"/>
    </w:pPr>
    <w:rPr>
      <w:rFonts w:ascii="Times New Roman" w:hAnsi="Times New Roman" w:eastAsia="Times New Roman" w:cs="Arial"/>
      <w:sz w:val="22"/>
      <w:szCs w:val="22"/>
      <w:lang w:val="en-US" w:eastAsia="en-US" w:bidi="ar-SA"/>
    </w:rPr>
  </w:style>
  <w:style w:type="paragraph" w:customStyle="1" w:styleId="122">
    <w:name w:val="样式 47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23">
    <w:name w:val="样式 48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24">
    <w:name w:val="样式 49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25">
    <w:name w:val="样式 53 11 磅"/>
    <w:qFormat/>
    <w:uiPriority w:val="0"/>
    <w:pPr>
      <w:widowControl w:val="0"/>
    </w:pPr>
    <w:rPr>
      <w:rFonts w:ascii="Times New Roman" w:hAnsi="Times New Roman" w:eastAsia="Times New Roman" w:cs="Arial"/>
      <w:sz w:val="22"/>
      <w:szCs w:val="22"/>
      <w:lang w:val="en-US" w:eastAsia="en-US" w:bidi="ar-SA"/>
    </w:rPr>
  </w:style>
  <w:style w:type="paragraph" w:customStyle="1" w:styleId="126">
    <w:name w:val="样式 50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27">
    <w:name w:val="样式 54 11 磅"/>
    <w:qFormat/>
    <w:uiPriority w:val="0"/>
    <w:pPr>
      <w:widowControl w:val="0"/>
    </w:pPr>
    <w:rPr>
      <w:rFonts w:ascii="Times New Roman" w:hAnsi="Times New Roman" w:eastAsia="Times New Roman" w:cs="Arial"/>
      <w:sz w:val="22"/>
      <w:szCs w:val="22"/>
      <w:lang w:val="en-US" w:eastAsia="en-US" w:bidi="ar-SA"/>
    </w:rPr>
  </w:style>
  <w:style w:type="paragraph" w:customStyle="1" w:styleId="128">
    <w:name w:val="样式 55 11 磅"/>
    <w:qFormat/>
    <w:uiPriority w:val="0"/>
    <w:pPr>
      <w:widowControl w:val="0"/>
    </w:pPr>
    <w:rPr>
      <w:rFonts w:ascii="Times New Roman" w:hAnsi="Times New Roman" w:eastAsia="Times New Roman" w:cs="Arial"/>
      <w:sz w:val="22"/>
      <w:szCs w:val="22"/>
      <w:lang w:val="en-US" w:eastAsia="en-US" w:bidi="ar-SA"/>
    </w:rPr>
  </w:style>
  <w:style w:type="paragraph" w:customStyle="1" w:styleId="129">
    <w:name w:val="样式 51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30">
    <w:name w:val="样式 56 11 磅"/>
    <w:qFormat/>
    <w:uiPriority w:val="0"/>
    <w:pPr>
      <w:widowControl w:val="0"/>
    </w:pPr>
    <w:rPr>
      <w:rFonts w:ascii="Times New Roman" w:hAnsi="Times New Roman" w:eastAsia="Times New Roman" w:cs="Arial"/>
      <w:sz w:val="22"/>
      <w:szCs w:val="22"/>
      <w:lang w:val="en-US" w:eastAsia="en-US" w:bidi="ar-SA"/>
    </w:rPr>
  </w:style>
  <w:style w:type="paragraph" w:customStyle="1" w:styleId="131">
    <w:name w:val="样式 52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32">
    <w:name w:val="样式 57 11 磅"/>
    <w:qFormat/>
    <w:uiPriority w:val="0"/>
    <w:pPr>
      <w:widowControl w:val="0"/>
    </w:pPr>
    <w:rPr>
      <w:rFonts w:ascii="Times New Roman" w:hAnsi="Times New Roman" w:eastAsia="Times New Roman" w:cs="Arial"/>
      <w:sz w:val="22"/>
      <w:szCs w:val="22"/>
      <w:lang w:val="en-US" w:eastAsia="en-US" w:bidi="ar-SA"/>
    </w:rPr>
  </w:style>
  <w:style w:type="paragraph" w:customStyle="1" w:styleId="133">
    <w:name w:val="样式 53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34">
    <w:name w:val="样式 58 11 磅"/>
    <w:qFormat/>
    <w:uiPriority w:val="0"/>
    <w:pPr>
      <w:widowControl w:val="0"/>
    </w:pPr>
    <w:rPr>
      <w:rFonts w:ascii="Times New Roman" w:hAnsi="Times New Roman" w:eastAsia="Times New Roman" w:cs="Arial"/>
      <w:sz w:val="22"/>
      <w:szCs w:val="22"/>
      <w:lang w:val="en-US" w:eastAsia="en-US" w:bidi="ar-SA"/>
    </w:rPr>
  </w:style>
  <w:style w:type="paragraph" w:customStyle="1" w:styleId="135">
    <w:name w:val="样式 54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36">
    <w:name w:val="样式 55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37">
    <w:name w:val="样式 2 三号"/>
    <w:next w:val="7"/>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customStyle="1" w:styleId="138">
    <w:name w:val="样式 56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39">
    <w:name w:val="样式 57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40">
    <w:name w:val="样式 58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41">
    <w:name w:val="样式 59 11 磅"/>
    <w:qFormat/>
    <w:uiPriority w:val="0"/>
    <w:pPr>
      <w:widowControl w:val="0"/>
    </w:pPr>
    <w:rPr>
      <w:rFonts w:ascii="Times New Roman" w:hAnsi="Times New Roman" w:eastAsia="Times New Roman" w:cs="Arial"/>
      <w:sz w:val="22"/>
      <w:szCs w:val="22"/>
      <w:lang w:val="en-US" w:eastAsia="en-US" w:bidi="ar-SA"/>
    </w:rPr>
  </w:style>
  <w:style w:type="paragraph" w:customStyle="1" w:styleId="142">
    <w:name w:val="样式 59 小三"/>
    <w:qFormat/>
    <w:uiPriority w:val="0"/>
    <w:pPr>
      <w:widowControl w:val="0"/>
      <w:ind w:left="2068"/>
      <w:outlineLvl w:val="3"/>
    </w:pPr>
    <w:rPr>
      <w:rFonts w:ascii="方正仿宋_GBK" w:hAnsi="Times New Roman" w:eastAsia="方正仿宋_GBK" w:cs="Arial"/>
      <w:b/>
      <w:bCs/>
      <w:sz w:val="31"/>
      <w:szCs w:val="31"/>
      <w:lang w:val="en-US" w:eastAsia="en-US" w:bidi="ar-SA"/>
    </w:rPr>
  </w:style>
  <w:style w:type="paragraph" w:customStyle="1" w:styleId="143">
    <w:name w:val="样式 60 11 磅"/>
    <w:qFormat/>
    <w:uiPriority w:val="0"/>
    <w:pPr>
      <w:widowControl w:val="0"/>
    </w:pPr>
    <w:rPr>
      <w:rFonts w:ascii="Times New Roman" w:hAnsi="Times New Roman" w:eastAsia="Times New Roman" w:cs="Arial"/>
      <w:sz w:val="22"/>
      <w:szCs w:val="22"/>
      <w:lang w:val="en-US" w:eastAsia="en-US" w:bidi="ar-SA"/>
    </w:rPr>
  </w:style>
  <w:style w:type="paragraph" w:customStyle="1" w:styleId="144">
    <w:name w:val="样式 61 11 磅"/>
    <w:qFormat/>
    <w:uiPriority w:val="0"/>
    <w:pPr>
      <w:widowControl w:val="0"/>
    </w:pPr>
    <w:rPr>
      <w:rFonts w:ascii="Times New Roman" w:hAnsi="Times New Roman" w:eastAsia="Times New Roman" w:cs="Arial"/>
      <w:sz w:val="22"/>
      <w:szCs w:val="22"/>
      <w:lang w:val="en-US" w:eastAsia="en-US" w:bidi="ar-SA"/>
    </w:rPr>
  </w:style>
  <w:style w:type="paragraph" w:customStyle="1" w:styleId="145">
    <w:name w:val="样式 60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46">
    <w:name w:val="样式 62 11 磅"/>
    <w:qFormat/>
    <w:uiPriority w:val="0"/>
    <w:pPr>
      <w:widowControl w:val="0"/>
    </w:pPr>
    <w:rPr>
      <w:rFonts w:ascii="Times New Roman" w:hAnsi="Times New Roman" w:eastAsia="Times New Roman" w:cs="Arial"/>
      <w:sz w:val="22"/>
      <w:szCs w:val="22"/>
      <w:lang w:val="en-US" w:eastAsia="en-US" w:bidi="ar-SA"/>
    </w:rPr>
  </w:style>
  <w:style w:type="paragraph" w:customStyle="1" w:styleId="147">
    <w:name w:val="样式 63 11 磅"/>
    <w:qFormat/>
    <w:uiPriority w:val="0"/>
    <w:pPr>
      <w:widowControl w:val="0"/>
    </w:pPr>
    <w:rPr>
      <w:rFonts w:ascii="Times New Roman" w:hAnsi="Times New Roman" w:eastAsia="Times New Roman" w:cs="Arial"/>
      <w:sz w:val="22"/>
      <w:szCs w:val="22"/>
      <w:lang w:val="en-US" w:eastAsia="en-US" w:bidi="ar-SA"/>
    </w:rPr>
  </w:style>
  <w:style w:type="paragraph" w:customStyle="1" w:styleId="148">
    <w:name w:val="样式 64 11 磅"/>
    <w:qFormat/>
    <w:uiPriority w:val="0"/>
    <w:pPr>
      <w:widowControl w:val="0"/>
    </w:pPr>
    <w:rPr>
      <w:rFonts w:ascii="Times New Roman" w:hAnsi="Times New Roman" w:eastAsia="Times New Roman" w:cs="Arial"/>
      <w:sz w:val="22"/>
      <w:szCs w:val="22"/>
      <w:lang w:val="en-US" w:eastAsia="en-US" w:bidi="ar-SA"/>
    </w:rPr>
  </w:style>
  <w:style w:type="paragraph" w:customStyle="1" w:styleId="149">
    <w:name w:val="样式 65 11 磅"/>
    <w:qFormat/>
    <w:uiPriority w:val="0"/>
    <w:pPr>
      <w:widowControl w:val="0"/>
    </w:pPr>
    <w:rPr>
      <w:rFonts w:ascii="Times New Roman" w:hAnsi="Times New Roman" w:eastAsia="Times New Roman" w:cs="Arial"/>
      <w:sz w:val="22"/>
      <w:szCs w:val="22"/>
      <w:lang w:val="en-US" w:eastAsia="en-US" w:bidi="ar-SA"/>
    </w:rPr>
  </w:style>
  <w:style w:type="paragraph" w:customStyle="1" w:styleId="150">
    <w:name w:val="样式 66 11 磅"/>
    <w:qFormat/>
    <w:uiPriority w:val="0"/>
    <w:pPr>
      <w:widowControl w:val="0"/>
    </w:pPr>
    <w:rPr>
      <w:rFonts w:ascii="Times New Roman" w:hAnsi="Times New Roman" w:eastAsia="Times New Roman" w:cs="Arial"/>
      <w:sz w:val="22"/>
      <w:szCs w:val="22"/>
      <w:lang w:val="en-US" w:eastAsia="en-US" w:bidi="ar-SA"/>
    </w:rPr>
  </w:style>
  <w:style w:type="paragraph" w:customStyle="1" w:styleId="151">
    <w:name w:val="样式 67 11 磅"/>
    <w:qFormat/>
    <w:uiPriority w:val="0"/>
    <w:pPr>
      <w:widowControl w:val="0"/>
    </w:pPr>
    <w:rPr>
      <w:rFonts w:ascii="Times New Roman" w:hAnsi="Times New Roman" w:eastAsia="Times New Roman" w:cs="Arial"/>
      <w:sz w:val="22"/>
      <w:szCs w:val="22"/>
      <w:lang w:val="en-US" w:eastAsia="en-US" w:bidi="ar-SA"/>
    </w:rPr>
  </w:style>
  <w:style w:type="paragraph" w:customStyle="1" w:styleId="152">
    <w:name w:val="样式 61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53">
    <w:name w:val="样式 68 11 磅"/>
    <w:qFormat/>
    <w:uiPriority w:val="0"/>
    <w:pPr>
      <w:widowControl w:val="0"/>
    </w:pPr>
    <w:rPr>
      <w:rFonts w:ascii="Times New Roman" w:hAnsi="Times New Roman" w:eastAsia="Times New Roman" w:cs="Arial"/>
      <w:sz w:val="22"/>
      <w:szCs w:val="22"/>
      <w:lang w:val="en-US" w:eastAsia="en-US" w:bidi="ar-SA"/>
    </w:rPr>
  </w:style>
  <w:style w:type="paragraph" w:customStyle="1" w:styleId="154">
    <w:name w:val="样式 69 11 磅"/>
    <w:qFormat/>
    <w:uiPriority w:val="0"/>
    <w:pPr>
      <w:widowControl w:val="0"/>
    </w:pPr>
    <w:rPr>
      <w:rFonts w:ascii="Times New Roman" w:hAnsi="Times New Roman" w:eastAsia="Times New Roman" w:cs="Arial"/>
      <w:sz w:val="22"/>
      <w:szCs w:val="22"/>
      <w:lang w:val="en-US" w:eastAsia="en-US" w:bidi="ar-SA"/>
    </w:rPr>
  </w:style>
  <w:style w:type="paragraph" w:customStyle="1" w:styleId="155">
    <w:name w:val="样式 70 11 磅"/>
    <w:qFormat/>
    <w:uiPriority w:val="0"/>
    <w:pPr>
      <w:widowControl w:val="0"/>
    </w:pPr>
    <w:rPr>
      <w:rFonts w:ascii="Times New Roman" w:hAnsi="Times New Roman" w:eastAsia="Times New Roman" w:cs="Arial"/>
      <w:sz w:val="22"/>
      <w:szCs w:val="22"/>
      <w:lang w:val="en-US" w:eastAsia="en-US" w:bidi="ar-SA"/>
    </w:rPr>
  </w:style>
  <w:style w:type="paragraph" w:customStyle="1" w:styleId="156">
    <w:name w:val="样式 71 11 磅"/>
    <w:qFormat/>
    <w:uiPriority w:val="0"/>
    <w:pPr>
      <w:widowControl w:val="0"/>
    </w:pPr>
    <w:rPr>
      <w:rFonts w:ascii="Times New Roman" w:hAnsi="Times New Roman" w:eastAsia="Times New Roman" w:cs="Arial"/>
      <w:sz w:val="22"/>
      <w:szCs w:val="22"/>
      <w:lang w:val="en-US" w:eastAsia="en-US" w:bidi="ar-SA"/>
    </w:rPr>
  </w:style>
  <w:style w:type="paragraph" w:customStyle="1" w:styleId="157">
    <w:name w:val="WPSOffice手动目录 1"/>
    <w:qFormat/>
    <w:uiPriority w:val="0"/>
    <w:rPr>
      <w:rFonts w:ascii="Times New Roman" w:hAnsi="Times New Roman" w:eastAsia="宋体" w:cs="Times New Roman"/>
      <w:lang w:val="en-US" w:eastAsia="zh-CN" w:bidi="ar-SA"/>
    </w:rPr>
  </w:style>
  <w:style w:type="paragraph" w:customStyle="1" w:styleId="158">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59">
    <w:name w:val="font01"/>
    <w:basedOn w:val="11"/>
    <w:qFormat/>
    <w:uiPriority w:val="0"/>
    <w:rPr>
      <w:rFonts w:ascii="宋体" w:eastAsia="宋体" w:cs="宋体"/>
      <w:color w:val="000000"/>
      <w:sz w:val="22"/>
      <w:szCs w:val="22"/>
      <w:u w:val="none"/>
    </w:rPr>
  </w:style>
  <w:style w:type="paragraph" w:customStyle="1" w:styleId="160">
    <w:name w:val="样式 72 11 磅"/>
    <w:qFormat/>
    <w:uiPriority w:val="0"/>
    <w:pPr>
      <w:widowControl w:val="0"/>
    </w:pPr>
    <w:rPr>
      <w:rFonts w:ascii="Times New Roman" w:hAnsi="Times New Roman" w:eastAsia="Times New Roman" w:cs="Arial"/>
      <w:sz w:val="22"/>
      <w:szCs w:val="22"/>
      <w:lang w:val="en-US" w:eastAsia="en-US" w:bidi="ar-SA"/>
    </w:rPr>
  </w:style>
  <w:style w:type="paragraph" w:customStyle="1" w:styleId="161">
    <w:name w:val="样式 小四"/>
    <w:qFormat/>
    <w:uiPriority w:val="0"/>
    <w:pPr>
      <w:widowControl w:val="0"/>
    </w:pPr>
    <w:rPr>
      <w:rFonts w:ascii="宋体" w:hAnsi="Times New Roman" w:eastAsia="宋体" w:cs="Times New Roman"/>
      <w:kern w:val="2"/>
      <w:sz w:val="24"/>
      <w:szCs w:val="21"/>
      <w:lang w:val="en-US" w:eastAsia="zh-CN" w:bidi="ar-SA"/>
    </w:rPr>
  </w:style>
  <w:style w:type="paragraph" w:customStyle="1" w:styleId="162">
    <w:name w:val="样式 1 小四"/>
    <w:qFormat/>
    <w:uiPriority w:val="0"/>
    <w:pPr>
      <w:widowControl w:val="0"/>
    </w:pPr>
    <w:rPr>
      <w:rFonts w:ascii="宋体" w:hAnsi="Times New Roman" w:eastAsia="宋体" w:cs="Times New Roman"/>
      <w:kern w:val="2"/>
      <w:sz w:val="24"/>
      <w:szCs w:val="21"/>
      <w:lang w:val="en-US" w:eastAsia="zh-CN" w:bidi="ar-SA"/>
    </w:rPr>
  </w:style>
  <w:style w:type="paragraph" w:customStyle="1" w:styleId="163">
    <w:name w:val="样式 2 小四"/>
    <w:qFormat/>
    <w:uiPriority w:val="0"/>
    <w:pPr>
      <w:widowControl w:val="0"/>
    </w:pPr>
    <w:rPr>
      <w:rFonts w:ascii="宋体" w:hAnsi="Times New Roman" w:eastAsia="宋体" w:cs="Times New Roman"/>
      <w:kern w:val="2"/>
      <w:sz w:val="24"/>
      <w:szCs w:val="21"/>
      <w:lang w:val="en-US" w:eastAsia="zh-CN" w:bidi="ar-SA"/>
    </w:rPr>
  </w:style>
  <w:style w:type="paragraph" w:customStyle="1" w:styleId="164">
    <w:name w:val="样式 3 小四"/>
    <w:qFormat/>
    <w:uiPriority w:val="0"/>
    <w:pPr>
      <w:widowControl w:val="0"/>
    </w:pPr>
    <w:rPr>
      <w:rFonts w:ascii="宋体" w:hAnsi="Times New Roman" w:eastAsia="宋体" w:cs="Times New Roman"/>
      <w:kern w:val="2"/>
      <w:sz w:val="24"/>
      <w:szCs w:val="21"/>
      <w:lang w:val="en-US" w:eastAsia="zh-CN" w:bidi="ar-SA"/>
    </w:rPr>
  </w:style>
  <w:style w:type="paragraph" w:customStyle="1" w:styleId="165">
    <w:name w:val="样式 1 10 磅"/>
    <w:qFormat/>
    <w:uiPriority w:val="0"/>
    <w:pPr>
      <w:widowControl w:val="0"/>
      <w:jc w:val="both"/>
    </w:pPr>
    <w:rPr>
      <w:rFonts w:ascii="Calibri" w:hAnsi="Calibri" w:eastAsia="宋体" w:cs="Arial"/>
      <w:kern w:val="2"/>
      <w:sz w:val="21"/>
      <w:szCs w:val="22"/>
      <w:lang w:val="en-US" w:eastAsia="zh-CN" w:bidi="ar-SA"/>
    </w:rPr>
  </w:style>
  <w:style w:type="paragraph" w:customStyle="1" w:styleId="166">
    <w:name w:val="样式 2 10 磅"/>
    <w:qFormat/>
    <w:uiPriority w:val="0"/>
    <w:pPr>
      <w:widowControl w:val="0"/>
      <w:jc w:val="both"/>
    </w:pPr>
    <w:rPr>
      <w:rFonts w:ascii="Calibri" w:hAnsi="Calibri" w:eastAsia="宋体" w:cs="Arial"/>
      <w:kern w:val="2"/>
      <w:sz w:val="21"/>
      <w:szCs w:val="22"/>
      <w:lang w:val="en-US" w:eastAsia="zh-CN" w:bidi="ar-SA"/>
    </w:rPr>
  </w:style>
  <w:style w:type="paragraph" w:customStyle="1" w:styleId="167">
    <w:name w:val="样式 62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68">
    <w:name w:val="样式 63 小三"/>
    <w:qFormat/>
    <w:uiPriority w:val="0"/>
    <w:pPr>
      <w:widowControl w:val="0"/>
      <w:ind w:left="1296"/>
    </w:pPr>
    <w:rPr>
      <w:rFonts w:ascii="方正仿宋_GBK" w:hAnsi="Times New Roman" w:eastAsia="方正仿宋_GBK" w:cs="Arial"/>
      <w:sz w:val="31"/>
      <w:szCs w:val="31"/>
      <w:lang w:val="en-US" w:eastAsia="en-US" w:bidi="ar-SA"/>
    </w:rPr>
  </w:style>
  <w:style w:type="paragraph" w:customStyle="1" w:styleId="169">
    <w:name w:val="样式 20 三号"/>
    <w:qFormat/>
    <w:uiPriority w:val="0"/>
    <w:pPr>
      <w:widowControl w:val="0"/>
      <w:spacing w:before="146"/>
      <w:ind w:left="120"/>
    </w:pPr>
    <w:rPr>
      <w:rFonts w:ascii="宋体" w:hAnsi="Times New Roman" w:eastAsia="宋体" w:cs="Arial"/>
      <w:sz w:val="32"/>
      <w:szCs w:val="32"/>
      <w:lang w:val="en-US" w:eastAsia="zh-CN" w:bidi="ar-SA"/>
    </w:rPr>
  </w:style>
  <w:style w:type="paragraph" w:customStyle="1" w:styleId="170">
    <w:name w:val="样式 21 三号"/>
    <w:qFormat/>
    <w:uiPriority w:val="0"/>
    <w:pPr>
      <w:widowControl w:val="0"/>
      <w:spacing w:before="146"/>
      <w:ind w:left="120"/>
    </w:pPr>
    <w:rPr>
      <w:rFonts w:ascii="宋体" w:hAnsi="Times New Roman" w:eastAsia="宋体" w:cs="Arial"/>
      <w:sz w:val="32"/>
      <w:szCs w:val="32"/>
      <w:lang w:val="en-US" w:eastAsia="zh-CN" w:bidi="ar-SA"/>
    </w:rPr>
  </w:style>
  <w:style w:type="character" w:customStyle="1" w:styleId="171">
    <w:name w:val="im-content1"/>
    <w:basedOn w:val="11"/>
    <w:qFormat/>
    <w:uiPriority w:val="0"/>
    <w:rPr>
      <w:color w:val="000000"/>
    </w:rPr>
  </w:style>
  <w:style w:type="paragraph" w:styleId="172">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6.png"/><Relationship Id="rId40" Type="http://schemas.openxmlformats.org/officeDocument/2006/relationships/image" Target="media/image15.png"/><Relationship Id="rId4" Type="http://schemas.openxmlformats.org/officeDocument/2006/relationships/header" Target="header2.xml"/><Relationship Id="rId39" Type="http://schemas.openxmlformats.org/officeDocument/2006/relationships/image" Target="media/image14.png"/><Relationship Id="rId38" Type="http://schemas.openxmlformats.org/officeDocument/2006/relationships/image" Target="media/image13.png"/><Relationship Id="rId37" Type="http://schemas.openxmlformats.org/officeDocument/2006/relationships/image" Target="media/image12.png"/><Relationship Id="rId36" Type="http://schemas.openxmlformats.org/officeDocument/2006/relationships/image" Target="media/image11.png"/><Relationship Id="rId35" Type="http://schemas.openxmlformats.org/officeDocument/2006/relationships/image" Target="media/image10.png"/><Relationship Id="rId34" Type="http://schemas.openxmlformats.org/officeDocument/2006/relationships/chart" Target="charts/chart6.xml"/><Relationship Id="rId33" Type="http://schemas.openxmlformats.org/officeDocument/2006/relationships/chart" Target="charts/chart5.xml"/><Relationship Id="rId32" Type="http://schemas.openxmlformats.org/officeDocument/2006/relationships/chart" Target="charts/chart4.xml"/><Relationship Id="rId31" Type="http://schemas.openxmlformats.org/officeDocument/2006/relationships/chart" Target="charts/chart3.xml"/><Relationship Id="rId30" Type="http://schemas.openxmlformats.org/officeDocument/2006/relationships/chart" Target="charts/chart2.xml"/><Relationship Id="rId3" Type="http://schemas.openxmlformats.org/officeDocument/2006/relationships/header" Target="header1.xml"/><Relationship Id="rId29" Type="http://schemas.openxmlformats.org/officeDocument/2006/relationships/chart" Target="charts/chart1.xml"/><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png"/><Relationship Id="rId25" Type="http://schemas.openxmlformats.org/officeDocument/2006/relationships/image" Target="media/image6.pn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2024年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numRef>
              <c:f>Sheet1!$A$2</c:f>
              <c:numCache>
                <c:formatCode>General</c:formatCode>
                <c:ptCount val="1"/>
              </c:numCache>
            </c:numRef>
          </c:cat>
          <c:val>
            <c:numRef>
              <c:f>Sheet1!$B$2</c:f>
              <c:numCache>
                <c:formatCode>General</c:formatCode>
                <c:ptCount val="1"/>
                <c:pt idx="0">
                  <c:v>3849.26</c:v>
                </c:pt>
              </c:numCache>
            </c:numRef>
          </c:val>
        </c:ser>
        <c:ser>
          <c:idx val="1"/>
          <c:order val="1"/>
          <c:tx>
            <c:strRef>
              <c:f>Sheet1!$C$1</c:f>
              <c:strCache>
                <c:ptCount val="1"/>
                <c:pt idx="0">
                  <c:v>2025年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numRef>
              <c:f>Sheet1!$A$2</c:f>
              <c:numCache>
                <c:formatCode>General</c:formatCode>
                <c:ptCount val="1"/>
              </c:numCache>
            </c:numRef>
          </c:cat>
          <c:val>
            <c:numRef>
              <c:f>Sheet1!$C$2</c:f>
              <c:numCache>
                <c:formatCode>General</c:formatCode>
                <c:ptCount val="1"/>
                <c:pt idx="0">
                  <c:v>3826.2</c:v>
                </c:pt>
              </c:numCache>
            </c:numRef>
          </c:val>
        </c:ser>
        <c:dLbls>
          <c:showLegendKey val="0"/>
          <c:showVal val="1"/>
          <c:showCatName val="0"/>
          <c:showSerName val="0"/>
          <c:showPercent val="0"/>
          <c:showBubbleSize val="0"/>
        </c:dLbls>
        <c:gapWidth val="260"/>
        <c:overlap val="-32"/>
        <c:axId val="130568192"/>
        <c:axId val="130570880"/>
      </c:barChart>
      <c:catAx>
        <c:axId val="130568192"/>
        <c:scaling>
          <c:orientation val="minMax"/>
        </c:scaling>
        <c:delete val="0"/>
        <c:axPos val="b"/>
        <c:majorGridlines>
          <c:spPr>
            <a:ln w="9525" cap="flat" cmpd="sng" algn="ctr">
              <a:solidFill>
                <a:schemeClr val="lt1">
                  <a:lumMod val="90200"/>
                </a:schemeClr>
              </a:solidFill>
              <a:prstDash val="solid"/>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0570880"/>
        <c:crosses val="autoZero"/>
        <c:auto val="1"/>
        <c:lblAlgn val="ctr"/>
        <c:lblOffset val="100"/>
        <c:noMultiLvlLbl val="0"/>
      </c:catAx>
      <c:valAx>
        <c:axId val="130570880"/>
        <c:scaling>
          <c:orientation val="minMax"/>
          <c:max val="5000"/>
          <c:min val="0"/>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0568192"/>
        <c:crosses val="autoZero"/>
        <c:crossBetween val="between"/>
        <c:majorUnit val="500"/>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
                </c:pt>
              </c:strCache>
            </c:strRef>
          </c:tx>
          <c:explosion val="0"/>
          <c:dPt>
            <c:idx val="0"/>
            <c:bubble3D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dPt>
          <c:dPt>
            <c:idx val="1"/>
            <c:bubble3D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Sheet1!$A$2:$A$3</c:f>
              <c:strCache>
                <c:ptCount val="2"/>
                <c:pt idx="0">
                  <c:v>财政拨款收入</c:v>
                </c:pt>
                <c:pt idx="1">
                  <c:v>其他收入</c:v>
                </c:pt>
              </c:strCache>
            </c:strRef>
          </c:cat>
          <c:val>
            <c:numRef>
              <c:f>Sheet1!$B$2:$B$3</c:f>
              <c:numCache>
                <c:formatCode>#,##0.00</c:formatCode>
                <c:ptCount val="2"/>
                <c:pt idx="0">
                  <c:v>1358.5</c:v>
                </c:pt>
                <c:pt idx="1" c:formatCode="General">
                  <c:v>1478.41</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zero"/>
    <c:showDLblsOverMax val="0"/>
  </c:chart>
  <c:spPr>
    <a:solidFill>
      <a:schemeClr val="lt1">
        <a:lumMod val="9600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
                </c:pt>
              </c:strCache>
            </c:strRef>
          </c:tx>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Lbls>
            <c:delete val="1"/>
          </c:dLbls>
          <c:cat>
            <c:strRef>
              <c:f>Sheet1!$A$2:$A$3</c:f>
              <c:strCache>
                <c:ptCount val="2"/>
                <c:pt idx="0">
                  <c:v>基本支出</c:v>
                </c:pt>
                <c:pt idx="1">
                  <c:v>项目支出</c:v>
                </c:pt>
              </c:strCache>
            </c:strRef>
          </c:cat>
          <c:val>
            <c:numRef>
              <c:f>Sheet1!$B$2:$B$3</c:f>
              <c:numCache>
                <c:formatCode>General</c:formatCode>
                <c:ptCount val="2"/>
                <c:pt idx="0">
                  <c:v>2775.05</c:v>
                </c:pt>
                <c:pt idx="1">
                  <c:v>375.95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elete val="1"/>
          </c:dLbls>
          <c:cat>
            <c:numRef>
              <c:f>Sheet1!$A$2</c:f>
              <c:numCache>
                <c:formatCode>General</c:formatCode>
                <c:ptCount val="1"/>
              </c:numCache>
            </c:numRef>
          </c:cat>
          <c:val>
            <c:numRef>
              <c:f>Sheet1!$B$2</c:f>
              <c:numCache>
                <c:formatCode>General</c:formatCode>
                <c:ptCount val="1"/>
                <c:pt idx="0">
                  <c:v>1361.71</c:v>
                </c:pt>
              </c:numCache>
            </c:numRef>
          </c:val>
        </c:ser>
        <c:ser>
          <c:idx val="1"/>
          <c:order val="1"/>
          <c:tx>
            <c:strRef>
              <c:f>Sheet1!$C$1</c:f>
              <c:strCache>
                <c:ptCount val="1"/>
                <c:pt idx="0">
                  <c:v>2025年</c:v>
                </c:pt>
              </c:strCache>
            </c:strRef>
          </c:tx>
          <c:spPr>
            <a:solidFill>
              <a:schemeClr val="accent2"/>
            </a:solidFill>
            <a:ln>
              <a:noFill/>
            </a:ln>
            <a:effectLst/>
          </c:spPr>
          <c:invertIfNegative val="0"/>
          <c:dLbls>
            <c:delete val="1"/>
          </c:dLbls>
          <c:cat>
            <c:numRef>
              <c:f>Sheet1!$A$2</c:f>
              <c:numCache>
                <c:formatCode>General</c:formatCode>
                <c:ptCount val="1"/>
              </c:numCache>
            </c:numRef>
          </c:cat>
          <c:val>
            <c:numRef>
              <c:f>Sheet1!$C$2</c:f>
              <c:numCache>
                <c:formatCode>General</c:formatCode>
                <c:ptCount val="1"/>
                <c:pt idx="0">
                  <c:v>1519.06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74664192"/>
        <c:axId val="74670080"/>
      </c:barChart>
      <c:catAx>
        <c:axId val="7466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670080"/>
        <c:crosses val="autoZero"/>
        <c:auto val="1"/>
        <c:lblAlgn val="ctr"/>
        <c:lblOffset val="100"/>
        <c:noMultiLvlLbl val="0"/>
      </c:catAx>
      <c:valAx>
        <c:axId val="74670080"/>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66419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2024年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numRef>
              <c:f>Sheet1!$A$2</c:f>
              <c:numCache>
                <c:formatCode>General</c:formatCode>
                <c:ptCount val="1"/>
              </c:numCache>
            </c:numRef>
          </c:cat>
          <c:val>
            <c:numRef>
              <c:f>Sheet1!$B$2</c:f>
              <c:numCache>
                <c:formatCode>#,##0.00</c:formatCode>
                <c:ptCount val="1"/>
                <c:pt idx="0">
                  <c:v>1263.5</c:v>
                </c:pt>
              </c:numCache>
            </c:numRef>
          </c:val>
        </c:ser>
        <c:ser>
          <c:idx val="1"/>
          <c:order val="1"/>
          <c:tx>
            <c:strRef>
              <c:f>Sheet1!$C$1</c:f>
              <c:strCache>
                <c:ptCount val="1"/>
                <c:pt idx="0">
                  <c:v>2025年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delete val="1"/>
          </c:dLbls>
          <c:cat>
            <c:numRef>
              <c:f>Sheet1!$A$2</c:f>
              <c:numCache>
                <c:formatCode>General</c:formatCode>
                <c:ptCount val="1"/>
              </c:numCache>
            </c:numRef>
          </c:cat>
          <c:val>
            <c:numRef>
              <c:f>Sheet1!$C$2</c:f>
              <c:numCache>
                <c:formatCode>#,##0.00</c:formatCode>
                <c:ptCount val="1"/>
                <c:pt idx="0">
                  <c:v>1527.27</c:v>
                </c:pt>
              </c:numCache>
            </c:numRef>
          </c:val>
        </c:ser>
        <c:dLbls>
          <c:showLegendKey val="0"/>
          <c:showVal val="0"/>
          <c:showCatName val="0"/>
          <c:showSerName val="0"/>
          <c:showPercent val="0"/>
          <c:showBubbleSize val="0"/>
        </c:dLbls>
        <c:gapWidth val="246"/>
        <c:overlap val="-28"/>
        <c:axId val="74703232"/>
        <c:axId val="74704768"/>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invertIfNegative val="0"/>
                <c:dLbls>
                  <c:delete val="1"/>
                </c:dLbls>
                <c:cat>
                  <c:numRef>
                    <c:extLst>
                      <c:ext uri="{02D57815-91ED-43cb-92C2-25804820EDAC}">
                        <c15:fullRef>
                          <c15:sqref/>
                        </c15:fullRef>
                        <c15:formulaRef>
                          <c15:sqref>Sheet1!$A$2</c15:sqref>
                        </c15:formulaRef>
                      </c:ext>
                    </c:extLst>
                    <c:numCache>
                      <c:formatCode>General</c:formatCode>
                      <c:ptCount val="1"/>
                    </c:numCache>
                  </c:num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74703232"/>
        <c:scaling>
          <c:orientation val="minMax"/>
        </c:scaling>
        <c:delete val="0"/>
        <c:axPos val="b"/>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704768"/>
        <c:crosses val="autoZero"/>
        <c:auto val="1"/>
        <c:lblAlgn val="ctr"/>
        <c:lblOffset val="100"/>
        <c:noMultiLvlLbl val="0"/>
      </c:catAx>
      <c:valAx>
        <c:axId val="74704768"/>
        <c:scaling>
          <c:orientation val="minMax"/>
          <c:max val="2000"/>
        </c:scaling>
        <c:delete val="0"/>
        <c:axPos val="l"/>
        <c:majorGridlines>
          <c:spPr>
            <a:ln w="9525" cap="flat" cmpd="sng" algn="ctr">
              <a:solidFill>
                <a:schemeClr val="lt1">
                  <a:lumMod val="90200"/>
                </a:schemeClr>
              </a:solidFill>
              <a:prstDash val="solid"/>
              <a:round/>
            </a:ln>
            <a:effectLst/>
          </c:spPr>
        </c:majorGridlines>
        <c:numFmt formatCode="#,##0.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7032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General</c:formatCode>
                <c:ptCount val="5"/>
                <c:pt idx="0">
                  <c:v>1160.56</c:v>
                </c:pt>
                <c:pt idx="1">
                  <c:v>36.2</c:v>
                </c:pt>
                <c:pt idx="2" c:formatCode="#,##0.00_ ">
                  <c:v>125.12</c:v>
                </c:pt>
                <c:pt idx="3" c:formatCode="#,##0.00_ ">
                  <c:v>82.41</c:v>
                </c:pt>
                <c:pt idx="4" c:formatCode="#,##0.00_ ">
                  <c:v>122.98</c:v>
                </c:pt>
              </c:numCache>
            </c:numRef>
          </c:val>
        </c:ser>
        <c:dLbls>
          <c:showLegendKey val="0"/>
          <c:showVal val="0"/>
          <c:showCatName val="1"/>
          <c:showSerName val="0"/>
          <c:showPercent val="0"/>
          <c:showBubbleSize val="0"/>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42</Pages>
  <Words>1492</Words>
  <Characters>8510</Characters>
  <Lines>70</Lines>
  <Paragraphs>19</Paragraphs>
  <TotalTime>150</TotalTime>
  <ScaleCrop>false</ScaleCrop>
  <LinksUpToDate>false</LinksUpToDate>
  <CharactersWithSpaces>9983</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2024-08-15T00:24:00Z</dcterms:created>
  <dc:creator>xiaogang</dc:creator>
  <cp:lastModifiedBy>admin</cp:lastModifiedBy>
  <cp:lastPrinted>2022-08-18T19:03:00Z</cp:lastPrinted>
  <dcterms:modified xsi:type="dcterms:W3CDTF">2026-08-13T18:44:12Z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2022-07-19T16:00:00Z</vt:filetime>
  </property>
  <property fmtid="{D5CDD505-2E9C-101B-9397-08002B2CF9AE}" pid="3" name="Creator">
    <vt:lpwstr>无锡永中软件有限公司</vt:lpwstr>
  </property>
  <property fmtid="{D5CDD505-2E9C-101B-9397-08002B2CF9AE}" pid="4" name="LastSaved">
    <vt:filetime>2022-07-27T16:00:00Z</vt:filetime>
  </property>
  <property fmtid="{D5CDD505-2E9C-101B-9397-08002B2CF9AE}" pid="5" name="KSOProductBuildVer">
    <vt:lpwstr>2052-12.1.0.17900</vt:lpwstr>
  </property>
  <property fmtid="{D5CDD505-2E9C-101B-9397-08002B2CF9AE}" pid="6" name="ICV">
    <vt:lpwstr>FA34B410758074C08F6AAD68F33B0473_43</vt:lpwstr>
  </property>
</Properties>
</file>