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tabs>
          <w:tab w:val="left" w:pos="4073"/>
        </w:tabs>
        <w:spacing w:line="3200" w:lineRule="exact"/>
        <w:jc w:val="both"/>
        <w:rPr>
          <w:rFonts w:ascii="隶书" w:eastAsia="隶书" w:cs="隶书"/>
          <w:color w:val="00007F"/>
          <w:sz w:val="96"/>
          <w:szCs w:val="96"/>
        </w:rPr>
      </w:pPr>
    </w:p>
    <w:p>
      <w:pPr>
        <w:tabs>
          <w:tab w:val="left" w:pos="4073"/>
        </w:tabs>
        <w:spacing w:line="3200" w:lineRule="exact"/>
        <w:jc w:val="center"/>
        <w:rPr>
          <w:rFonts w:ascii="隶书" w:eastAsia="隶书" w:cs="隶书"/>
          <w:color w:val="00007F"/>
          <w:sz w:val="96"/>
          <w:szCs w:val="96"/>
          <w:lang w:eastAsia="zh-CN"/>
        </w:rPr>
      </w:pPr>
      <w:r>
        <w:rPr>
          <w:rFonts w:ascii="隶书" w:eastAsia="隶书" w:cs="隶书"/>
          <w:color w:val="00007F"/>
          <w:sz w:val="96"/>
          <w:szCs w:val="96"/>
          <w:lang w:eastAsia="zh-CN"/>
        </w:rPr>
        <w:t>2025</w:t>
      </w:r>
      <w:r>
        <w:rPr>
          <w:rFonts w:ascii="隶书" w:eastAsia="隶书" w:cs="隶书" w:hint="eastAsia"/>
          <w:color w:val="00007F"/>
          <w:sz w:val="96"/>
          <w:szCs w:val="96"/>
          <w:lang w:eastAsia="zh-CN"/>
        </w:rPr>
        <w:t>年度</w:t>
      </w:r>
    </w:p>
    <w:p>
      <w:pPr>
        <w:tabs>
          <w:tab w:val="left" w:pos="4073"/>
        </w:tabs>
        <w:spacing w:line="1600" w:lineRule="exact"/>
        <w:jc w:val="center"/>
        <w:rPr>
          <w:rFonts w:ascii="隶书" w:eastAsia="隶书" w:cs="隶书"/>
          <w:color w:val="00007F"/>
          <w:sz w:val="70"/>
          <w:szCs w:val="70"/>
          <w:lang w:eastAsia="zh-CN"/>
        </w:rPr>
      </w:pPr>
      <w:r>
        <w:rPr>
          <w:rFonts w:ascii="隶书" w:eastAsia="隶书" w:cs="隶书" w:hint="eastAsia"/>
          <w:color w:val="00007F"/>
          <w:sz w:val="70"/>
          <w:szCs w:val="70"/>
          <w:lang w:eastAsia="zh-CN"/>
        </w:rPr>
        <w:t>嵊泗海关综合技术服务中心</w:t>
      </w:r>
    </w:p>
    <w:p>
      <w:pPr>
        <w:tabs>
          <w:tab w:val="left" w:pos="4073"/>
        </w:tabs>
        <w:spacing w:line="1600" w:lineRule="exact"/>
        <w:jc w:val="center"/>
        <w:rPr>
          <w:rFonts w:ascii="Arial" w:eastAsia="Times New Roman" w:hAnsi="Arial"/>
          <w:lang w:eastAsia="zh-CN"/>
        </w:rPr>
        <w:sectPr>
          <w:headerReference w:type="default" r:id="rId2"/>
          <w:pgSz w:w="11920" w:h="16850"/>
          <w:pgMar w:top="1440" w:right="1757" w:bottom="1440" w:left="1757" w:header="0" w:footer="765" w:gutter="0"/>
          <w:docGrid w:linePitch="312" w:charSpace="0"/>
        </w:sectPr>
      </w:pPr>
      <w:r>
        <w:rPr>
          <w:rFonts w:ascii="隶书" w:eastAsia="隶书" w:cs="隶书" w:hint="eastAsia"/>
          <w:color w:val="00007F"/>
          <w:sz w:val="96"/>
          <w:szCs w:val="96"/>
          <w:lang w:eastAsia="zh-CN"/>
        </w:rPr>
        <w:t>部门决算</w:t>
      </w:r>
    </w:p>
    <w:p>
      <w:pPr>
        <w:pStyle w:val="67"/>
        <w:spacing w:before="74"/>
        <w:ind w:left="3249" w:right="3871"/>
        <w:jc w:val="center"/>
        <w:rPr>
          <w:rFonts w:ascii="黑体" w:eastAsia="黑体" w:cs="黑体"/>
          <w:b/>
          <w:bCs/>
          <w:sz w:val="56"/>
          <w:szCs w:val="56"/>
          <w:lang w:eastAsia="zh-CN"/>
        </w:rPr>
      </w:pPr>
      <w:r>
        <w:rPr>
          <w:rFonts w:ascii="黑体" w:eastAsia="黑体" w:cs="黑体" w:hint="eastAsia"/>
          <w:b/>
          <w:bCs/>
          <w:sz w:val="56"/>
          <w:szCs w:val="56"/>
          <w:lang w:eastAsia="zh-CN"/>
        </w:rPr>
        <w:t>目录</w:t>
      </w:r>
    </w:p>
    <w:p>
      <w:pPr>
        <w:pStyle w:val="179"/>
        <w:tabs>
          <w:tab w:val="left" w:pos="1720"/>
          <w:tab w:val="right" w:leader="dot" w:pos="8625"/>
        </w:tabs>
        <w:spacing w:before="282"/>
        <w:ind w:left="119"/>
        <w:rPr>
          <w:rFonts w:ascii="Arial" w:eastAsia="Times New Roman" w:hAnsi="Arial"/>
        </w:rPr>
      </w:pPr>
      <w:r>
        <w:rPr>
          <w:rFonts w:ascii="黑体" w:eastAsia="黑体" w:cs="黑体" w:hint="eastAsia"/>
          <w:w w:val="95"/>
        </w:rPr>
        <w:t>第一部分</w:t>
      </w:r>
      <w:r>
        <w:rPr>
          <w:rFonts w:ascii="黑体" w:eastAsia="黑体" w:cs="黑体"/>
          <w:w w:val="95"/>
        </w:rPr>
        <w:tab/>
      </w:r>
      <w:r>
        <w:rPr>
          <w:rFonts w:ascii="黑体" w:eastAsia="黑体" w:cs="黑体" w:hint="eastAsia"/>
          <w:w w:val="95"/>
        </w:rPr>
        <w:t>嵊泗海关综合技术服务中心</w:t>
      </w:r>
      <w:r>
        <w:rPr>
          <w:rFonts w:ascii="黑体" w:eastAsia="黑体" w:cs="黑体" w:hint="eastAsia"/>
        </w:rPr>
        <w:t>概况</w:t>
      </w:r>
    </w:p>
    <w:p>
      <w:pPr>
        <w:pStyle w:val="179"/>
        <w:tabs>
          <w:tab w:val="right" w:leader="dot" w:pos="8613"/>
        </w:tabs>
        <w:ind w:left="119"/>
        <w:rPr>
          <w:rFonts w:ascii="方正仿宋_GBK" w:eastAsia="方正仿宋_GBK"/>
        </w:rPr>
      </w:pPr>
      <w:r>
        <w:rPr>
          <w:rFonts w:ascii="方正仿宋_GBK" w:eastAsia="方正仿宋_GBK" w:hint="eastAsia"/>
        </w:rPr>
        <w:t>一、部门职责</w:t>
      </w:r>
    </w:p>
    <w:p>
      <w:pPr>
        <w:pStyle w:val="179"/>
        <w:tabs>
          <w:tab w:val="right" w:leader="dot" w:pos="8613"/>
        </w:tabs>
        <w:ind w:left="119"/>
        <w:rPr>
          <w:rFonts w:ascii="方正仿宋_GBK" w:eastAsia="方正仿宋_GBK"/>
        </w:rPr>
      </w:pPr>
      <w:r>
        <w:rPr>
          <w:rFonts w:ascii="方正仿宋_GBK" w:eastAsia="方正仿宋_GBK" w:hint="eastAsia"/>
        </w:rPr>
        <w:t>二、机构设置</w:t>
      </w:r>
    </w:p>
    <w:p>
      <w:pPr>
        <w:pStyle w:val="179"/>
        <w:tabs>
          <w:tab w:val="left" w:pos="1720"/>
          <w:tab w:val="right" w:leader="dot" w:pos="8625"/>
        </w:tabs>
        <w:ind w:left="119"/>
        <w:rPr>
          <w:rFonts w:ascii="Arial" w:eastAsia="Times New Roman" w:hAnsi="Arial"/>
        </w:rPr>
      </w:pPr>
      <w:r>
        <w:rPr>
          <w:rFonts w:ascii="黑体" w:eastAsia="黑体" w:cs="黑体" w:hint="eastAsia"/>
          <w:w w:val="95"/>
        </w:rPr>
        <w:t>第二部分</w:t>
      </w:r>
      <w:r>
        <w:rPr>
          <w:rFonts w:ascii="黑体" w:eastAsia="黑体" w:cs="黑体"/>
          <w:w w:val="95"/>
        </w:rPr>
        <w:tab/>
      </w:r>
      <w:r>
        <w:rPr>
          <w:rFonts w:ascii="Times New Roman" w:eastAsia="黑体" w:cs="Times New Roman" w:hAnsi="Times New Roman"/>
        </w:rPr>
        <w:t>2025</w:t>
      </w:r>
      <w:r>
        <w:rPr>
          <w:rFonts w:ascii="黑体" w:eastAsia="黑体" w:cs="黑体" w:hint="eastAsia"/>
        </w:rPr>
        <w:t>年度部门决算表</w:t>
      </w:r>
    </w:p>
    <w:p>
      <w:pPr>
        <w:pStyle w:val="179"/>
        <w:tabs>
          <w:tab w:val="right" w:leader="dot" w:pos="8613"/>
        </w:tabs>
        <w:ind w:left="119"/>
        <w:rPr>
          <w:rFonts w:ascii="方正仿宋_GBK" w:eastAsia="方正仿宋_GBK"/>
        </w:rPr>
      </w:pPr>
      <w:r>
        <w:rPr>
          <w:rFonts w:ascii="方正仿宋_GBK" w:eastAsia="方正仿宋_GBK" w:hint="eastAsia"/>
        </w:rPr>
        <w:t>一、收入支出决算总表</w:t>
      </w:r>
    </w:p>
    <w:p>
      <w:pPr>
        <w:pStyle w:val="179"/>
        <w:tabs>
          <w:tab w:val="right" w:leader="dot" w:pos="8613"/>
        </w:tabs>
        <w:ind w:left="119"/>
        <w:rPr>
          <w:rFonts w:ascii="方正仿宋_GBK" w:eastAsia="方正仿宋_GBK"/>
        </w:rPr>
      </w:pPr>
      <w:r>
        <w:rPr>
          <w:rFonts w:ascii="方正仿宋_GBK" w:eastAsia="方正仿宋_GBK" w:hint="eastAsia"/>
        </w:rPr>
        <w:t>二、收入决算表</w:t>
      </w:r>
    </w:p>
    <w:p>
      <w:pPr>
        <w:pStyle w:val="179"/>
        <w:tabs>
          <w:tab w:val="right" w:leader="dot" w:pos="8613"/>
        </w:tabs>
        <w:ind w:left="119"/>
        <w:rPr>
          <w:rFonts w:ascii="方正仿宋_GBK" w:eastAsia="方正仿宋_GBK"/>
        </w:rPr>
      </w:pPr>
      <w:r>
        <w:rPr>
          <w:rFonts w:ascii="方正仿宋_GBK" w:eastAsia="方正仿宋_GBK" w:hint="eastAsia"/>
        </w:rPr>
        <w:t>三、支出决算表</w:t>
      </w:r>
    </w:p>
    <w:p>
      <w:pPr>
        <w:pStyle w:val="179"/>
        <w:tabs>
          <w:tab w:val="right" w:leader="dot" w:pos="8613"/>
        </w:tabs>
        <w:ind w:left="119"/>
        <w:rPr>
          <w:rFonts w:ascii="方正仿宋_GBK" w:eastAsia="方正仿宋_GBK"/>
        </w:rPr>
      </w:pPr>
      <w:r>
        <w:rPr>
          <w:rFonts w:ascii="方正仿宋_GBK" w:eastAsia="方正仿宋_GBK" w:hint="eastAsia"/>
        </w:rPr>
        <w:t>四、财政拨款收入支出决算总表</w:t>
      </w:r>
    </w:p>
    <w:p>
      <w:pPr>
        <w:pStyle w:val="179"/>
        <w:tabs>
          <w:tab w:val="right" w:leader="dot" w:pos="8613"/>
        </w:tabs>
        <w:ind w:left="119"/>
        <w:rPr>
          <w:rFonts w:ascii="方正仿宋_GBK" w:eastAsia="方正仿宋_GBK"/>
        </w:rPr>
      </w:pPr>
      <w:r>
        <w:rPr>
          <w:rFonts w:ascii="方正仿宋_GBK" w:eastAsia="方正仿宋_GBK" w:hint="eastAsia"/>
        </w:rPr>
        <w:t>五、一般公共预算财政拨款支出决算表</w:t>
      </w:r>
    </w:p>
    <w:p>
      <w:pPr>
        <w:pStyle w:val="179"/>
        <w:tabs>
          <w:tab w:val="right" w:leader="dot" w:pos="8613"/>
        </w:tabs>
        <w:spacing w:before="150"/>
        <w:ind w:left="119"/>
        <w:rPr>
          <w:rFonts w:ascii="方正仿宋_GBK" w:eastAsia="方正仿宋_GBK"/>
        </w:rPr>
      </w:pPr>
      <w:r>
        <w:rPr>
          <w:rFonts w:ascii="方正仿宋_GBK" w:eastAsia="方正仿宋_GBK" w:hint="eastAsia"/>
        </w:rPr>
        <w:t>六、一般公共预算财政拨款基本支出决算明细表</w:t>
      </w:r>
    </w:p>
    <w:p>
      <w:pPr>
        <w:pStyle w:val="179"/>
        <w:tabs>
          <w:tab w:val="right" w:leader="dot" w:pos="8613"/>
        </w:tabs>
        <w:spacing w:before="142"/>
        <w:ind w:left="119"/>
        <w:rPr>
          <w:rFonts w:ascii="方正仿宋_GBK" w:eastAsia="方正仿宋_GBK"/>
        </w:rPr>
      </w:pPr>
      <w:r>
        <w:rPr>
          <w:rFonts w:ascii="方正仿宋_GBK" w:eastAsia="方正仿宋_GBK" w:hint="eastAsia"/>
        </w:rPr>
        <w:t>七、政府</w:t>
      </w:r>
      <w:r>
        <w:rPr>
          <w:rFonts w:ascii="方正仿宋_GBK" w:eastAsia="方正仿宋_GBK" w:cs="宋体" w:hint="eastAsia"/>
        </w:rPr>
        <w:t>性</w:t>
      </w:r>
      <w:r>
        <w:rPr>
          <w:rFonts w:ascii="方正仿宋_GBK" w:eastAsia="方正仿宋_GBK" w:hint="eastAsia"/>
        </w:rPr>
        <w:t>基金预算财政拨款收入支出决算表</w:t>
      </w:r>
    </w:p>
    <w:p>
      <w:pPr>
        <w:pStyle w:val="179"/>
        <w:tabs>
          <w:tab w:val="right" w:leader="dot" w:pos="8613"/>
        </w:tabs>
        <w:ind w:left="119"/>
        <w:rPr>
          <w:rFonts w:ascii="方正仿宋_GBK" w:eastAsia="方正仿宋_GBK"/>
        </w:rPr>
      </w:pPr>
      <w:r>
        <w:rPr>
          <w:rFonts w:ascii="方正仿宋_GBK" w:eastAsia="方正仿宋_GBK" w:hint="eastAsia"/>
        </w:rPr>
        <w:t>八、国有资本经营预算财政拨款支出决算表</w:t>
      </w:r>
    </w:p>
    <w:p>
      <w:pPr>
        <w:pStyle w:val="179"/>
        <w:tabs>
          <w:tab w:val="right" w:leader="dot" w:pos="8613"/>
        </w:tabs>
        <w:ind w:left="119"/>
        <w:rPr>
          <w:rFonts w:ascii="方正仿宋_GBK" w:eastAsia="方正仿宋_GBK"/>
        </w:rPr>
      </w:pPr>
      <w:r>
        <w:rPr>
          <w:rFonts w:ascii="方正仿宋_GBK" w:eastAsia="方正仿宋_GBK" w:hint="eastAsia"/>
        </w:rPr>
        <w:t>九、财政拨款“三公”经费支出决算表</w:t>
      </w:r>
    </w:p>
    <w:p>
      <w:pPr>
        <w:pStyle w:val="179"/>
        <w:tabs>
          <w:tab w:val="left" w:pos="1720"/>
          <w:tab w:val="right" w:leader="dot" w:pos="8625"/>
        </w:tabs>
        <w:rPr>
          <w:rFonts w:ascii="Arial" w:eastAsia="Times New Roman" w:hAnsi="Arial"/>
        </w:rPr>
      </w:pPr>
      <w:r>
        <w:rPr>
          <w:rFonts w:ascii="黑体" w:eastAsia="黑体" w:cs="黑体" w:hint="eastAsia"/>
          <w:w w:val="95"/>
        </w:rPr>
        <w:t>第三部分</w:t>
      </w:r>
      <w:r>
        <w:rPr>
          <w:rFonts w:ascii="黑体" w:eastAsia="黑体" w:cs="黑体"/>
          <w:w w:val="95"/>
        </w:rPr>
        <w:tab/>
      </w:r>
      <w:r>
        <w:rPr>
          <w:rFonts w:ascii="黑体" w:eastAsia="黑体" w:cs="黑体"/>
        </w:rPr>
        <w:t>2025</w:t>
      </w:r>
      <w:r>
        <w:rPr>
          <w:rFonts w:ascii="黑体" w:eastAsia="黑体" w:cs="黑体" w:hint="eastAsia"/>
        </w:rPr>
        <w:t>年度部门决算情况说明</w:t>
      </w:r>
    </w:p>
    <w:p>
      <w:pPr>
        <w:pStyle w:val="179"/>
        <w:tabs>
          <w:tab w:val="right" w:leader="dot" w:pos="8613"/>
        </w:tabs>
        <w:rPr>
          <w:rFonts w:ascii="方正仿宋_GBK" w:eastAsia="方正仿宋_GBK"/>
        </w:rPr>
      </w:pPr>
      <w:r>
        <w:rPr>
          <w:rFonts w:ascii="方正仿宋_GBK" w:eastAsia="方正仿宋_GBK" w:hint="eastAsia"/>
        </w:rPr>
        <w:t>一、收入支出决算总体情况说明</w:t>
      </w:r>
    </w:p>
    <w:p>
      <w:pPr>
        <w:pStyle w:val="179"/>
        <w:tabs>
          <w:tab w:val="right" w:leader="dot" w:pos="8613"/>
        </w:tabs>
        <w:rPr>
          <w:rFonts w:ascii="方正仿宋_GBK" w:eastAsia="方正仿宋_GBK"/>
        </w:rPr>
      </w:pPr>
      <w:r>
        <w:rPr>
          <w:rFonts w:ascii="方正仿宋_GBK" w:eastAsia="方正仿宋_GBK" w:hint="eastAsia"/>
        </w:rPr>
        <w:t>二、收入决算情况说明</w:t>
      </w:r>
    </w:p>
    <w:p>
      <w:pPr>
        <w:pStyle w:val="179"/>
        <w:tabs>
          <w:tab w:val="right" w:leader="dot" w:pos="8613"/>
        </w:tabs>
        <w:rPr>
          <w:rFonts w:ascii="方正仿宋_GBK" w:eastAsia="方正仿宋_GBK"/>
        </w:rPr>
      </w:pPr>
      <w:r>
        <w:rPr>
          <w:rFonts w:ascii="方正仿宋_GBK" w:eastAsia="方正仿宋_GBK" w:hint="eastAsia"/>
        </w:rPr>
        <w:t>三、支出决算情况说明</w:t>
      </w:r>
    </w:p>
    <w:p>
      <w:pPr>
        <w:pStyle w:val="179"/>
        <w:tabs>
          <w:tab w:val="right" w:leader="dot" w:pos="8613"/>
        </w:tabs>
        <w:rPr>
          <w:rFonts w:ascii="方正仿宋_GBK" w:eastAsia="方正仿宋_GBK"/>
        </w:rPr>
      </w:pPr>
      <w:r>
        <w:rPr>
          <w:rFonts w:ascii="方正仿宋_GBK" w:eastAsia="方正仿宋_GBK" w:hint="eastAsia"/>
        </w:rPr>
        <w:t>四、财政拨款收入支出决算总体情况说明</w:t>
      </w:r>
    </w:p>
    <w:p>
      <w:pPr>
        <w:pStyle w:val="179"/>
        <w:tabs>
          <w:tab w:val="right" w:leader="dot" w:pos="8613"/>
        </w:tabs>
        <w:rPr>
          <w:rFonts w:ascii="方正仿宋_GBK" w:eastAsia="方正仿宋_GBK"/>
        </w:rPr>
      </w:pPr>
      <w:r>
        <w:rPr>
          <w:rFonts w:ascii="方正仿宋_GBK" w:eastAsia="方正仿宋_GBK" w:hint="eastAsia"/>
        </w:rPr>
        <w:t>五、一般公共预算财政拨款支出决算情况说明</w:t>
      </w:r>
    </w:p>
    <w:p>
      <w:pPr>
        <w:pStyle w:val="179"/>
        <w:tabs>
          <w:tab w:val="right" w:leader="dot" w:pos="8613"/>
        </w:tabs>
        <w:spacing w:before="150"/>
        <w:rPr>
          <w:rFonts w:ascii="方正仿宋_GBK" w:eastAsia="方正仿宋_GBK"/>
        </w:rPr>
      </w:pPr>
      <w:r>
        <w:rPr>
          <w:rFonts w:ascii="方正仿宋_GBK" w:eastAsia="方正仿宋_GBK" w:hint="eastAsia"/>
        </w:rPr>
        <w:t>六、一般公共预算财政拨款基本支出决算情况说明</w:t>
      </w:r>
    </w:p>
    <w:p>
      <w:pPr>
        <w:pStyle w:val="179"/>
        <w:tabs>
          <w:tab w:val="right" w:leader="dot" w:pos="8613"/>
        </w:tabs>
        <w:rPr>
          <w:rFonts w:ascii="方正仿宋_GBK" w:eastAsia="方正仿宋_GBK"/>
        </w:rPr>
      </w:pPr>
      <w:r>
        <w:rPr>
          <w:rFonts w:ascii="方正仿宋_GBK" w:eastAsia="方正仿宋_GBK" w:hint="eastAsia"/>
          <w:spacing w:val="-38"/>
        </w:rPr>
        <w:t>七、财政拨款“三公”经费支出决算情况说明</w:t>
      </w:r>
    </w:p>
    <w:p>
      <w:pPr>
        <w:pStyle w:val="179"/>
        <w:tabs>
          <w:tab w:val="right" w:leader="dot" w:pos="8613"/>
        </w:tabs>
        <w:rPr>
          <w:rFonts w:ascii="方正仿宋_GBK" w:eastAsia="方正仿宋_GBK"/>
        </w:rPr>
      </w:pPr>
      <w:r>
        <w:rPr>
          <w:rFonts w:ascii="方正仿宋_GBK" w:eastAsia="方正仿宋_GBK" w:hint="eastAsia"/>
        </w:rPr>
        <w:t>八、机关运行经费支出说明</w:t>
      </w:r>
    </w:p>
    <w:p>
      <w:pPr>
        <w:pStyle w:val="179"/>
        <w:tabs>
          <w:tab w:val="right" w:leader="dot" w:pos="8613"/>
        </w:tabs>
        <w:rPr>
          <w:rFonts w:ascii="方正仿宋_GBK" w:eastAsia="方正仿宋_GBK"/>
        </w:rPr>
      </w:pPr>
      <w:r>
        <w:rPr>
          <w:rFonts w:ascii="方正仿宋_GBK" w:eastAsia="方正仿宋_GBK" w:hint="eastAsia"/>
        </w:rPr>
        <w:t>九、政府采购支出说明</w:t>
      </w:r>
    </w:p>
    <w:p>
      <w:pPr>
        <w:pStyle w:val="179"/>
        <w:tabs>
          <w:tab w:val="right" w:leader="dot" w:pos="8613"/>
        </w:tabs>
        <w:rPr>
          <w:rFonts w:ascii="方正仿宋_GBK" w:eastAsia="方正仿宋_GBK"/>
        </w:rPr>
      </w:pPr>
      <w:r>
        <w:rPr>
          <w:rFonts w:ascii="方正仿宋_GBK" w:eastAsia="方正仿宋_GBK" w:hint="eastAsia"/>
        </w:rPr>
        <w:t>十、国有资产占用情况说明</w:t>
      </w:r>
    </w:p>
    <w:p>
      <w:pPr>
        <w:pStyle w:val="179"/>
        <w:tabs>
          <w:tab w:val="right" w:leader="dot" w:pos="8613"/>
        </w:tabs>
        <w:rPr>
          <w:rFonts w:ascii="方正仿宋_GBK" w:eastAsia="方正仿宋_GBK"/>
        </w:rPr>
      </w:pPr>
      <w:r>
        <w:rPr>
          <w:rFonts w:ascii="方正仿宋_GBK" w:eastAsia="方正仿宋_GBK" w:hint="eastAsia"/>
        </w:rPr>
        <w:t>十一、关于</w:t>
      </w:r>
      <w:r>
        <w:rPr>
          <w:rFonts w:ascii="Times New Roman" w:eastAsia="方正仿宋_GBK" w:cs="Times New Roman" w:hAnsi="Times New Roman"/>
        </w:rPr>
        <w:t>2025</w:t>
      </w:r>
      <w:r>
        <w:rPr>
          <w:rFonts w:ascii="方正仿宋_GBK" w:eastAsia="方正仿宋_GBK" w:hint="eastAsia"/>
        </w:rPr>
        <w:t>年度绩效评价情况的说明</w:t>
      </w:r>
    </w:p>
    <w:p>
      <w:pPr>
        <w:pStyle w:val="180"/>
        <w:tabs>
          <w:tab w:val="left" w:pos="1720"/>
          <w:tab w:val="right" w:leader="dot" w:pos="8625"/>
        </w:tabs>
        <w:rPr>
          <w:rFonts w:ascii="Arial" w:eastAsia="Times New Roman" w:hAnsi="Arial"/>
        </w:rPr>
      </w:pPr>
      <w:r>
        <w:rPr>
          <w:rFonts w:ascii="黑体" w:eastAsia="黑体" w:cs="黑体" w:hint="eastAsia"/>
          <w:w w:val="95"/>
        </w:rPr>
        <w:t>第四部分</w:t>
      </w:r>
      <w:r>
        <w:rPr>
          <w:rFonts w:ascii="黑体" w:eastAsia="黑体" w:cs="黑体"/>
          <w:w w:val="95"/>
        </w:rPr>
        <w:tab/>
      </w:r>
      <w:r>
        <w:rPr>
          <w:rFonts w:ascii="黑体" w:eastAsia="黑体" w:cs="黑体" w:hint="eastAsia"/>
        </w:rPr>
        <w:t>名词解释</w:t>
      </w:r>
    </w:p>
    <w:p>
      <w:pPr>
        <w:pStyle w:val="23"/>
        <w:tabs>
          <w:tab w:val="left" w:pos="5591"/>
        </w:tabs>
        <w:spacing w:line="1200" w:lineRule="exact"/>
        <w:jc w:val="center"/>
        <w:outlineLvl w:val="0"/>
        <w:rPr>
          <w:lang w:eastAsia="zh-CN"/>
        </w:rPr>
        <w:sectPr>
          <w:headerReference w:type="default" r:id="rId3"/>
          <w:footerReference w:type="default" r:id="rId4"/>
          <w:pgSz w:w="11920" w:h="16850"/>
          <w:pgMar w:top="1440" w:right="1757" w:bottom="1440" w:left="1757" w:header="0" w:footer="765" w:gutter="0"/>
          <w:pgNumType w:start="1"/>
          <w:docGrid w:linePitch="312" w:charSpace="0"/>
        </w:sectPr>
      </w:pPr>
    </w:p>
    <w:p>
      <w:pPr>
        <w:pStyle w:val="23"/>
        <w:tabs>
          <w:tab w:val="left" w:pos="5591"/>
        </w:tabs>
        <w:spacing w:line="1200" w:lineRule="exact"/>
        <w:jc w:val="center"/>
        <w:outlineLvl w:val="0"/>
        <w:rPr>
          <w:lang w:eastAsia="zh-CN"/>
        </w:rPr>
      </w:pPr>
    </w:p>
    <w:p>
      <w:pPr>
        <w:pStyle w:val="23"/>
        <w:tabs>
          <w:tab w:val="left" w:pos="5591"/>
        </w:tabs>
        <w:spacing w:line="1200" w:lineRule="exact"/>
        <w:ind w:left="0"/>
        <w:outlineLvl w:val="0"/>
        <w:rPr>
          <w:lang w:eastAsia="zh-CN"/>
        </w:rPr>
      </w:pPr>
    </w:p>
    <w:p>
      <w:pPr>
        <w:pStyle w:val="23"/>
        <w:tabs>
          <w:tab w:val="left" w:pos="5591"/>
        </w:tabs>
        <w:spacing w:line="1200" w:lineRule="exact"/>
        <w:ind w:left="0"/>
        <w:outlineLvl w:val="0"/>
        <w:rPr>
          <w:lang w:eastAsia="zh-CN"/>
        </w:rPr>
      </w:pPr>
    </w:p>
    <w:p>
      <w:pPr>
        <w:pStyle w:val="23"/>
        <w:tabs>
          <w:tab w:val="left" w:pos="5591"/>
        </w:tabs>
        <w:spacing w:line="1200" w:lineRule="exact"/>
        <w:ind w:left="0"/>
        <w:jc w:val="center"/>
        <w:outlineLvl w:val="0"/>
        <w:rPr>
          <w:lang w:eastAsia="zh-CN"/>
        </w:rPr>
      </w:pPr>
      <w:bookmarkStart w:id="0" w:name="_Toc17779"/>
      <w:r>
        <w:rPr>
          <w:rFonts w:hint="eastAsia"/>
          <w:lang w:eastAsia="zh-CN"/>
        </w:rPr>
        <w:t>第一部分</w:t>
      </w:r>
      <w:bookmarkEnd w:id="0"/>
    </w:p>
    <w:p>
      <w:pPr>
        <w:pStyle w:val="23"/>
        <w:tabs>
          <w:tab w:val="left" w:pos="5591"/>
        </w:tabs>
        <w:spacing w:line="1200" w:lineRule="exact"/>
        <w:ind w:left="0"/>
        <w:jc w:val="center"/>
        <w:rPr>
          <w:sz w:val="70"/>
          <w:szCs w:val="70"/>
          <w:lang w:eastAsia="zh-CN"/>
        </w:rPr>
      </w:pPr>
      <w:bookmarkStart w:id="1" w:name="_Toc31404"/>
      <w:bookmarkStart w:id="2" w:name="_Toc2641"/>
      <w:bookmarkStart w:id="3" w:name="_Toc4099"/>
      <w:r>
        <w:rPr>
          <w:rFonts w:hint="eastAsia"/>
          <w:sz w:val="70"/>
          <w:szCs w:val="70"/>
          <w:lang w:eastAsia="zh-CN"/>
        </w:rPr>
        <w:t>嵊泗海关综合技术服务中心</w:t>
      </w:r>
    </w:p>
    <w:p>
      <w:pPr>
        <w:pStyle w:val="23"/>
        <w:tabs>
          <w:tab w:val="left" w:pos="5591"/>
        </w:tabs>
        <w:spacing w:line="1200" w:lineRule="exact"/>
        <w:ind w:left="0"/>
        <w:jc w:val="center"/>
        <w:rPr>
          <w:lang w:eastAsia="zh-CN"/>
        </w:rPr>
        <w:sectPr>
          <w:footerReference w:type="default" r:id="rId5"/>
          <w:pgSz w:w="11920" w:h="16850"/>
          <w:pgMar w:top="1440" w:right="1757" w:bottom="1440" w:left="1757" w:header="0" w:footer="765" w:gutter="0"/>
          <w:pgNumType w:start="1"/>
          <w:docGrid w:linePitch="312" w:charSpace="0"/>
        </w:sectPr>
      </w:pPr>
      <w:r>
        <w:rPr>
          <w:rFonts w:hint="eastAsia"/>
          <w:lang w:eastAsia="zh-CN"/>
        </w:rPr>
        <w:t>概况</w:t>
      </w:r>
      <w:bookmarkEnd w:id="1"/>
      <w:bookmarkEnd w:id="2"/>
      <w:bookmarkEnd w:id="3"/>
    </w:p>
    <w:p>
      <w:pPr>
        <w:pStyle w:val="16"/>
        <w:spacing w:line="560" w:lineRule="exact"/>
        <w:ind w:left="0" w:firstLineChars="200" w:firstLine="640"/>
        <w:jc w:val="both"/>
        <w:outlineLvl w:val="1"/>
        <w:rPr>
          <w:rFonts w:ascii="方正黑体_GBK" w:eastAsia="方正黑体_GBK" w:cs="方正黑体_GBK"/>
          <w:sz w:val="32"/>
          <w:szCs w:val="32"/>
          <w:lang w:eastAsia="zh-CN"/>
        </w:rPr>
      </w:pPr>
      <w:bookmarkStart w:id="4" w:name="_Toc13739"/>
      <w:r>
        <w:rPr>
          <w:rFonts w:ascii="方正黑体_GBK" w:eastAsia="方正黑体_GBK" w:cs="方正黑体_GBK" w:hint="eastAsia"/>
          <w:sz w:val="32"/>
          <w:szCs w:val="32"/>
          <w:lang w:eastAsia="zh-CN"/>
        </w:rPr>
        <w:t>一、部门职责</w:t>
      </w:r>
      <w:bookmarkEnd w:id="4"/>
    </w:p>
    <w:p>
      <w:pPr>
        <w:pStyle w:val="175"/>
        <w:autoSpaceDN w:val="0"/>
        <w:spacing w:line="560" w:lineRule="exact"/>
        <w:ind w:firstLineChars="200" w:firstLine="640"/>
        <w:rPr>
          <w:rFonts w:eastAsia="方正仿宋_GBK"/>
          <w:sz w:val="32"/>
          <w:szCs w:val="32"/>
        </w:rPr>
      </w:pPr>
      <w:bookmarkStart w:id="5" w:name="_Toc32729"/>
      <w:r>
        <w:rPr>
          <w:rFonts w:eastAsia="方正仿宋_GBK" w:hint="eastAsia"/>
          <w:sz w:val="32"/>
          <w:szCs w:val="32"/>
        </w:rPr>
        <w:t>（一）参与拟订有关检验检疫方法标准；参与国外技术性贸易措施对企业影响调查工作；参与海关相关业务数据的综合分析研究工作。</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（二）协助开展相关产品风险预警和快速反应工作，参与有关风险信息的收集、评估等工作，组织开展传染病监测，协助开展卫生监督、卫生处理，参与应对口岸突发公共卫生安全事件，提供技术指导。</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（三）按规定承担委托的检验检疫、鉴定等工作，组织开展非法定检验检疫、鉴定、评估、校准等业务，管理所属卫生除害处理单位。</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（四）承担实验室建设、发展和日常管理工作，承担相关科研项目组织实施、成果应用转化等工作。</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（五）承担进出口商品生产经营企业、消费者技术服务、技术培训等工作。</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（六）承担安全保卫、环境卫生、绿化、人防、防汛、消防、防灾减灾以及节能减排的管理工作。</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（七）承担固定资产、房产的日常管理和办公生活基础设施设备的使用维护及服务管理工作，承担政府集中采购执行工作。</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（八）承担干部职工食堂管理、公务车辆管理等后勤服务保障工作。</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（九）根据委托承担后勤产业综合服务保障运作管理工作。</w:t>
      </w:r>
    </w:p>
    <w:p>
      <w:pPr>
        <w:pStyle w:val="175"/>
        <w:autoSpaceDN w:val="0"/>
        <w:spacing w:line="560" w:lineRule="exact"/>
        <w:ind w:firstLineChars="200" w:firstLine="640"/>
        <w:rPr>
          <w:rFonts w:eastAsia="方正仿宋_GBK"/>
          <w:sz w:val="32"/>
          <w:szCs w:val="32"/>
        </w:rPr>
      </w:pPr>
      <w:r>
        <w:rPr>
          <w:rFonts w:eastAsia="方正仿宋_GBK" w:hint="eastAsia"/>
          <w:sz w:val="32"/>
          <w:szCs w:val="32"/>
        </w:rPr>
        <w:t>（十）负责自身组织建设和队伍建设，承担本单位日常管理考核工作。</w:t>
      </w:r>
    </w:p>
    <w:p>
      <w:pPr>
        <w:pStyle w:val="16"/>
        <w:spacing w:line="560" w:lineRule="exact"/>
        <w:ind w:left="0" w:firstLineChars="200" w:firstLine="640"/>
        <w:jc w:val="both"/>
        <w:rPr>
          <w:rFonts w:cs="宋体"/>
          <w:spacing w:val="10"/>
          <w:sz w:val="32"/>
          <w:szCs w:val="32"/>
          <w:lang w:eastAsia="zh-CN"/>
        </w:rPr>
      </w:pPr>
      <w:r>
        <w:rPr>
          <w:rFonts w:hint="eastAsia"/>
          <w:sz w:val="32"/>
          <w:szCs w:val="32"/>
          <w:lang w:eastAsia="zh-CN"/>
        </w:rPr>
        <w:t>（十一）承担嵊泗海关交办的其他工作。</w:t>
      </w:r>
    </w:p>
    <w:p>
      <w:pPr>
        <w:pStyle w:val="16"/>
        <w:spacing w:line="560" w:lineRule="exact"/>
        <w:ind w:left="0" w:firstLineChars="200" w:firstLine="640"/>
        <w:jc w:val="both"/>
        <w:rPr>
          <w:rFonts w:ascii="方正黑体_GBK" w:eastAsia="方正黑体_GBK" w:cs="方正黑体_GBK"/>
          <w:sz w:val="32"/>
          <w:szCs w:val="32"/>
          <w:lang w:eastAsia="zh-CN"/>
        </w:rPr>
      </w:pPr>
      <w:r>
        <w:rPr>
          <w:rFonts w:ascii="方正黑体_GBK" w:eastAsia="方正黑体_GBK" w:cs="方正黑体_GBK" w:hint="eastAsia"/>
          <w:sz w:val="32"/>
          <w:szCs w:val="32"/>
          <w:lang w:eastAsia="zh-CN"/>
        </w:rPr>
        <w:t>二、机构设置</w:t>
      </w:r>
      <w:bookmarkEnd w:id="5"/>
    </w:p>
    <w:p>
      <w:pPr>
        <w:pStyle w:val="176"/>
        <w:autoSpaceDN w:val="0"/>
        <w:spacing w:line="560" w:lineRule="exact"/>
        <w:ind w:firstLineChars="200" w:firstLine="640"/>
        <w:rPr>
          <w:rFonts w:eastAsia="方正仿宋_GBK"/>
          <w:sz w:val="32"/>
          <w:szCs w:val="32"/>
        </w:rPr>
      </w:pPr>
      <w:r>
        <w:rPr>
          <w:rFonts w:eastAsia="方正仿宋_GBK" w:hint="eastAsia"/>
          <w:sz w:val="32"/>
          <w:szCs w:val="32"/>
        </w:rPr>
        <w:t>嵊泗海关综合技术服务中心无内设科室。</w:t>
      </w:r>
    </w:p>
    <w:p>
      <w:pPr>
        <w:pStyle w:val="176"/>
        <w:autoSpaceDN w:val="0"/>
        <w:spacing w:line="560" w:lineRule="exact"/>
        <w:ind w:firstLineChars="200" w:firstLine="640"/>
        <w:rPr>
          <w:rFonts w:eastAsia="方正仿宋_GBK"/>
          <w:sz w:val="32"/>
          <w:szCs w:val="32"/>
        </w:rPr>
      </w:pPr>
      <w:r>
        <w:rPr>
          <w:rFonts w:eastAsia="方正仿宋_GBK" w:hint="eastAsia"/>
          <w:sz w:val="32"/>
          <w:szCs w:val="32"/>
        </w:rPr>
        <w:t>纳入嵊泗海关</w:t>
      </w:r>
      <w:r>
        <w:rPr>
          <w:rFonts w:ascii="Times New Roman" w:eastAsia="方正仿宋_GBK" w:cs="Times New Roman" w:hAnsi="Times New Roman"/>
          <w:sz w:val="32"/>
          <w:szCs w:val="32"/>
        </w:rPr>
        <w:t>2025</w:t>
      </w:r>
      <w:r>
        <w:rPr>
          <w:rFonts w:eastAsia="方正仿宋_GBK" w:hint="eastAsia"/>
          <w:sz w:val="32"/>
          <w:szCs w:val="32"/>
        </w:rPr>
        <w:t>年决算编制范围。</w:t>
      </w: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ind w:left="0"/>
        <w:jc w:val="center"/>
        <w:outlineLvl w:val="0"/>
        <w:rPr>
          <w:lang w:eastAsia="zh-CN"/>
        </w:rPr>
      </w:pPr>
      <w:bookmarkStart w:id="6" w:name="_Toc20047"/>
      <w:r>
        <w:rPr>
          <w:rFonts w:hint="eastAsia"/>
          <w:lang w:eastAsia="zh-CN"/>
        </w:rPr>
        <w:t>第二部分</w:t>
      </w:r>
      <w:bookmarkEnd w:id="6"/>
    </w:p>
    <w:p>
      <w:pPr>
        <w:pStyle w:val="23"/>
        <w:tabs>
          <w:tab w:val="left" w:pos="5591"/>
        </w:tabs>
        <w:spacing w:line="1200" w:lineRule="exact"/>
        <w:ind w:left="0"/>
        <w:jc w:val="center"/>
        <w:rPr>
          <w:rFonts w:cs="黑体"/>
          <w:lang w:eastAsia="zh-CN"/>
        </w:rPr>
        <w:sectPr>
          <w:headerReference w:type="default" r:id="rId6"/>
          <w:footerReference w:type="default" r:id="rId7"/>
          <w:pgSz w:w="11920" w:h="16850"/>
          <w:pgMar w:top="1440" w:right="1757" w:bottom="1440" w:left="1757" w:header="0" w:footer="765" w:gutter="0"/>
          <w:docGrid w:linePitch="312" w:charSpace="0"/>
        </w:sectPr>
      </w:pPr>
      <w:bookmarkStart w:id="7" w:name="_Toc9774"/>
      <w:bookmarkStart w:id="8" w:name="_Toc10401"/>
      <w:bookmarkStart w:id="9" w:name="_Toc154"/>
      <w:r>
        <w:rPr>
          <w:lang w:eastAsia="zh-CN"/>
        </w:rPr>
        <w:t>2025</w:t>
      </w:r>
      <w:r>
        <w:rPr>
          <w:rFonts w:hint="eastAsia"/>
          <w:lang w:eastAsia="zh-CN"/>
        </w:rPr>
        <w:t>年度部门决算表</w:t>
      </w:r>
      <w:bookmarkEnd w:id="7"/>
      <w:bookmarkEnd w:id="8"/>
      <w:bookmarkEnd w:id="9"/>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sectPr>
          <w:footerReference w:type="default" r:id="rId8"/>
          <w:type w:val="continuous"/>
          <w:pgSz w:w="11920" w:h="16850"/>
          <w:pgMar w:top="1440" w:right="1757" w:bottom="1440" w:left="1757" w:header="0" w:footer="765" w:gutter="0"/>
          <w:docGrid w:linePitch="312" w:charSpace="0"/>
        </w:sectPr>
      </w:pPr>
    </w:p>
    <w:tbl>
      <w:tblPr>
        <w:jc w:val="left"/>
        <w:tblInd w:w="95" w:type="dxa"/>
        <w:tblW w:w="138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24"/>
        <w:gridCol w:w="992"/>
        <w:gridCol w:w="337"/>
        <w:gridCol w:w="1533"/>
        <w:gridCol w:w="3659"/>
        <w:gridCol w:w="263"/>
        <w:gridCol w:w="633"/>
        <w:gridCol w:w="2319"/>
      </w:tblGrid>
      <w:tr>
        <w:trPr>
          <w:trHeight w:val="540"/>
        </w:trPr>
        <w:tc>
          <w:tcPr>
            <w:tcW w:w="13860" w:type="dxa"/>
            <w:gridSpan w:val="8"/>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收入支出决算总表</w:t>
            </w:r>
          </w:p>
        </w:tc>
      </w:tr>
      <w:tr>
        <w:trPr>
          <w:trHeight w:val="285"/>
        </w:trPr>
        <w:tc>
          <w:tcPr>
            <w:tcW w:w="5453" w:type="dxa"/>
            <w:gridSpan w:val="3"/>
            <w:tcBorders>
              <w:top w:val="nil"/>
              <w:left w:val="nil"/>
              <w:bottom w:val="nil"/>
              <w:right w:val="nil"/>
            </w:tcBorders>
            <w:noWrap/>
            <w:vAlign w:val="bottom"/>
          </w:tcPr>
          <w:p>
            <w:pPr>
              <w:widowControl/>
              <w:rPr>
                <w:rFonts w:ascii="宋体" w:cs="宋体"/>
                <w:color w:val="000000"/>
                <w:lang w:eastAsia="zh-CN"/>
              </w:rPr>
            </w:pPr>
          </w:p>
        </w:tc>
        <w:tc>
          <w:tcPr>
            <w:tcW w:w="1533" w:type="dxa"/>
            <w:tcBorders>
              <w:top w:val="nil"/>
              <w:left w:val="nil"/>
              <w:bottom w:val="nil"/>
              <w:right w:val="nil"/>
            </w:tcBorders>
            <w:noWrap/>
            <w:vAlign w:val="bottom"/>
          </w:tcPr>
          <w:p>
            <w:pPr>
              <w:widowControl/>
              <w:rPr>
                <w:rFonts w:ascii="宋体" w:cs="宋体"/>
                <w:color w:val="000000"/>
                <w:lang w:eastAsia="zh-CN"/>
              </w:rPr>
            </w:pPr>
          </w:p>
        </w:tc>
        <w:tc>
          <w:tcPr>
            <w:tcW w:w="3922" w:type="dxa"/>
            <w:gridSpan w:val="2"/>
            <w:tcBorders>
              <w:top w:val="nil"/>
              <w:left w:val="nil"/>
              <w:bottom w:val="nil"/>
              <w:right w:val="nil"/>
            </w:tcBorders>
            <w:noWrap/>
            <w:vAlign w:val="bottom"/>
          </w:tcPr>
          <w:p>
            <w:pPr>
              <w:widowControl/>
              <w:rPr>
                <w:rFonts w:ascii="宋体" w:cs="宋体"/>
                <w:color w:val="000000"/>
                <w:lang w:eastAsia="zh-CN"/>
              </w:rPr>
            </w:pPr>
          </w:p>
        </w:tc>
        <w:tc>
          <w:tcPr>
            <w:tcW w:w="633" w:type="dxa"/>
            <w:tcBorders>
              <w:top w:val="nil"/>
              <w:left w:val="nil"/>
              <w:bottom w:val="nil"/>
              <w:right w:val="nil"/>
            </w:tcBorders>
            <w:noWrap/>
            <w:vAlign w:val="bottom"/>
          </w:tcPr>
          <w:p>
            <w:pPr>
              <w:widowControl/>
              <w:rPr>
                <w:rFonts w:ascii="宋体" w:cs="宋体"/>
                <w:color w:val="000000"/>
                <w:lang w:eastAsia="zh-CN"/>
              </w:rPr>
            </w:pPr>
          </w:p>
        </w:tc>
        <w:tc>
          <w:tcPr>
            <w:tcW w:w="2319"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01</w:t>
            </w:r>
            <w:r>
              <w:rPr>
                <w:rFonts w:ascii="宋体" w:cs="宋体" w:hint="eastAsia"/>
                <w:color w:val="000000"/>
                <w:sz w:val="24"/>
                <w:szCs w:val="24"/>
                <w:lang w:eastAsia="zh-CN"/>
              </w:rPr>
              <w:t>表</w:t>
            </w:r>
          </w:p>
        </w:tc>
      </w:tr>
      <w:tr>
        <w:trPr>
          <w:trHeight w:val="285"/>
        </w:trPr>
        <w:tc>
          <w:tcPr>
            <w:tcW w:w="6986" w:type="dxa"/>
            <w:gridSpan w:val="4"/>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sz w:val="24"/>
                <w:szCs w:val="24"/>
                <w:lang w:eastAsia="zh-CN"/>
              </w:rPr>
              <w:t>编制单位：嵊泗海关综合技术服务中心</w:t>
            </w:r>
          </w:p>
        </w:tc>
        <w:tc>
          <w:tcPr>
            <w:tcW w:w="3922" w:type="dxa"/>
            <w:gridSpan w:val="2"/>
            <w:tcBorders>
              <w:top w:val="nil"/>
              <w:left w:val="nil"/>
              <w:bottom w:val="nil"/>
              <w:right w:val="nil"/>
            </w:tcBorders>
            <w:noWrap/>
            <w:vAlign w:val="center"/>
          </w:tcPr>
          <w:p>
            <w:pPr>
              <w:widowControl/>
              <w:jc w:val="both"/>
              <w:rPr>
                <w:rFonts w:ascii="宋体" w:cs="宋体"/>
                <w:color w:val="000000"/>
                <w:sz w:val="24"/>
                <w:szCs w:val="24"/>
                <w:lang w:eastAsia="zh-CN"/>
              </w:rPr>
            </w:pPr>
            <w:r>
              <w:rPr>
                <w:rFonts w:ascii="宋体" w:cs="宋体"/>
                <w:color w:val="000000"/>
                <w:sz w:val="24"/>
                <w:szCs w:val="24"/>
                <w:lang w:eastAsia="zh-CN"/>
              </w:rPr>
              <w:t>2025</w:t>
            </w:r>
            <w:r>
              <w:rPr>
                <w:rFonts w:ascii="宋体" w:cs="宋体" w:hint="eastAsia"/>
                <w:color w:val="000000"/>
                <w:sz w:val="24"/>
                <w:szCs w:val="24"/>
                <w:lang w:eastAsia="zh-CN"/>
              </w:rPr>
              <w:t>年度</w:t>
            </w:r>
          </w:p>
        </w:tc>
        <w:tc>
          <w:tcPr>
            <w:tcW w:w="633" w:type="dxa"/>
            <w:tcBorders>
              <w:top w:val="nil"/>
              <w:left w:val="nil"/>
              <w:bottom w:val="nil"/>
              <w:right w:val="nil"/>
            </w:tcBorders>
            <w:noWrap/>
            <w:vAlign w:val="bottom"/>
          </w:tcPr>
          <w:p>
            <w:pPr>
              <w:widowControl/>
              <w:rPr>
                <w:rFonts w:ascii="宋体" w:cs="宋体"/>
                <w:color w:val="000000"/>
                <w:lang w:eastAsia="zh-CN"/>
              </w:rPr>
            </w:pPr>
          </w:p>
        </w:tc>
        <w:tc>
          <w:tcPr>
            <w:tcW w:w="2319"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270"/>
        </w:trPr>
        <w:tc>
          <w:tcPr>
            <w:tcW w:w="6986" w:type="dxa"/>
            <w:gridSpan w:val="4"/>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收入</w:t>
            </w:r>
          </w:p>
        </w:tc>
        <w:tc>
          <w:tcPr>
            <w:tcW w:w="6874" w:type="dxa"/>
            <w:gridSpan w:val="4"/>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支出</w:t>
            </w:r>
          </w:p>
        </w:tc>
      </w:tr>
      <w:tr>
        <w:trPr>
          <w:trHeight w:val="270"/>
        </w:trPr>
        <w:tc>
          <w:tcPr>
            <w:tcW w:w="4124" w:type="dxa"/>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项目</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行次</w:t>
            </w:r>
          </w:p>
        </w:tc>
        <w:tc>
          <w:tcPr>
            <w:tcW w:w="1870"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决算数</w:t>
            </w:r>
          </w:p>
        </w:tc>
        <w:tc>
          <w:tcPr>
            <w:tcW w:w="365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项目</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行次</w:t>
            </w:r>
          </w:p>
        </w:tc>
        <w:tc>
          <w:tcPr>
            <w:tcW w:w="231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决算数</w:t>
            </w:r>
          </w:p>
        </w:tc>
      </w:tr>
      <w:tr>
        <w:trPr>
          <w:trHeight w:val="270"/>
        </w:trPr>
        <w:tc>
          <w:tcPr>
            <w:tcW w:w="4124" w:type="dxa"/>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栏次</w:t>
            </w:r>
          </w:p>
        </w:tc>
        <w:tc>
          <w:tcPr>
            <w:tcW w:w="992"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1870"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w:t>
            </w:r>
          </w:p>
        </w:tc>
        <w:tc>
          <w:tcPr>
            <w:tcW w:w="365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栏次</w:t>
            </w:r>
          </w:p>
        </w:tc>
        <w:tc>
          <w:tcPr>
            <w:tcW w:w="896"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231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w:t>
            </w: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一、一般公共预算财政拨款收入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286.52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一、一般公共服务支出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16</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919.74</w:t>
            </w: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二、政府性基金预算财政拨款收入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二、外交支出</w:t>
            </w:r>
            <w:r>
              <w:rPr>
                <w:rFonts w:ascii="宋体" w:cs="宋体"/>
                <w:color w:val="000000"/>
                <w:lang w:eastAsia="zh-CN"/>
              </w:rPr>
              <w:t xml:space="preserve"> </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17</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三、国有资本经营预算财政拨款收入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三、国防支出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18</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四、上级补助收入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4</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四、公共安全支出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19</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五、事业收入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5</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1,027.60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五、教育支出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20</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六、经营收入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6</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六、科学技术支出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21</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七、附属单位上缴收入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7</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七、文化旅游体育与传媒支出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22</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八、其他收入</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8</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2.62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八、社会保障和就业支出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23</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60.36</w:t>
            </w: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9</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九、卫生健康支出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24</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300"/>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　</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10</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十、住房保障支出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25</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sz w:val="24"/>
                <w:szCs w:val="24"/>
                <w:lang w:eastAsia="zh-CN"/>
              </w:rPr>
            </w:pPr>
            <w:r>
              <w:rPr>
                <w:rFonts w:ascii="Arial" w:hAnsi="Arial"/>
                <w:color w:val="000000"/>
                <w:sz w:val="24"/>
                <w:szCs w:val="24"/>
                <w:lang w:eastAsia="zh-CN"/>
              </w:rPr>
              <w:t>58.32</w:t>
            </w: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本年收入合计</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11</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1,777.74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十一、其他支出</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26</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107.50</w:t>
            </w: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使用非财政拨款结余（含专用结余）</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12</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365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本年支出合计</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27</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1,145.91 </w:t>
            </w: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年初结转和结余</w:t>
            </w:r>
            <w:r>
              <w:rPr>
                <w:rFonts w:ascii="宋体" w:cs="宋体"/>
                <w:color w:val="000000"/>
                <w:lang w:eastAsia="zh-CN"/>
              </w:rPr>
              <w:t xml:space="preserve"> </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13</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89.85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结余分配</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28</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278.33 </w:t>
            </w:r>
          </w:p>
        </w:tc>
      </w:tr>
      <w:tr>
        <w:trPr>
          <w:trHeight w:val="159"/>
        </w:trPr>
        <w:tc>
          <w:tcPr>
            <w:tcW w:w="4124"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14</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3659"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年末结转和结余</w:t>
            </w:r>
            <w:r>
              <w:rPr>
                <w:rFonts w:ascii="宋体" w:cs="宋体"/>
                <w:color w:val="000000"/>
                <w:lang w:eastAsia="zh-CN"/>
              </w:rPr>
              <w:t xml:space="preserve"> </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29</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443.35 </w:t>
            </w:r>
          </w:p>
        </w:tc>
      </w:tr>
      <w:tr>
        <w:trPr>
          <w:trHeight w:val="285"/>
        </w:trPr>
        <w:tc>
          <w:tcPr>
            <w:tcW w:w="4124" w:type="dxa"/>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总计</w:t>
            </w:r>
          </w:p>
        </w:tc>
        <w:tc>
          <w:tcPr>
            <w:tcW w:w="99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15</w:t>
            </w:r>
          </w:p>
        </w:tc>
        <w:tc>
          <w:tcPr>
            <w:tcW w:w="1870"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1,867.59 </w:t>
            </w:r>
          </w:p>
        </w:tc>
        <w:tc>
          <w:tcPr>
            <w:tcW w:w="365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总计</w:t>
            </w:r>
          </w:p>
        </w:tc>
        <w:tc>
          <w:tcPr>
            <w:tcW w:w="8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30</w:t>
            </w:r>
          </w:p>
        </w:tc>
        <w:tc>
          <w:tcPr>
            <w:tcW w:w="231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1,867.59 </w:t>
            </w:r>
          </w:p>
        </w:tc>
      </w:tr>
      <w:tr>
        <w:trPr>
          <w:trHeight w:val="270"/>
        </w:trPr>
        <w:tc>
          <w:tcPr>
            <w:tcW w:w="13860" w:type="dxa"/>
            <w:gridSpan w:val="8"/>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lang w:eastAsia="zh-CN"/>
              </w:rPr>
              <w:t>注：</w:t>
            </w:r>
            <w:r>
              <w:rPr>
                <w:rFonts w:ascii="宋体" w:cs="宋体"/>
                <w:color w:val="000000"/>
                <w:lang w:eastAsia="zh-CN"/>
              </w:rPr>
              <w:t>1.</w:t>
            </w:r>
            <w:r>
              <w:rPr>
                <w:rFonts w:ascii="宋体" w:cs="宋体" w:hint="eastAsia"/>
                <w:color w:val="000000"/>
                <w:lang w:eastAsia="zh-CN"/>
              </w:rPr>
              <w:t>本表反映部门本年度的总收支和年末结转结余情况。</w:t>
            </w:r>
          </w:p>
        </w:tc>
      </w:tr>
      <w:tr>
        <w:trPr>
          <w:trHeight w:val="285"/>
        </w:trPr>
        <w:tc>
          <w:tcPr>
            <w:tcW w:w="13860" w:type="dxa"/>
            <w:gridSpan w:val="8"/>
            <w:tcBorders>
              <w:top w:val="nil"/>
              <w:left w:val="nil"/>
              <w:bottom w:val="nil"/>
              <w:right w:val="nil"/>
            </w:tcBorders>
            <w:noWrap/>
            <w:vAlign w:val="center"/>
          </w:tcPr>
          <w:p>
            <w:pPr>
              <w:widowControl/>
              <w:rPr>
                <w:rFonts w:ascii="宋体" w:cs="宋体"/>
                <w:color w:val="000000"/>
                <w:sz w:val="24"/>
                <w:szCs w:val="24"/>
                <w:lang w:eastAsia="zh-CN"/>
              </w:rPr>
            </w:pPr>
            <w:r>
              <w:rPr>
                <w:rFonts w:ascii="宋体" w:cs="宋体"/>
                <w:color w:val="000000"/>
                <w:sz w:val="24"/>
                <w:szCs w:val="24"/>
                <w:lang w:eastAsia="zh-CN"/>
              </w:rPr>
              <w:t>2.</w:t>
            </w:r>
            <w:r>
              <w:rPr>
                <w:rFonts w:ascii="宋体" w:cs="宋体" w:hint="eastAsia"/>
                <w:color w:val="000000"/>
                <w:sz w:val="24"/>
                <w:szCs w:val="24"/>
                <w:lang w:eastAsia="zh-CN"/>
              </w:rPr>
              <w:t>本套报表金额单位转换时可能存在尾数误差。</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tbl>
      <w:tblPr>
        <w:jc w:val="left"/>
        <w:tblInd w:w="95" w:type="dxa"/>
        <w:tblW w:w="146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40"/>
        <w:gridCol w:w="3793"/>
        <w:gridCol w:w="1559"/>
        <w:gridCol w:w="1559"/>
        <w:gridCol w:w="1276"/>
        <w:gridCol w:w="1134"/>
        <w:gridCol w:w="1134"/>
        <w:gridCol w:w="1276"/>
        <w:gridCol w:w="283"/>
        <w:gridCol w:w="1560"/>
      </w:tblGrid>
      <w:tr>
        <w:trPr>
          <w:trHeight w:val="540"/>
        </w:trPr>
        <w:tc>
          <w:tcPr>
            <w:tcW w:w="14614" w:type="dxa"/>
            <w:gridSpan w:val="10"/>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收入决算表</w:t>
            </w:r>
          </w:p>
        </w:tc>
      </w:tr>
      <w:tr>
        <w:trPr>
          <w:trHeight w:val="285"/>
        </w:trPr>
        <w:tc>
          <w:tcPr>
            <w:tcW w:w="4833" w:type="dxa"/>
            <w:gridSpan w:val="2"/>
            <w:tcBorders>
              <w:top w:val="nil"/>
              <w:left w:val="nil"/>
              <w:bottom w:val="nil"/>
              <w:right w:val="nil"/>
            </w:tcBorders>
            <w:noWrap/>
            <w:vAlign w:val="bottom"/>
          </w:tcPr>
          <w:p>
            <w:pPr>
              <w:widowControl/>
              <w:rPr>
                <w:rFonts w:ascii="宋体" w:cs="宋体"/>
                <w:color w:val="000000"/>
                <w:lang w:eastAsia="zh-CN"/>
              </w:rPr>
            </w:pPr>
          </w:p>
        </w:tc>
        <w:tc>
          <w:tcPr>
            <w:tcW w:w="1559" w:type="dxa"/>
            <w:tcBorders>
              <w:top w:val="nil"/>
              <w:left w:val="nil"/>
              <w:bottom w:val="nil"/>
              <w:right w:val="nil"/>
            </w:tcBorders>
            <w:noWrap/>
            <w:vAlign w:val="bottom"/>
          </w:tcPr>
          <w:p>
            <w:pPr>
              <w:widowControl/>
              <w:rPr>
                <w:rFonts w:ascii="宋体" w:cs="宋体"/>
                <w:color w:val="000000"/>
                <w:lang w:eastAsia="zh-CN"/>
              </w:rPr>
            </w:pPr>
          </w:p>
        </w:tc>
        <w:tc>
          <w:tcPr>
            <w:tcW w:w="1559" w:type="dxa"/>
            <w:tcBorders>
              <w:top w:val="nil"/>
              <w:left w:val="nil"/>
              <w:bottom w:val="nil"/>
              <w:right w:val="nil"/>
            </w:tcBorders>
            <w:noWrap/>
            <w:vAlign w:val="bottom"/>
          </w:tcPr>
          <w:p>
            <w:pPr>
              <w:widowControl/>
              <w:jc w:val="right"/>
              <w:rPr>
                <w:rFonts w:ascii="宋体" w:cs="宋体"/>
                <w:color w:val="000000"/>
                <w:lang w:eastAsia="zh-CN"/>
              </w:rPr>
            </w:pPr>
          </w:p>
        </w:tc>
        <w:tc>
          <w:tcPr>
            <w:tcW w:w="1276" w:type="dxa"/>
            <w:tcBorders>
              <w:top w:val="nil"/>
              <w:left w:val="nil"/>
              <w:bottom w:val="nil"/>
              <w:right w:val="nil"/>
            </w:tcBorders>
            <w:noWrap/>
            <w:vAlign w:val="bottom"/>
          </w:tcPr>
          <w:p>
            <w:pPr>
              <w:widowControl/>
              <w:rPr>
                <w:rFonts w:ascii="宋体" w:cs="宋体"/>
                <w:color w:val="000000"/>
                <w:lang w:eastAsia="zh-CN"/>
              </w:rPr>
            </w:pPr>
          </w:p>
        </w:tc>
        <w:tc>
          <w:tcPr>
            <w:tcW w:w="1134" w:type="dxa"/>
            <w:tcBorders>
              <w:top w:val="nil"/>
              <w:left w:val="nil"/>
              <w:bottom w:val="nil"/>
              <w:right w:val="nil"/>
            </w:tcBorders>
            <w:noWrap/>
            <w:vAlign w:val="bottom"/>
          </w:tcPr>
          <w:p>
            <w:pPr>
              <w:widowControl/>
              <w:rPr>
                <w:rFonts w:ascii="宋体" w:cs="宋体"/>
                <w:color w:val="000000"/>
                <w:lang w:eastAsia="zh-CN"/>
              </w:rPr>
            </w:pPr>
          </w:p>
        </w:tc>
        <w:tc>
          <w:tcPr>
            <w:tcW w:w="1134" w:type="dxa"/>
            <w:tcBorders>
              <w:top w:val="nil"/>
              <w:left w:val="nil"/>
              <w:bottom w:val="nil"/>
              <w:right w:val="nil"/>
            </w:tcBorders>
            <w:noWrap/>
            <w:vAlign w:val="bottom"/>
          </w:tcPr>
          <w:p>
            <w:pPr>
              <w:widowControl/>
              <w:rPr>
                <w:rFonts w:ascii="宋体" w:cs="宋体"/>
                <w:color w:val="000000"/>
                <w:lang w:eastAsia="zh-CN"/>
              </w:rPr>
            </w:pPr>
          </w:p>
        </w:tc>
        <w:tc>
          <w:tcPr>
            <w:tcW w:w="1276" w:type="dxa"/>
            <w:tcBorders>
              <w:top w:val="nil"/>
              <w:left w:val="nil"/>
              <w:bottom w:val="nil"/>
              <w:right w:val="nil"/>
            </w:tcBorders>
            <w:noWrap/>
            <w:vAlign w:val="bottom"/>
          </w:tcPr>
          <w:p>
            <w:pPr>
              <w:widowControl/>
              <w:rPr>
                <w:rFonts w:ascii="宋体" w:cs="宋体"/>
                <w:color w:val="000000"/>
                <w:lang w:eastAsia="zh-CN"/>
              </w:rPr>
            </w:pPr>
          </w:p>
        </w:tc>
        <w:tc>
          <w:tcPr>
            <w:tcW w:w="1843" w:type="dxa"/>
            <w:gridSpan w:val="2"/>
            <w:tcBorders>
              <w:top w:val="nil"/>
              <w:left w:val="nil"/>
              <w:bottom w:val="nil"/>
              <w:right w:val="nil"/>
            </w:tcBorders>
            <w:noWrap/>
            <w:vAlign w:val="center"/>
          </w:tcPr>
          <w:p>
            <w:pPr>
              <w:widowControl/>
              <w:ind w:right="120"/>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02</w:t>
            </w:r>
            <w:r>
              <w:rPr>
                <w:rFonts w:ascii="宋体" w:cs="宋体" w:hint="eastAsia"/>
                <w:color w:val="000000"/>
                <w:sz w:val="24"/>
                <w:szCs w:val="24"/>
                <w:lang w:eastAsia="zh-CN"/>
              </w:rPr>
              <w:t>表</w:t>
            </w:r>
          </w:p>
        </w:tc>
      </w:tr>
      <w:tr>
        <w:trPr>
          <w:trHeight w:val="285"/>
        </w:trPr>
        <w:tc>
          <w:tcPr>
            <w:tcW w:w="6392" w:type="dxa"/>
            <w:gridSpan w:val="3"/>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sz w:val="24"/>
                <w:szCs w:val="24"/>
                <w:lang w:eastAsia="zh-CN"/>
              </w:rPr>
              <w:t>编制单位：嵊泗海关综合技术服务中心</w:t>
            </w:r>
          </w:p>
        </w:tc>
        <w:tc>
          <w:tcPr>
            <w:tcW w:w="1559" w:type="dxa"/>
            <w:tcBorders>
              <w:top w:val="nil"/>
              <w:left w:val="nil"/>
              <w:bottom w:val="nil"/>
              <w:right w:val="nil"/>
            </w:tcBorders>
            <w:noWrap/>
            <w:vAlign w:val="bottom"/>
          </w:tcPr>
          <w:p>
            <w:pPr>
              <w:widowControl/>
              <w:jc w:val="right"/>
              <w:rPr>
                <w:rFonts w:ascii="宋体" w:cs="宋体"/>
                <w:color w:val="000000"/>
                <w:lang w:eastAsia="zh-CN"/>
              </w:rPr>
            </w:pPr>
            <w:r>
              <w:rPr>
                <w:rFonts w:ascii="宋体" w:cs="宋体"/>
                <w:color w:val="000000"/>
                <w:sz w:val="24"/>
                <w:szCs w:val="24"/>
                <w:lang w:eastAsia="zh-CN"/>
              </w:rPr>
              <w:t>2025</w:t>
            </w:r>
            <w:r>
              <w:rPr>
                <w:rFonts w:ascii="宋体" w:cs="宋体" w:hint="eastAsia"/>
                <w:color w:val="000000"/>
                <w:sz w:val="24"/>
                <w:szCs w:val="24"/>
                <w:lang w:eastAsia="zh-CN"/>
              </w:rPr>
              <w:t>年度</w:t>
            </w:r>
          </w:p>
        </w:tc>
        <w:tc>
          <w:tcPr>
            <w:tcW w:w="1276" w:type="dxa"/>
            <w:tcBorders>
              <w:top w:val="nil"/>
              <w:left w:val="nil"/>
              <w:bottom w:val="nil"/>
              <w:right w:val="nil"/>
            </w:tcBorders>
            <w:noWrap/>
            <w:vAlign w:val="center"/>
          </w:tcPr>
          <w:p>
            <w:pPr>
              <w:widowControl/>
              <w:jc w:val="center"/>
              <w:rPr>
                <w:rFonts w:ascii="宋体" w:cs="宋体"/>
                <w:color w:val="000000"/>
                <w:sz w:val="24"/>
                <w:szCs w:val="24"/>
                <w:lang w:eastAsia="zh-CN"/>
              </w:rPr>
            </w:pPr>
          </w:p>
        </w:tc>
        <w:tc>
          <w:tcPr>
            <w:tcW w:w="1134" w:type="dxa"/>
            <w:tcBorders>
              <w:top w:val="nil"/>
              <w:left w:val="nil"/>
              <w:bottom w:val="nil"/>
              <w:right w:val="nil"/>
            </w:tcBorders>
            <w:noWrap/>
            <w:vAlign w:val="bottom"/>
          </w:tcPr>
          <w:p>
            <w:pPr>
              <w:widowControl/>
              <w:rPr>
                <w:rFonts w:ascii="宋体" w:cs="宋体"/>
                <w:color w:val="000000"/>
                <w:lang w:eastAsia="zh-CN"/>
              </w:rPr>
            </w:pPr>
          </w:p>
        </w:tc>
        <w:tc>
          <w:tcPr>
            <w:tcW w:w="1134" w:type="dxa"/>
            <w:tcBorders>
              <w:top w:val="nil"/>
              <w:left w:val="nil"/>
              <w:bottom w:val="nil"/>
              <w:right w:val="nil"/>
            </w:tcBorders>
            <w:noWrap/>
            <w:vAlign w:val="bottom"/>
          </w:tcPr>
          <w:p>
            <w:pPr>
              <w:widowControl/>
              <w:rPr>
                <w:rFonts w:ascii="宋体" w:cs="宋体"/>
                <w:color w:val="000000"/>
                <w:lang w:eastAsia="zh-CN"/>
              </w:rPr>
            </w:pPr>
          </w:p>
        </w:tc>
        <w:tc>
          <w:tcPr>
            <w:tcW w:w="3119" w:type="dxa"/>
            <w:gridSpan w:val="3"/>
            <w:tcBorders>
              <w:top w:val="nil"/>
              <w:left w:val="nil"/>
              <w:bottom w:val="nil"/>
              <w:right w:val="nil"/>
            </w:tcBorders>
            <w:noWrap/>
            <w:vAlign w:val="bottom"/>
          </w:tcPr>
          <w:p>
            <w:pPr>
              <w:widowControl/>
              <w:jc w:val="right"/>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270"/>
        </w:trPr>
        <w:tc>
          <w:tcPr>
            <w:tcW w:w="4833" w:type="dxa"/>
            <w:gridSpan w:val="2"/>
            <w:tcBorders>
              <w:top w:val="single" w:sz="4" w:space="0" w:color="000000"/>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项目</w:t>
            </w:r>
          </w:p>
        </w:tc>
        <w:tc>
          <w:tcPr>
            <w:tcW w:w="1559"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本年收入合计</w:t>
            </w:r>
          </w:p>
        </w:tc>
        <w:tc>
          <w:tcPr>
            <w:tcW w:w="1559"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财政拨款收入</w:t>
            </w:r>
            <w:r>
              <w:rPr>
                <w:rFonts w:ascii="宋体" w:cs="宋体"/>
                <w:color w:val="000000"/>
                <w:lang w:eastAsia="zh-CN"/>
              </w:rPr>
              <w:t xml:space="preserve"> </w:t>
            </w:r>
          </w:p>
        </w:tc>
        <w:tc>
          <w:tcPr>
            <w:tcW w:w="1276"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上级补助收入</w:t>
            </w:r>
          </w:p>
        </w:tc>
        <w:tc>
          <w:tcPr>
            <w:tcW w:w="1134"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事业收入</w:t>
            </w:r>
          </w:p>
        </w:tc>
        <w:tc>
          <w:tcPr>
            <w:tcW w:w="1134"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经营收入</w:t>
            </w:r>
          </w:p>
        </w:tc>
        <w:tc>
          <w:tcPr>
            <w:tcW w:w="1559" w:type="dxa"/>
            <w:gridSpan w:val="2"/>
            <w:vMerge w:val="restart"/>
            <w:tcBorders>
              <w:top w:val="single" w:sz="4" w:space="0" w:color="000000"/>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附属单位上缴收入</w:t>
            </w:r>
          </w:p>
        </w:tc>
        <w:tc>
          <w:tcPr>
            <w:tcW w:w="1560"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其他收入</w:t>
            </w:r>
          </w:p>
        </w:tc>
      </w:tr>
      <w:tr>
        <w:trPr>
          <w:trHeight w:val="285"/>
        </w:trPr>
        <w:tc>
          <w:tcPr>
            <w:tcW w:w="1040" w:type="dxa"/>
            <w:vMerge w:val="restart"/>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3793"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1559" w:type="dxa"/>
            <w:vMerge/>
            <w:tcBorders>
              <w:top w:val="single" w:sz="4" w:space="0" w:color="000000"/>
              <w:left w:val="nil"/>
              <w:bottom w:val="single" w:sz="4" w:space="0" w:color="000000"/>
              <w:right w:val="single" w:sz="4" w:space="0" w:color="000000"/>
            </w:tcBorders>
            <w:vAlign w:val="center"/>
          </w:tcPr>
          <w:p/>
        </w:tc>
        <w:tc>
          <w:tcPr>
            <w:tcW w:w="1559" w:type="dxa"/>
            <w:vMerge/>
            <w:tcBorders>
              <w:top w:val="single" w:sz="4" w:space="0" w:color="000000"/>
              <w:left w:val="nil"/>
              <w:bottom w:val="single" w:sz="4" w:space="0" w:color="000000"/>
              <w:right w:val="single" w:sz="4" w:space="0" w:color="000000"/>
            </w:tcBorders>
            <w:vAlign w:val="center"/>
          </w:tcPr>
          <w:p/>
        </w:tc>
        <w:tc>
          <w:tcPr>
            <w:tcW w:w="1276"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1560" w:type="dxa"/>
            <w:vMerge/>
            <w:tcBorders>
              <w:top w:val="single" w:sz="4" w:space="0" w:color="000000"/>
              <w:left w:val="nil"/>
              <w:bottom w:val="single" w:sz="4" w:space="0" w:color="000000"/>
              <w:right w:val="single" w:sz="4" w:space="0" w:color="000000"/>
            </w:tcBorders>
            <w:vAlign w:val="center"/>
          </w:tcPr>
          <w:p/>
        </w:tc>
      </w:tr>
      <w:tr>
        <w:trPr>
          <w:trHeight w:val="285"/>
        </w:trPr>
        <w:tc>
          <w:tcPr>
            <w:tcW w:w="1040" w:type="dxa"/>
            <w:vMerge/>
            <w:tcBorders>
              <w:top w:val="nil"/>
              <w:left w:val="single" w:sz="4" w:space="0" w:color="000000"/>
              <w:bottom w:val="single" w:sz="4" w:space="0" w:color="000000"/>
              <w:right w:val="single" w:sz="4" w:space="0" w:color="000000"/>
            </w:tcBorders>
            <w:vAlign w:val="center"/>
          </w:tcPr>
          <w:p/>
        </w:tc>
        <w:tc>
          <w:tcPr>
            <w:tcW w:w="3793" w:type="dxa"/>
            <w:vMerge/>
            <w:tcBorders>
              <w:top w:val="nil"/>
              <w:left w:val="nil"/>
              <w:bottom w:val="single" w:sz="4" w:space="0" w:color="000000"/>
              <w:right w:val="single" w:sz="4" w:space="0" w:color="000000"/>
            </w:tcBorders>
            <w:vAlign w:val="center"/>
          </w:tcPr>
          <w:p/>
        </w:tc>
        <w:tc>
          <w:tcPr>
            <w:tcW w:w="1559" w:type="dxa"/>
            <w:vMerge/>
            <w:tcBorders>
              <w:top w:val="single" w:sz="4" w:space="0" w:color="000000"/>
              <w:left w:val="nil"/>
              <w:bottom w:val="single" w:sz="4" w:space="0" w:color="000000"/>
              <w:right w:val="single" w:sz="4" w:space="0" w:color="000000"/>
            </w:tcBorders>
            <w:vAlign w:val="center"/>
          </w:tcPr>
          <w:p/>
        </w:tc>
        <w:tc>
          <w:tcPr>
            <w:tcW w:w="1559" w:type="dxa"/>
            <w:vMerge/>
            <w:tcBorders>
              <w:top w:val="single" w:sz="4" w:space="0" w:color="000000"/>
              <w:left w:val="nil"/>
              <w:bottom w:val="single" w:sz="4" w:space="0" w:color="000000"/>
              <w:right w:val="single" w:sz="4" w:space="0" w:color="000000"/>
            </w:tcBorders>
            <w:vAlign w:val="center"/>
          </w:tcPr>
          <w:p/>
        </w:tc>
        <w:tc>
          <w:tcPr>
            <w:tcW w:w="1276"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tcPr>
          <w:p/>
        </w:tc>
        <w:tc>
          <w:tcPr>
            <w:tcW w:w="1560" w:type="dxa"/>
            <w:vMerge/>
            <w:tcBorders>
              <w:top w:val="single" w:sz="4" w:space="0" w:color="000000"/>
              <w:left w:val="nil"/>
              <w:bottom w:val="single" w:sz="4" w:space="0" w:color="000000"/>
              <w:right w:val="single" w:sz="4" w:space="0" w:color="000000"/>
            </w:tcBorders>
            <w:vAlign w:val="center"/>
          </w:tcPr>
          <w:p/>
        </w:tc>
      </w:tr>
      <w:tr>
        <w:trPr>
          <w:trHeight w:val="269"/>
        </w:trPr>
        <w:tc>
          <w:tcPr>
            <w:tcW w:w="4833" w:type="dxa"/>
            <w:gridSpan w:val="2"/>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栏次</w:t>
            </w:r>
          </w:p>
        </w:tc>
        <w:tc>
          <w:tcPr>
            <w:tcW w:w="155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w:t>
            </w:r>
          </w:p>
        </w:tc>
        <w:tc>
          <w:tcPr>
            <w:tcW w:w="155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w:t>
            </w:r>
          </w:p>
        </w:tc>
        <w:tc>
          <w:tcPr>
            <w:tcW w:w="127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w:t>
            </w:r>
          </w:p>
        </w:tc>
        <w:tc>
          <w:tcPr>
            <w:tcW w:w="1134"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4</w:t>
            </w:r>
          </w:p>
        </w:tc>
        <w:tc>
          <w:tcPr>
            <w:tcW w:w="1134"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5</w:t>
            </w:r>
          </w:p>
        </w:tc>
        <w:tc>
          <w:tcPr>
            <w:tcW w:w="1559"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6</w:t>
            </w:r>
          </w:p>
        </w:tc>
        <w:tc>
          <w:tcPr>
            <w:tcW w:w="1560"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7</w:t>
            </w:r>
          </w:p>
        </w:tc>
      </w:tr>
      <w:tr>
        <w:trPr>
          <w:trHeight w:val="285"/>
        </w:trPr>
        <w:tc>
          <w:tcPr>
            <w:tcW w:w="4833" w:type="dxa"/>
            <w:gridSpan w:val="2"/>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155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1,777.74 </w:t>
            </w:r>
          </w:p>
        </w:tc>
        <w:tc>
          <w:tcPr>
            <w:tcW w:w="155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747.52 </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1,027.60 </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2.62 </w:t>
            </w: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一般公共服务支出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1,198.07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269.01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926.44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2.62 </w:t>
            </w:r>
          </w:p>
        </w:tc>
      </w:tr>
      <w:tr>
        <w:trPr>
          <w:trHeight w:val="285"/>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海关事务</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1,198.07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269.01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926.44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2.62 </w:t>
            </w:r>
          </w:p>
        </w:tc>
      </w:tr>
      <w:tr>
        <w:trPr>
          <w:trHeight w:val="285"/>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2010909</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海关关务</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78.00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78.00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4"/>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2010912</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检验检疫</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47.81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47.81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5"/>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2010950</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事业运行</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1,072.26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143.20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926.44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2.62 </w:t>
            </w: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208</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社会保障和就业支出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20805</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行政事业单位养老支出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2080505</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机关事业单位基本养老保险缴费支出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40.24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40.24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2080506</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机关事业单位职业年金缴费支出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20.12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20.12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221</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住房保障支出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58.32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40.81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22102</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住房改革支出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58.32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40.81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2210201</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住房公积金</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32.20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14.69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2210203</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购房补贴</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26.12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26.12 </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229</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其他支出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22998</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超长期特别国债安排的其他支出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2299899</w:t>
            </w:r>
          </w:p>
        </w:tc>
        <w:tc>
          <w:tcPr>
            <w:tcW w:w="3793"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其他支出</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59"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60"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70"/>
        </w:trPr>
        <w:tc>
          <w:tcPr>
            <w:tcW w:w="14614" w:type="dxa"/>
            <w:gridSpan w:val="10"/>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lang w:eastAsia="zh-CN"/>
              </w:rPr>
              <w:t>注：本表反映部门本年度取得的各项收入情况。</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tbl>
      <w:tblPr>
        <w:jc w:val="left"/>
        <w:tblInd w:w="95" w:type="dxa"/>
        <w:tblW w:w="148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87"/>
        <w:gridCol w:w="399"/>
        <w:gridCol w:w="237"/>
        <w:gridCol w:w="3752"/>
        <w:gridCol w:w="1984"/>
        <w:gridCol w:w="1701"/>
        <w:gridCol w:w="299"/>
        <w:gridCol w:w="1402"/>
        <w:gridCol w:w="1642"/>
        <w:gridCol w:w="1507"/>
        <w:gridCol w:w="1331"/>
      </w:tblGrid>
      <w:tr>
        <w:trPr>
          <w:trHeight w:val="540"/>
        </w:trPr>
        <w:tc>
          <w:tcPr>
            <w:tcW w:w="14841" w:type="dxa"/>
            <w:gridSpan w:val="11"/>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支出决算表</w:t>
            </w:r>
          </w:p>
        </w:tc>
      </w:tr>
      <w:tr>
        <w:trPr>
          <w:trHeight w:val="285"/>
        </w:trPr>
        <w:tc>
          <w:tcPr>
            <w:tcW w:w="587" w:type="dxa"/>
            <w:tcBorders>
              <w:top w:val="nil"/>
              <w:left w:val="nil"/>
              <w:bottom w:val="nil"/>
              <w:right w:val="nil"/>
            </w:tcBorders>
            <w:noWrap/>
            <w:vAlign w:val="bottom"/>
          </w:tcPr>
          <w:p>
            <w:pPr>
              <w:widowControl/>
              <w:rPr>
                <w:rFonts w:ascii="宋体" w:cs="宋体"/>
                <w:color w:val="000000"/>
                <w:lang w:eastAsia="zh-CN"/>
              </w:rPr>
            </w:pPr>
          </w:p>
        </w:tc>
        <w:tc>
          <w:tcPr>
            <w:tcW w:w="399" w:type="dxa"/>
            <w:tcBorders>
              <w:top w:val="nil"/>
              <w:left w:val="nil"/>
              <w:bottom w:val="nil"/>
              <w:right w:val="nil"/>
            </w:tcBorders>
            <w:noWrap/>
            <w:vAlign w:val="bottom"/>
          </w:tcPr>
          <w:p>
            <w:pPr>
              <w:widowControl/>
              <w:rPr>
                <w:rFonts w:ascii="宋体" w:cs="宋体"/>
                <w:color w:val="000000"/>
                <w:lang w:eastAsia="zh-CN"/>
              </w:rPr>
            </w:pPr>
          </w:p>
        </w:tc>
        <w:tc>
          <w:tcPr>
            <w:tcW w:w="3989" w:type="dxa"/>
            <w:gridSpan w:val="2"/>
            <w:tcBorders>
              <w:top w:val="nil"/>
              <w:left w:val="nil"/>
              <w:bottom w:val="nil"/>
              <w:right w:val="nil"/>
            </w:tcBorders>
            <w:noWrap/>
            <w:vAlign w:val="bottom"/>
          </w:tcPr>
          <w:p>
            <w:pPr>
              <w:widowControl/>
              <w:rPr>
                <w:rFonts w:ascii="宋体" w:cs="宋体"/>
                <w:color w:val="000000"/>
                <w:lang w:eastAsia="zh-CN"/>
              </w:rPr>
            </w:pPr>
          </w:p>
        </w:tc>
        <w:tc>
          <w:tcPr>
            <w:tcW w:w="1984" w:type="dxa"/>
            <w:tcBorders>
              <w:top w:val="nil"/>
              <w:left w:val="nil"/>
              <w:bottom w:val="nil"/>
              <w:right w:val="nil"/>
            </w:tcBorders>
            <w:noWrap/>
            <w:vAlign w:val="bottom"/>
          </w:tcPr>
          <w:p>
            <w:pPr>
              <w:widowControl/>
              <w:rPr>
                <w:rFonts w:ascii="宋体" w:cs="宋体"/>
                <w:color w:val="000000"/>
                <w:lang w:eastAsia="zh-CN"/>
              </w:rPr>
            </w:pPr>
          </w:p>
        </w:tc>
        <w:tc>
          <w:tcPr>
            <w:tcW w:w="2000" w:type="dxa"/>
            <w:gridSpan w:val="2"/>
            <w:tcBorders>
              <w:top w:val="nil"/>
              <w:left w:val="nil"/>
              <w:bottom w:val="nil"/>
              <w:right w:val="nil"/>
            </w:tcBorders>
            <w:noWrap/>
            <w:vAlign w:val="bottom"/>
          </w:tcPr>
          <w:p>
            <w:pPr>
              <w:widowControl/>
              <w:rPr>
                <w:rFonts w:ascii="宋体" w:cs="宋体"/>
                <w:color w:val="000000"/>
                <w:lang w:eastAsia="zh-CN"/>
              </w:rPr>
            </w:pPr>
          </w:p>
        </w:tc>
        <w:tc>
          <w:tcPr>
            <w:tcW w:w="1402" w:type="dxa"/>
            <w:tcBorders>
              <w:top w:val="nil"/>
              <w:left w:val="nil"/>
              <w:bottom w:val="nil"/>
              <w:right w:val="nil"/>
            </w:tcBorders>
            <w:noWrap/>
            <w:vAlign w:val="bottom"/>
          </w:tcPr>
          <w:p>
            <w:pPr>
              <w:widowControl/>
              <w:rPr>
                <w:rFonts w:ascii="宋体" w:cs="宋体"/>
                <w:color w:val="000000"/>
                <w:lang w:eastAsia="zh-CN"/>
              </w:rPr>
            </w:pPr>
          </w:p>
        </w:tc>
        <w:tc>
          <w:tcPr>
            <w:tcW w:w="1642" w:type="dxa"/>
            <w:tcBorders>
              <w:top w:val="nil"/>
              <w:left w:val="nil"/>
              <w:bottom w:val="nil"/>
              <w:right w:val="nil"/>
            </w:tcBorders>
            <w:noWrap/>
            <w:vAlign w:val="bottom"/>
          </w:tcPr>
          <w:p>
            <w:pPr>
              <w:widowControl/>
              <w:rPr>
                <w:rFonts w:ascii="宋体" w:cs="宋体"/>
                <w:color w:val="000000"/>
                <w:lang w:eastAsia="zh-CN"/>
              </w:rPr>
            </w:pPr>
          </w:p>
        </w:tc>
        <w:tc>
          <w:tcPr>
            <w:tcW w:w="2838" w:type="dxa"/>
            <w:gridSpan w:val="2"/>
            <w:tcBorders>
              <w:top w:val="nil"/>
              <w:left w:val="nil"/>
              <w:bottom w:val="nil"/>
              <w:right w:val="nil"/>
            </w:tcBorders>
            <w:noWrap/>
            <w:vAlign w:val="center"/>
          </w:tcPr>
          <w:p>
            <w:pPr>
              <w:widowControl/>
              <w:jc w:val="center"/>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03</w:t>
            </w:r>
            <w:r>
              <w:rPr>
                <w:rFonts w:ascii="宋体" w:cs="宋体" w:hint="eastAsia"/>
                <w:color w:val="000000"/>
                <w:sz w:val="24"/>
                <w:szCs w:val="24"/>
                <w:lang w:eastAsia="zh-CN"/>
              </w:rPr>
              <w:t>表</w:t>
            </w:r>
          </w:p>
        </w:tc>
      </w:tr>
      <w:tr>
        <w:trPr>
          <w:trHeight w:val="285"/>
        </w:trPr>
        <w:tc>
          <w:tcPr>
            <w:tcW w:w="4975" w:type="dxa"/>
            <w:gridSpan w:val="4"/>
            <w:tcBorders>
              <w:top w:val="nil"/>
              <w:left w:val="nil"/>
              <w:bottom w:val="single" w:sz="4" w:space="0" w:color="000000"/>
              <w:right w:val="nil"/>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编制单位：嵊泗海关综合技术服务中心</w:t>
            </w:r>
          </w:p>
        </w:tc>
        <w:tc>
          <w:tcPr>
            <w:tcW w:w="1984" w:type="dxa"/>
            <w:tcBorders>
              <w:top w:val="nil"/>
              <w:left w:val="nil"/>
              <w:bottom w:val="nil"/>
              <w:right w:val="nil"/>
            </w:tcBorders>
            <w:noWrap/>
            <w:vAlign w:val="bottom"/>
          </w:tcPr>
          <w:p>
            <w:pPr>
              <w:widowControl/>
              <w:rPr>
                <w:rFonts w:ascii="宋体" w:cs="宋体"/>
                <w:color w:val="000000"/>
                <w:lang w:eastAsia="zh-CN"/>
              </w:rPr>
            </w:pPr>
          </w:p>
        </w:tc>
        <w:tc>
          <w:tcPr>
            <w:tcW w:w="3402" w:type="dxa"/>
            <w:gridSpan w:val="3"/>
            <w:tcBorders>
              <w:top w:val="nil"/>
              <w:left w:val="nil"/>
              <w:bottom w:val="single" w:sz="4" w:space="0" w:color="000000"/>
              <w:right w:val="nil"/>
            </w:tcBorders>
            <w:noWrap/>
            <w:vAlign w:val="center"/>
          </w:tcPr>
          <w:p>
            <w:pPr>
              <w:widowControl/>
              <w:jc w:val="both"/>
              <w:rPr>
                <w:rFonts w:ascii="宋体" w:cs="宋体"/>
                <w:color w:val="000000"/>
                <w:sz w:val="24"/>
                <w:szCs w:val="24"/>
                <w:lang w:eastAsia="zh-CN"/>
              </w:rPr>
            </w:pPr>
            <w:r>
              <w:rPr>
                <w:rFonts w:ascii="宋体" w:cs="宋体"/>
                <w:color w:val="000000"/>
                <w:sz w:val="24"/>
                <w:szCs w:val="24"/>
                <w:lang w:eastAsia="zh-CN"/>
              </w:rPr>
              <w:t>2025</w:t>
            </w:r>
            <w:r>
              <w:rPr>
                <w:rFonts w:ascii="宋体" w:cs="宋体" w:hint="eastAsia"/>
                <w:color w:val="000000"/>
                <w:sz w:val="24"/>
                <w:szCs w:val="24"/>
                <w:lang w:eastAsia="zh-CN"/>
              </w:rPr>
              <w:t>度</w:t>
            </w:r>
          </w:p>
        </w:tc>
        <w:tc>
          <w:tcPr>
            <w:tcW w:w="1642" w:type="dxa"/>
            <w:tcBorders>
              <w:top w:val="nil"/>
              <w:left w:val="nil"/>
              <w:bottom w:val="nil"/>
              <w:right w:val="nil"/>
            </w:tcBorders>
            <w:noWrap/>
            <w:vAlign w:val="bottom"/>
          </w:tcPr>
          <w:p>
            <w:pPr>
              <w:widowControl/>
              <w:rPr>
                <w:rFonts w:ascii="宋体" w:cs="宋体"/>
                <w:color w:val="000000"/>
                <w:lang w:eastAsia="zh-CN"/>
              </w:rPr>
            </w:pPr>
          </w:p>
        </w:tc>
        <w:tc>
          <w:tcPr>
            <w:tcW w:w="2838" w:type="dxa"/>
            <w:gridSpan w:val="2"/>
            <w:tcBorders>
              <w:top w:val="nil"/>
              <w:left w:val="nil"/>
              <w:bottom w:val="single" w:sz="4" w:space="0" w:color="000000"/>
              <w:right w:val="nil"/>
            </w:tcBorders>
            <w:noWrap/>
            <w:vAlign w:val="center"/>
          </w:tcPr>
          <w:p>
            <w:pPr>
              <w:widowControl/>
              <w:jc w:val="center"/>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20"/>
        </w:trPr>
        <w:tc>
          <w:tcPr>
            <w:tcW w:w="4975" w:type="dxa"/>
            <w:gridSpan w:val="4"/>
            <w:tcBorders>
              <w:top w:val="single" w:sz="4" w:space="0" w:color="000000"/>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项目</w:t>
            </w:r>
          </w:p>
        </w:tc>
        <w:tc>
          <w:tcPr>
            <w:tcW w:w="1984"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本年支出合计</w:t>
            </w:r>
          </w:p>
        </w:tc>
        <w:tc>
          <w:tcPr>
            <w:tcW w:w="1701"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基本支出</w:t>
            </w:r>
          </w:p>
        </w:tc>
        <w:tc>
          <w:tcPr>
            <w:tcW w:w="1701" w:type="dxa"/>
            <w:gridSpan w:val="2"/>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项目支出</w:t>
            </w:r>
          </w:p>
        </w:tc>
        <w:tc>
          <w:tcPr>
            <w:tcW w:w="1642" w:type="dxa"/>
            <w:vMerge w:val="restart"/>
            <w:tcBorders>
              <w:top w:val="single" w:sz="4" w:space="0" w:color="000000"/>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上缴上级支出</w:t>
            </w:r>
          </w:p>
        </w:tc>
        <w:tc>
          <w:tcPr>
            <w:tcW w:w="1507"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经营支出</w:t>
            </w:r>
          </w:p>
        </w:tc>
        <w:tc>
          <w:tcPr>
            <w:tcW w:w="1331"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对附属单位补助支出</w:t>
            </w:r>
          </w:p>
        </w:tc>
      </w:tr>
      <w:tr>
        <w:trPr>
          <w:trHeight w:val="285"/>
        </w:trPr>
        <w:tc>
          <w:tcPr>
            <w:tcW w:w="1223" w:type="dxa"/>
            <w:gridSpan w:val="3"/>
            <w:vMerge w:val="restart"/>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3752"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1984" w:type="dxa"/>
            <w:vMerge/>
            <w:tcBorders>
              <w:top w:val="single" w:sz="4" w:space="0" w:color="000000"/>
              <w:left w:val="nil"/>
              <w:bottom w:val="single" w:sz="4" w:space="0" w:color="000000"/>
              <w:right w:val="single" w:sz="4" w:space="0" w:color="000000"/>
            </w:tcBorders>
            <w:vAlign w:val="center"/>
          </w:tcPr>
          <w:p/>
        </w:tc>
        <w:tc>
          <w:tcPr>
            <w:tcW w:w="1701" w:type="dxa"/>
            <w:vMerge/>
            <w:tcBorders>
              <w:top w:val="nil"/>
              <w:left w:val="nil"/>
              <w:bottom w:val="single" w:sz="4" w:space="0" w:color="000000"/>
              <w:right w:val="single" w:sz="4" w:space="0" w:color="000000"/>
            </w:tcBorders>
            <w:vAlign w:val="center"/>
          </w:tcPr>
          <w:p/>
        </w:tc>
        <w:tc>
          <w:tcPr>
            <w:tcW w:w="1701" w:type="dxa"/>
            <w:gridSpan w:val="2"/>
            <w:vMerge/>
            <w:tcBorders>
              <w:top w:val="nil"/>
              <w:left w:val="nil"/>
              <w:bottom w:val="single" w:sz="4" w:space="0" w:color="000000"/>
              <w:right w:val="single" w:sz="4" w:space="0" w:color="000000"/>
            </w:tcBorders>
            <w:vAlign w:val="center"/>
          </w:tcPr>
          <w:p/>
        </w:tc>
        <w:tc>
          <w:tcPr>
            <w:tcW w:w="1642" w:type="dxa"/>
            <w:vMerge/>
            <w:tcBorders>
              <w:top w:val="single" w:sz="4" w:space="0" w:color="000000"/>
              <w:left w:val="nil"/>
              <w:bottom w:val="single" w:sz="4" w:space="0" w:color="000000"/>
              <w:right w:val="single" w:sz="4" w:space="0" w:color="000000"/>
            </w:tcBorders>
            <w:vAlign w:val="center"/>
          </w:tcPr>
          <w:p/>
        </w:tc>
        <w:tc>
          <w:tcPr>
            <w:tcW w:w="1507" w:type="dxa"/>
            <w:vMerge/>
            <w:tcBorders>
              <w:top w:val="nil"/>
              <w:left w:val="nil"/>
              <w:bottom w:val="single" w:sz="4" w:space="0" w:color="000000"/>
              <w:right w:val="single" w:sz="4" w:space="0" w:color="000000"/>
            </w:tcBorders>
            <w:vAlign w:val="center"/>
          </w:tcPr>
          <w:p/>
        </w:tc>
        <w:tc>
          <w:tcPr>
            <w:tcW w:w="1331" w:type="dxa"/>
            <w:vMerge/>
            <w:tcBorders>
              <w:top w:val="nil"/>
              <w:left w:val="nil"/>
              <w:bottom w:val="single" w:sz="4" w:space="0" w:color="000000"/>
              <w:right w:val="single" w:sz="4" w:space="0" w:color="000000"/>
            </w:tcBorders>
            <w:vAlign w:val="center"/>
          </w:tcPr>
          <w:p/>
        </w:tc>
      </w:tr>
      <w:tr>
        <w:trPr>
          <w:trHeight w:val="285"/>
        </w:trPr>
        <w:tc>
          <w:tcPr>
            <w:tcW w:w="1223" w:type="dxa"/>
            <w:gridSpan w:val="3"/>
            <w:vMerge/>
            <w:tcBorders>
              <w:top w:val="nil"/>
              <w:left w:val="single" w:sz="4" w:space="0" w:color="000000"/>
              <w:bottom w:val="single" w:sz="4" w:space="0" w:color="000000"/>
              <w:right w:val="single" w:sz="4" w:space="0" w:color="000000"/>
            </w:tcBorders>
            <w:vAlign w:val="center"/>
          </w:tcPr>
          <w:p/>
        </w:tc>
        <w:tc>
          <w:tcPr>
            <w:tcW w:w="3752" w:type="dxa"/>
            <w:vMerge/>
            <w:tcBorders>
              <w:top w:val="nil"/>
              <w:left w:val="nil"/>
              <w:bottom w:val="single" w:sz="4" w:space="0" w:color="000000"/>
              <w:right w:val="single" w:sz="4" w:space="0" w:color="000000"/>
            </w:tcBorders>
            <w:vAlign w:val="center"/>
          </w:tcPr>
          <w:p/>
        </w:tc>
        <w:tc>
          <w:tcPr>
            <w:tcW w:w="1984" w:type="dxa"/>
            <w:vMerge/>
            <w:tcBorders>
              <w:top w:val="single" w:sz="4" w:space="0" w:color="000000"/>
              <w:left w:val="nil"/>
              <w:bottom w:val="single" w:sz="4" w:space="0" w:color="000000"/>
              <w:right w:val="single" w:sz="4" w:space="0" w:color="000000"/>
            </w:tcBorders>
            <w:vAlign w:val="center"/>
          </w:tcPr>
          <w:p/>
        </w:tc>
        <w:tc>
          <w:tcPr>
            <w:tcW w:w="1701" w:type="dxa"/>
            <w:vMerge/>
            <w:tcBorders>
              <w:top w:val="nil"/>
              <w:left w:val="nil"/>
              <w:bottom w:val="single" w:sz="4" w:space="0" w:color="000000"/>
              <w:right w:val="single" w:sz="4" w:space="0" w:color="000000"/>
            </w:tcBorders>
            <w:vAlign w:val="center"/>
          </w:tcPr>
          <w:p/>
        </w:tc>
        <w:tc>
          <w:tcPr>
            <w:tcW w:w="1701" w:type="dxa"/>
            <w:gridSpan w:val="2"/>
            <w:vMerge/>
            <w:tcBorders>
              <w:top w:val="nil"/>
              <w:left w:val="nil"/>
              <w:bottom w:val="single" w:sz="4" w:space="0" w:color="000000"/>
              <w:right w:val="single" w:sz="4" w:space="0" w:color="000000"/>
            </w:tcBorders>
            <w:vAlign w:val="center"/>
          </w:tcPr>
          <w:p/>
        </w:tc>
        <w:tc>
          <w:tcPr>
            <w:tcW w:w="1642" w:type="dxa"/>
            <w:vMerge/>
            <w:tcBorders>
              <w:top w:val="single" w:sz="4" w:space="0" w:color="000000"/>
              <w:left w:val="nil"/>
              <w:bottom w:val="single" w:sz="4" w:space="0" w:color="000000"/>
              <w:right w:val="single" w:sz="4" w:space="0" w:color="000000"/>
            </w:tcBorders>
            <w:vAlign w:val="center"/>
          </w:tcPr>
          <w:p/>
        </w:tc>
        <w:tc>
          <w:tcPr>
            <w:tcW w:w="1507" w:type="dxa"/>
            <w:vMerge/>
            <w:tcBorders>
              <w:top w:val="nil"/>
              <w:left w:val="nil"/>
              <w:bottom w:val="single" w:sz="4" w:space="0" w:color="000000"/>
              <w:right w:val="single" w:sz="4" w:space="0" w:color="000000"/>
            </w:tcBorders>
            <w:vAlign w:val="center"/>
          </w:tcPr>
          <w:p/>
        </w:tc>
        <w:tc>
          <w:tcPr>
            <w:tcW w:w="1331" w:type="dxa"/>
            <w:vMerge/>
            <w:tcBorders>
              <w:top w:val="nil"/>
              <w:left w:val="nil"/>
              <w:bottom w:val="single" w:sz="4" w:space="0" w:color="000000"/>
              <w:right w:val="single" w:sz="4" w:space="0" w:color="000000"/>
            </w:tcBorders>
            <w:vAlign w:val="center"/>
          </w:tcPr>
          <w:p/>
        </w:tc>
      </w:tr>
      <w:tr>
        <w:trPr>
          <w:trHeight w:val="20"/>
        </w:trPr>
        <w:tc>
          <w:tcPr>
            <w:tcW w:w="4975" w:type="dxa"/>
            <w:gridSpan w:val="4"/>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hint="eastAsia"/>
                <w:color w:val="000000"/>
                <w:sz w:val="24"/>
                <w:szCs w:val="24"/>
                <w:lang w:eastAsia="zh-CN"/>
              </w:rPr>
              <w:t>栏次</w:t>
            </w:r>
          </w:p>
        </w:tc>
        <w:tc>
          <w:tcPr>
            <w:tcW w:w="1984" w:type="dxa"/>
            <w:tcBorders>
              <w:top w:val="nil"/>
              <w:left w:val="nil"/>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color w:val="000000"/>
                <w:sz w:val="24"/>
                <w:szCs w:val="24"/>
                <w:lang w:eastAsia="zh-CN"/>
              </w:rPr>
              <w:t>1</w:t>
            </w:r>
          </w:p>
        </w:tc>
        <w:tc>
          <w:tcPr>
            <w:tcW w:w="1701" w:type="dxa"/>
            <w:tcBorders>
              <w:top w:val="nil"/>
              <w:left w:val="nil"/>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color w:val="000000"/>
                <w:sz w:val="24"/>
                <w:szCs w:val="24"/>
                <w:lang w:eastAsia="zh-CN"/>
              </w:rPr>
              <w:t>2</w:t>
            </w:r>
          </w:p>
        </w:tc>
        <w:tc>
          <w:tcPr>
            <w:tcW w:w="1701" w:type="dxa"/>
            <w:gridSpan w:val="2"/>
            <w:tcBorders>
              <w:top w:val="nil"/>
              <w:left w:val="nil"/>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color w:val="000000"/>
                <w:sz w:val="24"/>
                <w:szCs w:val="24"/>
                <w:lang w:eastAsia="zh-CN"/>
              </w:rPr>
              <w:t>3</w:t>
            </w:r>
          </w:p>
        </w:tc>
        <w:tc>
          <w:tcPr>
            <w:tcW w:w="1642" w:type="dxa"/>
            <w:tcBorders>
              <w:top w:val="nil"/>
              <w:left w:val="nil"/>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color w:val="000000"/>
                <w:sz w:val="24"/>
                <w:szCs w:val="24"/>
                <w:lang w:eastAsia="zh-CN"/>
              </w:rPr>
              <w:t>4</w:t>
            </w:r>
          </w:p>
        </w:tc>
        <w:tc>
          <w:tcPr>
            <w:tcW w:w="1507" w:type="dxa"/>
            <w:tcBorders>
              <w:top w:val="nil"/>
              <w:left w:val="nil"/>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color w:val="000000"/>
                <w:sz w:val="24"/>
                <w:szCs w:val="24"/>
                <w:lang w:eastAsia="zh-CN"/>
              </w:rPr>
              <w:t>5</w:t>
            </w:r>
          </w:p>
        </w:tc>
        <w:tc>
          <w:tcPr>
            <w:tcW w:w="1331" w:type="dxa"/>
            <w:tcBorders>
              <w:top w:val="nil"/>
              <w:left w:val="nil"/>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color w:val="000000"/>
                <w:sz w:val="24"/>
                <w:szCs w:val="24"/>
                <w:lang w:eastAsia="zh-CN"/>
              </w:rPr>
              <w:t>6</w:t>
            </w:r>
          </w:p>
        </w:tc>
      </w:tr>
      <w:tr>
        <w:trPr>
          <w:trHeight w:val="20"/>
        </w:trPr>
        <w:tc>
          <w:tcPr>
            <w:tcW w:w="4975" w:type="dxa"/>
            <w:gridSpan w:val="4"/>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1,145.91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912.60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233.31 </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201</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一般公共服务支出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919.74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793.93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125.81 </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20109</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海关事务</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919.74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793.93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125.81 </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2010909</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海关关务</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78.00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78.00 </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19"/>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2010912</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检验检疫</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47.81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47.81 </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2010950</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事业运行</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793.93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793.93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208</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社会保障和就业支出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20805</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行政事业单位养老支出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60.36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19"/>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2080505</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机关事业单位基本养老保险缴费支出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40.24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40.24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2080506</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机关事业单位职业年金缴费支出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20.12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20.12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221</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住房保障支出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58.32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58.32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22102</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住房改革支出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58.32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58.32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2210201</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住房公积金</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32.20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32.20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19"/>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2210203</w:t>
            </w:r>
          </w:p>
        </w:tc>
        <w:tc>
          <w:tcPr>
            <w:tcW w:w="3752"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购房补贴</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26.12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26.12 </w:t>
            </w: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229</w:t>
            </w:r>
          </w:p>
        </w:tc>
        <w:tc>
          <w:tcPr>
            <w:tcW w:w="3752"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其他支出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22998</w:t>
            </w:r>
          </w:p>
        </w:tc>
        <w:tc>
          <w:tcPr>
            <w:tcW w:w="3752"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超长期特别国债安排的其他支出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70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0"/>
        </w:trPr>
        <w:tc>
          <w:tcPr>
            <w:tcW w:w="1223" w:type="dxa"/>
            <w:gridSpan w:val="3"/>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2299899</w:t>
            </w:r>
          </w:p>
        </w:tc>
        <w:tc>
          <w:tcPr>
            <w:tcW w:w="3752"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其他支出</w:t>
            </w:r>
          </w:p>
        </w:tc>
        <w:tc>
          <w:tcPr>
            <w:tcW w:w="198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701" w:type="dxa"/>
            <w:tcBorders>
              <w:top w:val="nil"/>
              <w:left w:val="nil"/>
              <w:bottom w:val="single" w:sz="4" w:space="0" w:color="000000"/>
              <w:right w:val="single" w:sz="4" w:space="0" w:color="000000"/>
            </w:tcBorders>
          </w:tcPr>
          <w:p>
            <w:pPr>
              <w:widowControl/>
              <w:jc w:val="right"/>
              <w:rPr>
                <w:rFonts w:ascii="Arial" w:hAnsi="Arial"/>
                <w:color w:val="000000"/>
                <w:lang w:eastAsia="zh-CN"/>
              </w:rPr>
            </w:pPr>
          </w:p>
        </w:tc>
        <w:tc>
          <w:tcPr>
            <w:tcW w:w="1701" w:type="dxa"/>
            <w:gridSpan w:val="2"/>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107.50</w:t>
            </w:r>
          </w:p>
        </w:tc>
        <w:tc>
          <w:tcPr>
            <w:tcW w:w="1642"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507"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1331"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70"/>
        </w:trPr>
        <w:tc>
          <w:tcPr>
            <w:tcW w:w="14841" w:type="dxa"/>
            <w:gridSpan w:val="11"/>
            <w:tcBorders>
              <w:top w:val="nil"/>
              <w:left w:val="nil"/>
              <w:bottom w:val="nil"/>
              <w:right w:val="nil"/>
            </w:tcBorders>
            <w:vAlign w:val="center"/>
          </w:tcPr>
          <w:p>
            <w:pPr>
              <w:widowControl/>
              <w:rPr>
                <w:rFonts w:ascii="宋体" w:cs="宋体"/>
                <w:color w:val="000000"/>
                <w:lang w:eastAsia="zh-CN"/>
              </w:rPr>
            </w:pPr>
            <w:r>
              <w:rPr>
                <w:rFonts w:ascii="宋体" w:cs="宋体" w:hint="eastAsia"/>
                <w:color w:val="000000"/>
                <w:lang w:eastAsia="zh-CN"/>
              </w:rPr>
              <w:t>注：本表反映部门本年度各项支出情况。</w:t>
            </w:r>
          </w:p>
        </w:tc>
      </w:tr>
    </w:tbl>
    <w:p>
      <w:pPr>
        <w:pStyle w:val="24"/>
        <w:spacing w:line="560" w:lineRule="exact"/>
        <w:ind w:left="0"/>
        <w:jc w:val="both"/>
        <w:outlineLvl w:val="9"/>
        <w:rPr>
          <w:rFonts w:ascii="宋体" w:eastAsia="宋体" w:cs="宋体"/>
          <w:lang w:eastAsia="zh-CN"/>
        </w:rPr>
      </w:pPr>
    </w:p>
    <w:tbl>
      <w:tblPr>
        <w:jc w:val="left"/>
        <w:tblInd w:w="95" w:type="dxa"/>
        <w:tblW w:w="1422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220"/>
        <w:gridCol w:w="125"/>
        <w:gridCol w:w="496"/>
        <w:gridCol w:w="1559"/>
        <w:gridCol w:w="1679"/>
        <w:gridCol w:w="1046"/>
        <w:gridCol w:w="393"/>
        <w:gridCol w:w="456"/>
        <w:gridCol w:w="511"/>
        <w:gridCol w:w="1018"/>
        <w:gridCol w:w="402"/>
        <w:gridCol w:w="894"/>
        <w:gridCol w:w="702"/>
        <w:gridCol w:w="432"/>
        <w:gridCol w:w="1288"/>
      </w:tblGrid>
      <w:tr>
        <w:trPr>
          <w:trHeight w:val="540"/>
        </w:trPr>
        <w:tc>
          <w:tcPr>
            <w:tcW w:w="14221" w:type="dxa"/>
            <w:gridSpan w:val="15"/>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财政拨款收入支出决算总表</w:t>
            </w:r>
          </w:p>
        </w:tc>
      </w:tr>
      <w:tr>
        <w:trPr>
          <w:trHeight w:val="285"/>
        </w:trPr>
        <w:tc>
          <w:tcPr>
            <w:tcW w:w="3220" w:type="dxa"/>
            <w:tcBorders>
              <w:top w:val="nil"/>
              <w:left w:val="nil"/>
              <w:bottom w:val="nil"/>
              <w:right w:val="nil"/>
            </w:tcBorders>
            <w:noWrap/>
            <w:vAlign w:val="bottom"/>
          </w:tcPr>
          <w:p>
            <w:pPr>
              <w:widowControl/>
              <w:rPr>
                <w:rFonts w:ascii="宋体" w:cs="宋体"/>
                <w:color w:val="000000"/>
                <w:lang w:eastAsia="zh-CN"/>
              </w:rPr>
            </w:pPr>
          </w:p>
        </w:tc>
        <w:tc>
          <w:tcPr>
            <w:tcW w:w="2180" w:type="dxa"/>
            <w:gridSpan w:val="3"/>
            <w:tcBorders>
              <w:top w:val="nil"/>
              <w:left w:val="nil"/>
              <w:bottom w:val="nil"/>
              <w:right w:val="nil"/>
            </w:tcBorders>
            <w:noWrap/>
            <w:vAlign w:val="bottom"/>
          </w:tcPr>
          <w:p>
            <w:pPr>
              <w:widowControl/>
              <w:rPr>
                <w:rFonts w:ascii="宋体" w:cs="宋体"/>
                <w:color w:val="000000"/>
                <w:lang w:eastAsia="zh-CN"/>
              </w:rPr>
            </w:pPr>
          </w:p>
        </w:tc>
        <w:tc>
          <w:tcPr>
            <w:tcW w:w="1679" w:type="dxa"/>
            <w:tcBorders>
              <w:top w:val="nil"/>
              <w:left w:val="nil"/>
              <w:bottom w:val="nil"/>
              <w:right w:val="nil"/>
            </w:tcBorders>
            <w:noWrap/>
            <w:vAlign w:val="bottom"/>
          </w:tcPr>
          <w:p>
            <w:pPr>
              <w:widowControl/>
              <w:rPr>
                <w:rFonts w:ascii="宋体" w:cs="宋体"/>
                <w:color w:val="000000"/>
                <w:lang w:eastAsia="zh-CN"/>
              </w:rPr>
            </w:pPr>
          </w:p>
        </w:tc>
        <w:tc>
          <w:tcPr>
            <w:tcW w:w="1046" w:type="dxa"/>
            <w:tcBorders>
              <w:top w:val="nil"/>
              <w:left w:val="nil"/>
              <w:bottom w:val="nil"/>
              <w:right w:val="nil"/>
            </w:tcBorders>
            <w:noWrap/>
            <w:vAlign w:val="bottom"/>
          </w:tcPr>
          <w:p>
            <w:pPr>
              <w:widowControl/>
              <w:rPr>
                <w:rFonts w:ascii="宋体" w:cs="宋体"/>
                <w:color w:val="000000"/>
                <w:lang w:eastAsia="zh-CN"/>
              </w:rPr>
            </w:pPr>
          </w:p>
        </w:tc>
        <w:tc>
          <w:tcPr>
            <w:tcW w:w="1360" w:type="dxa"/>
            <w:gridSpan w:val="3"/>
            <w:tcBorders>
              <w:top w:val="nil"/>
              <w:left w:val="nil"/>
              <w:bottom w:val="nil"/>
              <w:right w:val="nil"/>
            </w:tcBorders>
            <w:noWrap/>
            <w:vAlign w:val="bottom"/>
          </w:tcPr>
          <w:p>
            <w:pPr>
              <w:widowControl/>
              <w:rPr>
                <w:rFonts w:ascii="宋体" w:cs="宋体"/>
                <w:color w:val="000000"/>
                <w:lang w:eastAsia="zh-CN"/>
              </w:rPr>
            </w:pPr>
          </w:p>
        </w:tc>
        <w:tc>
          <w:tcPr>
            <w:tcW w:w="1420" w:type="dxa"/>
            <w:gridSpan w:val="2"/>
            <w:tcBorders>
              <w:top w:val="nil"/>
              <w:left w:val="nil"/>
              <w:bottom w:val="nil"/>
              <w:right w:val="nil"/>
            </w:tcBorders>
            <w:noWrap/>
            <w:vAlign w:val="bottom"/>
          </w:tcPr>
          <w:p>
            <w:pPr>
              <w:widowControl/>
              <w:rPr>
                <w:rFonts w:ascii="宋体" w:cs="宋体"/>
                <w:color w:val="000000"/>
                <w:lang w:eastAsia="zh-CN"/>
              </w:rPr>
            </w:pPr>
          </w:p>
        </w:tc>
        <w:tc>
          <w:tcPr>
            <w:tcW w:w="1596" w:type="dxa"/>
            <w:gridSpan w:val="2"/>
            <w:tcBorders>
              <w:top w:val="nil"/>
              <w:left w:val="nil"/>
              <w:bottom w:val="nil"/>
              <w:right w:val="nil"/>
            </w:tcBorders>
            <w:noWrap/>
            <w:vAlign w:val="bottom"/>
          </w:tcPr>
          <w:p>
            <w:pPr>
              <w:widowControl/>
              <w:rPr>
                <w:rFonts w:ascii="宋体" w:cs="宋体"/>
                <w:color w:val="000000"/>
                <w:lang w:eastAsia="zh-CN"/>
              </w:rPr>
            </w:pPr>
          </w:p>
        </w:tc>
        <w:tc>
          <w:tcPr>
            <w:tcW w:w="1720" w:type="dxa"/>
            <w:gridSpan w:val="2"/>
            <w:tcBorders>
              <w:top w:val="nil"/>
              <w:left w:val="nil"/>
              <w:bottom w:val="nil"/>
              <w:right w:val="nil"/>
            </w:tcBorders>
            <w:noWrap/>
            <w:vAlign w:val="center"/>
          </w:tcPr>
          <w:p>
            <w:pPr>
              <w:widowControl/>
              <w:ind w:right="360"/>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04</w:t>
            </w:r>
            <w:r>
              <w:rPr>
                <w:rFonts w:ascii="宋体" w:cs="宋体" w:hint="eastAsia"/>
                <w:color w:val="000000"/>
                <w:sz w:val="24"/>
                <w:szCs w:val="24"/>
                <w:lang w:eastAsia="zh-CN"/>
              </w:rPr>
              <w:t>表</w:t>
            </w:r>
          </w:p>
        </w:tc>
      </w:tr>
      <w:tr>
        <w:trPr>
          <w:trHeight w:val="285"/>
        </w:trPr>
        <w:tc>
          <w:tcPr>
            <w:tcW w:w="5400" w:type="dxa"/>
            <w:gridSpan w:val="4"/>
            <w:tcBorders>
              <w:top w:val="nil"/>
              <w:left w:val="nil"/>
              <w:bottom w:val="nil"/>
              <w:right w:val="nil"/>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编制单位：嵊泗海关综合技术服务中心</w:t>
            </w:r>
          </w:p>
        </w:tc>
        <w:tc>
          <w:tcPr>
            <w:tcW w:w="2725" w:type="dxa"/>
            <w:gridSpan w:val="2"/>
            <w:tcBorders>
              <w:top w:val="nil"/>
              <w:left w:val="nil"/>
              <w:bottom w:val="nil"/>
              <w:right w:val="nil"/>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2025</w:t>
            </w:r>
            <w:r>
              <w:rPr>
                <w:rFonts w:ascii="宋体" w:cs="宋体" w:hint="eastAsia"/>
                <w:color w:val="000000"/>
                <w:sz w:val="24"/>
                <w:szCs w:val="24"/>
                <w:lang w:eastAsia="zh-CN"/>
              </w:rPr>
              <w:t>度</w:t>
            </w:r>
          </w:p>
        </w:tc>
        <w:tc>
          <w:tcPr>
            <w:tcW w:w="1360" w:type="dxa"/>
            <w:gridSpan w:val="3"/>
            <w:tcBorders>
              <w:top w:val="nil"/>
              <w:left w:val="nil"/>
              <w:bottom w:val="nil"/>
              <w:right w:val="nil"/>
            </w:tcBorders>
            <w:noWrap/>
            <w:vAlign w:val="bottom"/>
          </w:tcPr>
          <w:p>
            <w:pPr>
              <w:widowControl/>
              <w:rPr>
                <w:rFonts w:ascii="宋体" w:cs="宋体"/>
                <w:color w:val="000000"/>
                <w:lang w:eastAsia="zh-CN"/>
              </w:rPr>
            </w:pPr>
          </w:p>
        </w:tc>
        <w:tc>
          <w:tcPr>
            <w:tcW w:w="1420" w:type="dxa"/>
            <w:gridSpan w:val="2"/>
            <w:tcBorders>
              <w:top w:val="nil"/>
              <w:left w:val="nil"/>
              <w:bottom w:val="nil"/>
              <w:right w:val="nil"/>
            </w:tcBorders>
            <w:noWrap/>
            <w:vAlign w:val="bottom"/>
          </w:tcPr>
          <w:p>
            <w:pPr>
              <w:widowControl/>
              <w:rPr>
                <w:rFonts w:ascii="宋体" w:cs="宋体"/>
                <w:color w:val="000000"/>
                <w:lang w:eastAsia="zh-CN"/>
              </w:rPr>
            </w:pPr>
          </w:p>
        </w:tc>
        <w:tc>
          <w:tcPr>
            <w:tcW w:w="3316" w:type="dxa"/>
            <w:gridSpan w:val="4"/>
            <w:tcBorders>
              <w:top w:val="nil"/>
              <w:left w:val="nil"/>
              <w:bottom w:val="nil"/>
              <w:right w:val="nil"/>
            </w:tcBorders>
            <w:noWrap/>
            <w:vAlign w:val="bottom"/>
          </w:tcPr>
          <w:p>
            <w:pPr>
              <w:widowControl/>
              <w:jc w:val="right"/>
              <w:rPr>
                <w:rFonts w:ascii="宋体" w:cs="宋体"/>
                <w:color w:val="000000"/>
                <w:lang w:eastAsia="zh-CN"/>
              </w:rPr>
            </w:pPr>
            <w:r>
              <w:rPr>
                <w:rFonts w:ascii="宋体" w:cs="宋体" w:hint="eastAsia"/>
                <w:color w:val="000000"/>
                <w:sz w:val="24"/>
                <w:szCs w:val="24"/>
                <w:lang w:eastAsia="zh-CN"/>
              </w:rPr>
              <w:t>金额单位</w:t>
            </w:r>
            <w:r>
              <w:rPr>
                <w:rFonts w:ascii="宋体" w:cs="宋体" w:hint="eastAsia"/>
                <w:color w:val="000000"/>
                <w:lang w:eastAsia="zh-CN"/>
              </w:rPr>
              <w:t>：</w:t>
            </w:r>
            <w:r>
              <w:rPr>
                <w:rFonts w:ascii="宋体" w:cs="宋体" w:hint="eastAsia"/>
                <w:color w:val="000000"/>
                <w:sz w:val="24"/>
                <w:szCs w:val="24"/>
                <w:lang w:eastAsia="zh-CN"/>
              </w:rPr>
              <w:t>万元</w:t>
            </w:r>
          </w:p>
        </w:tc>
      </w:tr>
      <w:tr>
        <w:trPr>
          <w:trHeight w:val="285"/>
        </w:trPr>
        <w:tc>
          <w:tcPr>
            <w:tcW w:w="5400" w:type="dxa"/>
            <w:gridSpan w:val="4"/>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收入</w:t>
            </w:r>
          </w:p>
        </w:tc>
        <w:tc>
          <w:tcPr>
            <w:tcW w:w="8821" w:type="dxa"/>
            <w:gridSpan w:val="11"/>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支出</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项目</w:t>
            </w:r>
            <w:r>
              <w:rPr>
                <w:rFonts w:ascii="宋体" w:cs="宋体"/>
                <w:color w:val="000000"/>
                <w:lang w:eastAsia="zh-CN"/>
              </w:rPr>
              <w:t xml:space="preserve">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行次</w:t>
            </w:r>
          </w:p>
        </w:tc>
        <w:tc>
          <w:tcPr>
            <w:tcW w:w="1559"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金额</w:t>
            </w:r>
          </w:p>
        </w:tc>
        <w:tc>
          <w:tcPr>
            <w:tcW w:w="3118" w:type="dxa"/>
            <w:gridSpan w:val="3"/>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项目</w:t>
            </w:r>
          </w:p>
        </w:tc>
        <w:tc>
          <w:tcPr>
            <w:tcW w:w="45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行次</w:t>
            </w:r>
          </w:p>
        </w:tc>
        <w:tc>
          <w:tcPr>
            <w:tcW w:w="1529" w:type="dxa"/>
            <w:gridSpan w:val="2"/>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1296" w:type="dxa"/>
            <w:gridSpan w:val="2"/>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一般公共预算财政拨款</w:t>
            </w:r>
          </w:p>
        </w:tc>
        <w:tc>
          <w:tcPr>
            <w:tcW w:w="1134" w:type="dxa"/>
            <w:gridSpan w:val="2"/>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政府性基金预算财政拨款</w:t>
            </w:r>
          </w:p>
        </w:tc>
        <w:tc>
          <w:tcPr>
            <w:tcW w:w="1288" w:type="dxa"/>
            <w:tcBorders>
              <w:top w:val="nil"/>
              <w:left w:val="nil"/>
              <w:bottom w:val="single" w:sz="4" w:space="0" w:color="000000"/>
              <w:right w:val="single" w:sz="4" w:space="0" w:color="000000"/>
            </w:tcBorders>
            <w:vAlign w:val="center"/>
          </w:tcPr>
          <w:p>
            <w:pPr>
              <w:widowControl/>
              <w:jc w:val="center"/>
              <w:rPr>
                <w:rFonts w:ascii="宋体" w:cs="宋体"/>
                <w:color w:val="000000"/>
                <w:sz w:val="24"/>
                <w:szCs w:val="24"/>
                <w:lang w:eastAsia="zh-CN"/>
              </w:rPr>
            </w:pPr>
            <w:r>
              <w:rPr>
                <w:rFonts w:ascii="宋体" w:cs="宋体" w:hint="eastAsia"/>
                <w:color w:val="000000"/>
                <w:sz w:val="24"/>
                <w:szCs w:val="24"/>
                <w:lang w:eastAsia="zh-CN"/>
              </w:rPr>
              <w:t>国有资本经营预算财政拨款</w:t>
            </w:r>
          </w:p>
        </w:tc>
      </w:tr>
      <w:tr>
        <w:trPr>
          <w:trHeight w:val="20"/>
        </w:trPr>
        <w:tc>
          <w:tcPr>
            <w:tcW w:w="3345" w:type="dxa"/>
            <w:gridSpan w:val="2"/>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栏次</w:t>
            </w:r>
          </w:p>
        </w:tc>
        <w:tc>
          <w:tcPr>
            <w:tcW w:w="49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155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w:t>
            </w:r>
          </w:p>
        </w:tc>
        <w:tc>
          <w:tcPr>
            <w:tcW w:w="3118" w:type="dxa"/>
            <w:gridSpan w:val="3"/>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栏次</w:t>
            </w:r>
          </w:p>
        </w:tc>
        <w:tc>
          <w:tcPr>
            <w:tcW w:w="45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1529"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w:t>
            </w:r>
          </w:p>
        </w:tc>
        <w:tc>
          <w:tcPr>
            <w:tcW w:w="1296"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w:t>
            </w:r>
          </w:p>
        </w:tc>
        <w:tc>
          <w:tcPr>
            <w:tcW w:w="1134" w:type="dxa"/>
            <w:gridSpan w:val="2"/>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4</w:t>
            </w:r>
          </w:p>
        </w:tc>
        <w:tc>
          <w:tcPr>
            <w:tcW w:w="1288" w:type="dxa"/>
            <w:tcBorders>
              <w:top w:val="nil"/>
              <w:left w:val="nil"/>
              <w:bottom w:val="single" w:sz="4" w:space="0" w:color="000000"/>
              <w:right w:val="single" w:sz="4" w:space="0" w:color="000000"/>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5</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一、一般公共预算财政拨款</w:t>
            </w:r>
            <w:r>
              <w:rPr>
                <w:rFonts w:ascii="宋体" w:cs="宋体"/>
                <w:color w:val="000000"/>
                <w:lang w:eastAsia="zh-CN"/>
              </w:rPr>
              <w:t xml:space="preserve">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286.52 </w:t>
            </w: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一、一般公共服务支出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17</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269.01 </w:t>
            </w: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269.01 </w:t>
            </w: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二、政府性基金预算财政拨款</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2</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二、外交支出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18</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三、国有资本经营预算财政拨款</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3</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三、国防支出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19</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4</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四、公共安全支出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20</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5</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五、教育支出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21</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6</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六、科学技术支出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22</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7</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七、文化旅游体育与传媒支出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23</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8</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八、社会保障和就业支出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24</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9</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九、卫生健康支出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25</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10</w:t>
            </w:r>
          </w:p>
        </w:tc>
        <w:tc>
          <w:tcPr>
            <w:tcW w:w="1559" w:type="dxa"/>
            <w:tcBorders>
              <w:top w:val="nil"/>
              <w:left w:val="nil"/>
              <w:bottom w:val="single" w:sz="4" w:space="0" w:color="000000"/>
              <w:right w:val="single" w:sz="4" w:space="0" w:color="000000"/>
            </w:tcBorders>
            <w:vAlign w:val="center"/>
          </w:tcPr>
          <w:p>
            <w:pPr>
              <w:widowControl/>
              <w:jc w:val="right"/>
              <w:rPr>
                <w:rFonts w:ascii="Arial" w:cs="宋体"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十、住房保障支出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26</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本年收入合计</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11</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747.52 </w:t>
            </w: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十一、其他支出</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27</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年初财政拨款结转和结余</w:t>
            </w:r>
            <w:r>
              <w:rPr>
                <w:rFonts w:ascii="宋体" w:cs="宋体"/>
                <w:color w:val="000000"/>
                <w:lang w:eastAsia="zh-CN"/>
              </w:rPr>
              <w:t xml:space="preserve">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12</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89.85 </w:t>
            </w: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本年支出合计</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28</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394.02 </w:t>
            </w: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286.52 </w:t>
            </w: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一般公共预算财政拨款</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13</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年末财政拨款结转和结余</w:t>
            </w:r>
            <w:r>
              <w:rPr>
                <w:rFonts w:ascii="宋体" w:cs="宋体"/>
                <w:color w:val="000000"/>
                <w:lang w:eastAsia="zh-CN"/>
              </w:rPr>
              <w:t xml:space="preserve"> </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29</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443.35 </w:t>
            </w: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443.35 </w:t>
            </w:r>
          </w:p>
        </w:tc>
        <w:tc>
          <w:tcPr>
            <w:tcW w:w="128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政府性基金预算财政拨款</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14</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89.85 </w:t>
            </w:r>
          </w:p>
        </w:tc>
        <w:tc>
          <w:tcPr>
            <w:tcW w:w="3118" w:type="dxa"/>
            <w:gridSpan w:val="3"/>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　</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30</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国有资本经营预算财政拨款</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15</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3118" w:type="dxa"/>
            <w:gridSpan w:val="3"/>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　</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31</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cs="宋体" w:hAnsi="Arial"/>
                <w:color w:val="000000"/>
                <w:lang w:eastAsia="zh-CN"/>
              </w:rPr>
            </w:pP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cs="宋体" w:hAnsi="Arial"/>
                <w:color w:val="000000"/>
                <w:lang w:eastAsia="zh-CN"/>
              </w:rPr>
            </w:pP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cs="宋体" w:hAnsi="Arial"/>
                <w:color w:val="000000"/>
                <w:lang w:eastAsia="zh-CN"/>
              </w:rPr>
            </w:pPr>
            <w:r>
              <w:rPr>
                <w:rFonts w:ascii="Arial" w:cs="宋体"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总计</w:t>
            </w:r>
            <w:r>
              <w:rPr>
                <w:rFonts w:ascii="宋体" w:cs="宋体"/>
                <w:color w:val="000000"/>
                <w:lang w:eastAsia="zh-CN"/>
              </w:rPr>
              <w:t xml:space="preserve"> </w:t>
            </w:r>
          </w:p>
        </w:tc>
        <w:tc>
          <w:tcPr>
            <w:tcW w:w="496" w:type="dxa"/>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color w:val="000000"/>
                <w:lang w:eastAsia="zh-CN"/>
              </w:rPr>
              <w:t>16</w:t>
            </w:r>
          </w:p>
        </w:tc>
        <w:tc>
          <w:tcPr>
            <w:tcW w:w="1559"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837.37 </w:t>
            </w:r>
          </w:p>
        </w:tc>
        <w:tc>
          <w:tcPr>
            <w:tcW w:w="3118" w:type="dxa"/>
            <w:gridSpan w:val="3"/>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总计</w:t>
            </w:r>
            <w:r>
              <w:rPr>
                <w:rFonts w:ascii="宋体" w:cs="宋体"/>
                <w:color w:val="000000"/>
                <w:lang w:eastAsia="zh-CN"/>
              </w:rPr>
              <w:t xml:space="preserve"> </w:t>
            </w:r>
          </w:p>
        </w:tc>
        <w:tc>
          <w:tcPr>
            <w:tcW w:w="456"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32</w:t>
            </w:r>
          </w:p>
        </w:tc>
        <w:tc>
          <w:tcPr>
            <w:tcW w:w="1529"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837.37 </w:t>
            </w:r>
          </w:p>
        </w:tc>
        <w:tc>
          <w:tcPr>
            <w:tcW w:w="1296"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286.52 </w:t>
            </w:r>
          </w:p>
        </w:tc>
        <w:tc>
          <w:tcPr>
            <w:tcW w:w="1134" w:type="dxa"/>
            <w:gridSpan w:val="2"/>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550.85 </w:t>
            </w:r>
            <w:r>
              <w:rPr>
                <w:rFonts w:ascii="Arial" w:hAnsi="Arial" w:hint="eastAsia"/>
                <w:color w:val="000000"/>
                <w:lang w:eastAsia="zh-CN"/>
              </w:rPr>
              <w:t>　</w:t>
            </w:r>
          </w:p>
        </w:tc>
        <w:tc>
          <w:tcPr>
            <w:tcW w:w="128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85"/>
        </w:trPr>
        <w:tc>
          <w:tcPr>
            <w:tcW w:w="14221" w:type="dxa"/>
            <w:gridSpan w:val="15"/>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lang w:eastAsia="zh-CN"/>
              </w:rPr>
              <w:t>注：本表反映部门本年度一般公共预算财政拨款、政府性基金预算财政拨款和国有资本经营预算财政拨款的总收支和年末结转结余情况。</w:t>
            </w:r>
          </w:p>
        </w:tc>
      </w:tr>
    </w:tbl>
    <w:p>
      <w:pPr>
        <w:pStyle w:val="24"/>
        <w:spacing w:line="560" w:lineRule="exact"/>
        <w:ind w:left="0"/>
        <w:jc w:val="both"/>
        <w:outlineLvl w:val="9"/>
        <w:rPr>
          <w:rFonts w:ascii="宋体" w:eastAsia="宋体" w:cs="宋体"/>
          <w:lang w:eastAsia="zh-CN"/>
        </w:rPr>
      </w:pPr>
    </w:p>
    <w:tbl>
      <w:tblPr>
        <w:jc w:val="left"/>
        <w:tblInd w:w="95" w:type="dxa"/>
        <w:tblW w:w="1359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93"/>
        <w:gridCol w:w="493"/>
        <w:gridCol w:w="587"/>
        <w:gridCol w:w="4946"/>
        <w:gridCol w:w="2393"/>
        <w:gridCol w:w="2308"/>
        <w:gridCol w:w="2378"/>
      </w:tblGrid>
      <w:tr>
        <w:trPr>
          <w:trHeight w:val="540"/>
        </w:trPr>
        <w:tc>
          <w:tcPr>
            <w:tcW w:w="13598" w:type="dxa"/>
            <w:gridSpan w:val="7"/>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一般公共预算财政拨款支出决算表</w:t>
            </w:r>
          </w:p>
        </w:tc>
      </w:tr>
      <w:tr>
        <w:trPr>
          <w:trHeight w:val="285"/>
        </w:trPr>
        <w:tc>
          <w:tcPr>
            <w:tcW w:w="493" w:type="dxa"/>
            <w:tcBorders>
              <w:top w:val="nil"/>
              <w:left w:val="nil"/>
              <w:bottom w:val="nil"/>
              <w:right w:val="nil"/>
            </w:tcBorders>
            <w:noWrap/>
            <w:vAlign w:val="bottom"/>
          </w:tcPr>
          <w:p>
            <w:pPr>
              <w:widowControl/>
              <w:rPr>
                <w:rFonts w:ascii="宋体" w:cs="宋体"/>
                <w:color w:val="000000"/>
                <w:lang w:eastAsia="zh-CN"/>
              </w:rPr>
            </w:pPr>
          </w:p>
        </w:tc>
        <w:tc>
          <w:tcPr>
            <w:tcW w:w="493" w:type="dxa"/>
            <w:tcBorders>
              <w:top w:val="nil"/>
              <w:left w:val="nil"/>
              <w:bottom w:val="nil"/>
              <w:right w:val="nil"/>
            </w:tcBorders>
            <w:noWrap/>
            <w:vAlign w:val="bottom"/>
          </w:tcPr>
          <w:p>
            <w:pPr>
              <w:widowControl/>
              <w:rPr>
                <w:rFonts w:ascii="宋体" w:cs="宋体"/>
                <w:color w:val="000000"/>
                <w:lang w:eastAsia="zh-CN"/>
              </w:rPr>
            </w:pPr>
          </w:p>
        </w:tc>
        <w:tc>
          <w:tcPr>
            <w:tcW w:w="5533" w:type="dxa"/>
            <w:gridSpan w:val="2"/>
            <w:tcBorders>
              <w:top w:val="nil"/>
              <w:left w:val="nil"/>
              <w:bottom w:val="nil"/>
              <w:right w:val="nil"/>
            </w:tcBorders>
            <w:noWrap/>
            <w:vAlign w:val="bottom"/>
          </w:tcPr>
          <w:p>
            <w:pPr>
              <w:widowControl/>
              <w:rPr>
                <w:rFonts w:ascii="宋体" w:cs="宋体"/>
                <w:color w:val="000000"/>
                <w:lang w:eastAsia="zh-CN"/>
              </w:rPr>
            </w:pPr>
          </w:p>
        </w:tc>
        <w:tc>
          <w:tcPr>
            <w:tcW w:w="2393" w:type="dxa"/>
            <w:tcBorders>
              <w:top w:val="nil"/>
              <w:left w:val="nil"/>
              <w:bottom w:val="nil"/>
              <w:right w:val="nil"/>
            </w:tcBorders>
            <w:noWrap/>
            <w:vAlign w:val="bottom"/>
          </w:tcPr>
          <w:p>
            <w:pPr>
              <w:widowControl/>
              <w:rPr>
                <w:rFonts w:ascii="宋体" w:cs="宋体"/>
                <w:color w:val="000000"/>
                <w:lang w:eastAsia="zh-CN"/>
              </w:rPr>
            </w:pPr>
          </w:p>
        </w:tc>
        <w:tc>
          <w:tcPr>
            <w:tcW w:w="2308" w:type="dxa"/>
            <w:tcBorders>
              <w:top w:val="nil"/>
              <w:left w:val="nil"/>
              <w:bottom w:val="nil"/>
              <w:right w:val="nil"/>
            </w:tcBorders>
            <w:noWrap/>
            <w:vAlign w:val="bottom"/>
          </w:tcPr>
          <w:p>
            <w:pPr>
              <w:widowControl/>
              <w:rPr>
                <w:rFonts w:ascii="宋体" w:cs="宋体"/>
                <w:color w:val="000000"/>
                <w:lang w:eastAsia="zh-CN"/>
              </w:rPr>
            </w:pPr>
          </w:p>
        </w:tc>
        <w:tc>
          <w:tcPr>
            <w:tcW w:w="2378"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05</w:t>
            </w:r>
            <w:r>
              <w:rPr>
                <w:rFonts w:ascii="宋体" w:cs="宋体" w:hint="eastAsia"/>
                <w:color w:val="000000"/>
                <w:sz w:val="24"/>
                <w:szCs w:val="24"/>
                <w:lang w:eastAsia="zh-CN"/>
              </w:rPr>
              <w:t>表</w:t>
            </w:r>
          </w:p>
        </w:tc>
      </w:tr>
      <w:tr>
        <w:trPr>
          <w:trHeight w:val="855"/>
        </w:trPr>
        <w:tc>
          <w:tcPr>
            <w:tcW w:w="6519" w:type="dxa"/>
            <w:gridSpan w:val="4"/>
            <w:tcBorders>
              <w:top w:val="nil"/>
              <w:left w:val="nil"/>
              <w:bottom w:val="single" w:sz="4" w:space="0" w:color="000000"/>
              <w:right w:val="nil"/>
            </w:tcBorders>
            <w:vAlign w:val="center"/>
          </w:tcPr>
          <w:p>
            <w:pPr>
              <w:widowControl/>
              <w:rPr>
                <w:rFonts w:ascii="宋体" w:cs="宋体"/>
                <w:color w:val="000000"/>
                <w:sz w:val="24"/>
                <w:szCs w:val="24"/>
                <w:lang w:eastAsia="zh-CN"/>
              </w:rPr>
            </w:pPr>
            <w:r>
              <w:rPr>
                <w:rFonts w:ascii="宋体" w:cs="宋体" w:hint="eastAsia"/>
                <w:color w:val="000000"/>
                <w:sz w:val="24"/>
                <w:szCs w:val="24"/>
                <w:lang w:eastAsia="zh-CN"/>
              </w:rPr>
              <w:t>编制单位：嵊泗海关综合技术服务中心</w:t>
            </w:r>
          </w:p>
        </w:tc>
        <w:tc>
          <w:tcPr>
            <w:tcW w:w="4701" w:type="dxa"/>
            <w:gridSpan w:val="2"/>
            <w:tcBorders>
              <w:top w:val="nil"/>
              <w:left w:val="nil"/>
              <w:bottom w:val="nil"/>
              <w:right w:val="nil"/>
            </w:tcBorders>
            <w:vAlign w:val="center"/>
          </w:tcPr>
          <w:p>
            <w:pPr>
              <w:widowControl/>
              <w:rPr>
                <w:rFonts w:ascii="宋体" w:cs="宋体"/>
                <w:color w:val="000000"/>
                <w:lang w:eastAsia="zh-CN"/>
              </w:rPr>
            </w:pPr>
            <w:r>
              <w:rPr>
                <w:rFonts w:ascii="宋体" w:cs="宋体"/>
                <w:color w:val="000000"/>
                <w:lang w:eastAsia="zh-CN"/>
              </w:rPr>
              <w:t>2025</w:t>
            </w:r>
            <w:r>
              <w:rPr>
                <w:rFonts w:ascii="宋体" w:cs="宋体" w:hint="eastAsia"/>
                <w:color w:val="000000"/>
                <w:lang w:eastAsia="zh-CN"/>
              </w:rPr>
              <w:t>度</w:t>
            </w:r>
          </w:p>
        </w:tc>
        <w:tc>
          <w:tcPr>
            <w:tcW w:w="2378" w:type="dxa"/>
            <w:tcBorders>
              <w:top w:val="nil"/>
              <w:left w:val="nil"/>
              <w:bottom w:val="nil"/>
              <w:right w:val="nil"/>
            </w:tcBorders>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270"/>
        </w:trPr>
        <w:tc>
          <w:tcPr>
            <w:tcW w:w="6519" w:type="dxa"/>
            <w:gridSpan w:val="4"/>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项目</w:t>
            </w:r>
          </w:p>
        </w:tc>
        <w:tc>
          <w:tcPr>
            <w:tcW w:w="7079" w:type="dxa"/>
            <w:gridSpan w:val="3"/>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本年支出</w:t>
            </w:r>
          </w:p>
        </w:tc>
      </w:tr>
      <w:tr>
        <w:trPr>
          <w:trHeight w:val="312"/>
        </w:trPr>
        <w:tc>
          <w:tcPr>
            <w:tcW w:w="1573" w:type="dxa"/>
            <w:gridSpan w:val="3"/>
            <w:vMerge w:val="restart"/>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4946" w:type="dxa"/>
            <w:vMerge w:val="restart"/>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2393" w:type="dxa"/>
            <w:vMerge w:val="restart"/>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小计</w:t>
            </w:r>
          </w:p>
        </w:tc>
        <w:tc>
          <w:tcPr>
            <w:tcW w:w="2308" w:type="dxa"/>
            <w:vMerge w:val="restart"/>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基本支出</w:t>
            </w:r>
          </w:p>
        </w:tc>
        <w:tc>
          <w:tcPr>
            <w:tcW w:w="2378" w:type="dxa"/>
            <w:vMerge w:val="restart"/>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项目支出</w:t>
            </w:r>
          </w:p>
        </w:tc>
      </w:tr>
      <w:tr>
        <w:trPr>
          <w:trHeight w:val="312"/>
        </w:trPr>
        <w:tc>
          <w:tcPr>
            <w:tcW w:w="1573" w:type="dxa"/>
            <w:gridSpan w:val="3"/>
            <w:vMerge/>
            <w:tcBorders>
              <w:top w:val="nil"/>
              <w:left w:val="single" w:sz="4" w:space="0" w:color="000000"/>
              <w:bottom w:val="single" w:sz="4" w:space="0" w:color="000000"/>
              <w:right w:val="single" w:sz="4" w:space="0" w:color="000000"/>
            </w:tcBorders>
            <w:vAlign w:val="center"/>
          </w:tcPr>
          <w:p/>
        </w:tc>
        <w:tc>
          <w:tcPr>
            <w:tcW w:w="4946" w:type="dxa"/>
            <w:vMerge/>
            <w:tcBorders>
              <w:top w:val="nil"/>
              <w:left w:val="nil"/>
              <w:bottom w:val="single" w:sz="4" w:space="0" w:color="000000"/>
              <w:right w:val="single" w:sz="4" w:space="0" w:color="000000"/>
            </w:tcBorders>
            <w:vAlign w:val="center"/>
          </w:tcPr>
          <w:p/>
        </w:tc>
        <w:tc>
          <w:tcPr>
            <w:tcW w:w="2393" w:type="dxa"/>
            <w:vMerge/>
            <w:tcBorders>
              <w:top w:val="nil"/>
              <w:left w:val="nil"/>
              <w:bottom w:val="single" w:sz="4" w:space="0" w:color="000000"/>
              <w:right w:val="single" w:sz="4" w:space="0" w:color="000000"/>
            </w:tcBorders>
            <w:vAlign w:val="center"/>
          </w:tcPr>
          <w:p/>
        </w:tc>
        <w:tc>
          <w:tcPr>
            <w:tcW w:w="2308" w:type="dxa"/>
            <w:vMerge/>
            <w:tcBorders>
              <w:top w:val="nil"/>
              <w:left w:val="nil"/>
              <w:bottom w:val="single" w:sz="4" w:space="0" w:color="000000"/>
              <w:right w:val="single" w:sz="4" w:space="0" w:color="000000"/>
            </w:tcBorders>
            <w:vAlign w:val="center"/>
          </w:tcPr>
          <w:p/>
        </w:tc>
        <w:tc>
          <w:tcPr>
            <w:tcW w:w="2378" w:type="dxa"/>
            <w:vMerge/>
            <w:tcBorders>
              <w:top w:val="nil"/>
              <w:left w:val="nil"/>
              <w:bottom w:val="single" w:sz="4" w:space="0" w:color="000000"/>
              <w:right w:val="single" w:sz="4" w:space="0" w:color="000000"/>
            </w:tcBorders>
            <w:vAlign w:val="center"/>
          </w:tcPr>
          <w:p/>
        </w:tc>
      </w:tr>
      <w:tr>
        <w:trPr>
          <w:trHeight w:val="270"/>
        </w:trPr>
        <w:tc>
          <w:tcPr>
            <w:tcW w:w="6519" w:type="dxa"/>
            <w:gridSpan w:val="4"/>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栏次</w:t>
            </w:r>
          </w:p>
        </w:tc>
        <w:tc>
          <w:tcPr>
            <w:tcW w:w="2393"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w:t>
            </w:r>
          </w:p>
        </w:tc>
        <w:tc>
          <w:tcPr>
            <w:tcW w:w="2308"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w:t>
            </w:r>
          </w:p>
        </w:tc>
        <w:tc>
          <w:tcPr>
            <w:tcW w:w="2378"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w:t>
            </w:r>
          </w:p>
        </w:tc>
      </w:tr>
      <w:tr>
        <w:trPr>
          <w:trHeight w:val="285"/>
        </w:trPr>
        <w:tc>
          <w:tcPr>
            <w:tcW w:w="6519" w:type="dxa"/>
            <w:gridSpan w:val="4"/>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286.52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160.71 </w:t>
            </w: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125.81 </w:t>
            </w:r>
          </w:p>
        </w:tc>
      </w:tr>
      <w:tr>
        <w:trPr>
          <w:trHeight w:val="285"/>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w:t>
            </w:r>
          </w:p>
        </w:tc>
        <w:tc>
          <w:tcPr>
            <w:tcW w:w="494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一般公共服务支出</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269.01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143.20 </w:t>
            </w: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125.81 </w:t>
            </w:r>
          </w:p>
        </w:tc>
      </w:tr>
      <w:tr>
        <w:trPr>
          <w:trHeight w:val="285"/>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w:t>
            </w:r>
          </w:p>
        </w:tc>
        <w:tc>
          <w:tcPr>
            <w:tcW w:w="494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海关事务</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269.01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143.20 </w:t>
            </w: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125.81 </w:t>
            </w:r>
          </w:p>
        </w:tc>
      </w:tr>
      <w:tr>
        <w:trPr>
          <w:trHeight w:val="285"/>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2010909</w:t>
            </w:r>
          </w:p>
        </w:tc>
        <w:tc>
          <w:tcPr>
            <w:tcW w:w="494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海关关务</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78.00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78.00 </w:t>
            </w:r>
          </w:p>
        </w:tc>
      </w:tr>
      <w:tr>
        <w:trPr>
          <w:trHeight w:val="284"/>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2010912</w:t>
            </w:r>
          </w:p>
        </w:tc>
        <w:tc>
          <w:tcPr>
            <w:tcW w:w="4946" w:type="dxa"/>
            <w:tcBorders>
              <w:top w:val="nil"/>
              <w:left w:val="nil"/>
              <w:bottom w:val="single" w:sz="4" w:space="0" w:color="000000"/>
              <w:right w:val="single" w:sz="4" w:space="0" w:color="000000"/>
            </w:tcBorders>
            <w:noWrap/>
            <w:vAlign w:val="center"/>
          </w:tcPr>
          <w:p>
            <w:pPr>
              <w:widowControl/>
              <w:ind w:firstLineChars="200" w:firstLine="440"/>
              <w:rPr>
                <w:rFonts w:ascii="宋体" w:cs="宋体"/>
                <w:color w:val="000000"/>
                <w:lang w:eastAsia="zh-CN"/>
              </w:rPr>
            </w:pPr>
            <w:r>
              <w:rPr>
                <w:rFonts w:ascii="宋体" w:cs="宋体"/>
                <w:color w:val="000000"/>
                <w:lang w:eastAsia="zh-CN"/>
              </w:rPr>
              <w:t>检验检疫</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47.81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2010950</w:t>
            </w:r>
          </w:p>
        </w:tc>
        <w:tc>
          <w:tcPr>
            <w:tcW w:w="494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事业运行</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143.20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143.20 </w:t>
            </w: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221</w:t>
            </w:r>
          </w:p>
        </w:tc>
        <w:tc>
          <w:tcPr>
            <w:tcW w:w="494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住房保障支出</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22102</w:t>
            </w:r>
          </w:p>
        </w:tc>
        <w:tc>
          <w:tcPr>
            <w:tcW w:w="494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住房改革支出</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2210201</w:t>
            </w:r>
          </w:p>
        </w:tc>
        <w:tc>
          <w:tcPr>
            <w:tcW w:w="4946"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 xml:space="preserve">    </w:t>
            </w:r>
            <w:r>
              <w:rPr>
                <w:rFonts w:ascii="宋体" w:cs="宋体" w:hint="eastAsia"/>
                <w:color w:val="000000"/>
                <w:lang w:eastAsia="zh-CN"/>
              </w:rPr>
              <w:t>住房公积金</w:t>
            </w:r>
          </w:p>
        </w:tc>
        <w:tc>
          <w:tcPr>
            <w:tcW w:w="239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230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237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70"/>
        </w:trPr>
        <w:tc>
          <w:tcPr>
            <w:tcW w:w="13598" w:type="dxa"/>
            <w:gridSpan w:val="7"/>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lang w:eastAsia="zh-CN"/>
              </w:rPr>
              <w:t>注：本表反映部门本年度一般公共预算财政拨款支出情况。</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tbl>
      <w:tblPr>
        <w:jc w:val="left"/>
        <w:tblInd w:w="-318" w:type="dxa"/>
        <w:tblW w:w="1474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52"/>
        <w:gridCol w:w="3010"/>
        <w:gridCol w:w="533"/>
        <w:gridCol w:w="1276"/>
        <w:gridCol w:w="851"/>
        <w:gridCol w:w="2268"/>
        <w:gridCol w:w="1275"/>
        <w:gridCol w:w="851"/>
        <w:gridCol w:w="2693"/>
        <w:gridCol w:w="1134"/>
      </w:tblGrid>
      <w:tr>
        <w:trPr>
          <w:trHeight w:val="540"/>
        </w:trPr>
        <w:tc>
          <w:tcPr>
            <w:tcW w:w="14743" w:type="dxa"/>
            <w:gridSpan w:val="10"/>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一般公共预算财政拨款基本支出决算明细表</w:t>
            </w:r>
          </w:p>
        </w:tc>
      </w:tr>
      <w:tr>
        <w:trPr>
          <w:trHeight w:val="285"/>
        </w:trPr>
        <w:tc>
          <w:tcPr>
            <w:tcW w:w="3862" w:type="dxa"/>
            <w:gridSpan w:val="2"/>
            <w:tcBorders>
              <w:top w:val="nil"/>
              <w:left w:val="nil"/>
              <w:bottom w:val="nil"/>
              <w:right w:val="nil"/>
            </w:tcBorders>
            <w:noWrap/>
            <w:vAlign w:val="bottom"/>
          </w:tcPr>
          <w:p>
            <w:pPr>
              <w:widowControl/>
              <w:rPr>
                <w:rFonts w:ascii="宋体" w:cs="宋体"/>
                <w:color w:val="000000"/>
                <w:lang w:eastAsia="zh-CN"/>
              </w:rPr>
            </w:pPr>
          </w:p>
        </w:tc>
        <w:tc>
          <w:tcPr>
            <w:tcW w:w="1809" w:type="dxa"/>
            <w:gridSpan w:val="2"/>
            <w:tcBorders>
              <w:top w:val="nil"/>
              <w:left w:val="nil"/>
              <w:bottom w:val="nil"/>
              <w:right w:val="nil"/>
            </w:tcBorders>
            <w:noWrap/>
            <w:vAlign w:val="bottom"/>
          </w:tcPr>
          <w:p>
            <w:pPr>
              <w:widowControl/>
              <w:rPr>
                <w:rFonts w:ascii="宋体" w:cs="宋体"/>
                <w:color w:val="000000"/>
                <w:lang w:eastAsia="zh-CN"/>
              </w:rPr>
            </w:pPr>
          </w:p>
        </w:tc>
        <w:tc>
          <w:tcPr>
            <w:tcW w:w="851" w:type="dxa"/>
            <w:tcBorders>
              <w:top w:val="nil"/>
              <w:left w:val="nil"/>
              <w:bottom w:val="nil"/>
              <w:right w:val="nil"/>
            </w:tcBorders>
            <w:noWrap/>
            <w:vAlign w:val="bottom"/>
          </w:tcPr>
          <w:p>
            <w:pPr>
              <w:widowControl/>
              <w:rPr>
                <w:rFonts w:ascii="宋体" w:cs="宋体"/>
                <w:color w:val="000000"/>
                <w:lang w:eastAsia="zh-CN"/>
              </w:rPr>
            </w:pPr>
          </w:p>
        </w:tc>
        <w:tc>
          <w:tcPr>
            <w:tcW w:w="2268" w:type="dxa"/>
            <w:tcBorders>
              <w:top w:val="nil"/>
              <w:left w:val="nil"/>
              <w:bottom w:val="nil"/>
              <w:right w:val="nil"/>
            </w:tcBorders>
            <w:noWrap/>
            <w:vAlign w:val="bottom"/>
          </w:tcPr>
          <w:p>
            <w:pPr>
              <w:widowControl/>
              <w:rPr>
                <w:rFonts w:ascii="宋体" w:cs="宋体"/>
                <w:color w:val="000000"/>
                <w:lang w:eastAsia="zh-CN"/>
              </w:rPr>
            </w:pPr>
          </w:p>
        </w:tc>
        <w:tc>
          <w:tcPr>
            <w:tcW w:w="1275" w:type="dxa"/>
            <w:tcBorders>
              <w:top w:val="nil"/>
              <w:left w:val="nil"/>
              <w:bottom w:val="nil"/>
              <w:right w:val="nil"/>
            </w:tcBorders>
            <w:noWrap/>
            <w:vAlign w:val="bottom"/>
          </w:tcPr>
          <w:p>
            <w:pPr>
              <w:widowControl/>
              <w:rPr>
                <w:rFonts w:ascii="宋体" w:cs="宋体"/>
                <w:color w:val="000000"/>
                <w:lang w:eastAsia="zh-CN"/>
              </w:rPr>
            </w:pPr>
          </w:p>
        </w:tc>
        <w:tc>
          <w:tcPr>
            <w:tcW w:w="851" w:type="dxa"/>
            <w:tcBorders>
              <w:top w:val="nil"/>
              <w:left w:val="nil"/>
              <w:bottom w:val="nil"/>
              <w:right w:val="nil"/>
            </w:tcBorders>
            <w:noWrap/>
            <w:vAlign w:val="bottom"/>
          </w:tcPr>
          <w:p>
            <w:pPr>
              <w:widowControl/>
              <w:rPr>
                <w:rFonts w:ascii="宋体" w:cs="宋体"/>
                <w:color w:val="000000"/>
                <w:lang w:eastAsia="zh-CN"/>
              </w:rPr>
            </w:pPr>
          </w:p>
        </w:tc>
        <w:tc>
          <w:tcPr>
            <w:tcW w:w="3827" w:type="dxa"/>
            <w:gridSpan w:val="2"/>
            <w:tcBorders>
              <w:top w:val="nil"/>
              <w:left w:val="nil"/>
              <w:bottom w:val="nil"/>
              <w:right w:val="nil"/>
            </w:tcBorders>
            <w:noWrap/>
            <w:vAlign w:val="bottom"/>
          </w:tcPr>
          <w:p>
            <w:pPr>
              <w:widowControl/>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06</w:t>
            </w:r>
            <w:r>
              <w:rPr>
                <w:rFonts w:ascii="宋体" w:cs="宋体" w:hint="eastAsia"/>
                <w:color w:val="000000"/>
                <w:sz w:val="24"/>
                <w:szCs w:val="24"/>
                <w:lang w:eastAsia="zh-CN"/>
              </w:rPr>
              <w:t>表</w:t>
            </w:r>
          </w:p>
        </w:tc>
      </w:tr>
      <w:tr>
        <w:trPr>
          <w:trHeight w:val="285"/>
        </w:trPr>
        <w:tc>
          <w:tcPr>
            <w:tcW w:w="5671" w:type="dxa"/>
            <w:gridSpan w:val="4"/>
            <w:tcBorders>
              <w:top w:val="nil"/>
              <w:left w:val="nil"/>
              <w:bottom w:val="nil"/>
              <w:right w:val="nil"/>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编制单位：嵊泗海关综合技术服务中心</w:t>
            </w:r>
          </w:p>
        </w:tc>
        <w:tc>
          <w:tcPr>
            <w:tcW w:w="851" w:type="dxa"/>
            <w:tcBorders>
              <w:top w:val="nil"/>
              <w:left w:val="nil"/>
              <w:bottom w:val="nil"/>
              <w:right w:val="nil"/>
            </w:tcBorders>
            <w:noWrap/>
            <w:vAlign w:val="bottom"/>
          </w:tcPr>
          <w:p>
            <w:pPr>
              <w:widowControl/>
              <w:rPr>
                <w:rFonts w:ascii="宋体" w:cs="宋体"/>
                <w:color w:val="000000"/>
                <w:lang w:eastAsia="zh-CN"/>
              </w:rPr>
            </w:pPr>
          </w:p>
        </w:tc>
        <w:tc>
          <w:tcPr>
            <w:tcW w:w="2268" w:type="dxa"/>
            <w:tcBorders>
              <w:top w:val="nil"/>
              <w:left w:val="nil"/>
              <w:bottom w:val="nil"/>
              <w:right w:val="nil"/>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2025</w:t>
            </w:r>
            <w:r>
              <w:rPr>
                <w:rFonts w:ascii="宋体" w:cs="宋体" w:hint="eastAsia"/>
                <w:color w:val="000000"/>
                <w:sz w:val="24"/>
                <w:szCs w:val="24"/>
                <w:lang w:eastAsia="zh-CN"/>
              </w:rPr>
              <w:t>年度</w:t>
            </w:r>
          </w:p>
        </w:tc>
        <w:tc>
          <w:tcPr>
            <w:tcW w:w="1275" w:type="dxa"/>
            <w:tcBorders>
              <w:top w:val="nil"/>
              <w:left w:val="nil"/>
              <w:bottom w:val="nil"/>
              <w:right w:val="nil"/>
            </w:tcBorders>
            <w:noWrap/>
            <w:vAlign w:val="bottom"/>
          </w:tcPr>
          <w:p>
            <w:pPr>
              <w:widowControl/>
              <w:rPr>
                <w:rFonts w:ascii="宋体" w:cs="宋体"/>
                <w:color w:val="000000"/>
                <w:lang w:eastAsia="zh-CN"/>
              </w:rPr>
            </w:pPr>
          </w:p>
        </w:tc>
        <w:tc>
          <w:tcPr>
            <w:tcW w:w="851" w:type="dxa"/>
            <w:tcBorders>
              <w:top w:val="nil"/>
              <w:left w:val="nil"/>
              <w:bottom w:val="nil"/>
              <w:right w:val="nil"/>
            </w:tcBorders>
            <w:noWrap/>
            <w:vAlign w:val="bottom"/>
          </w:tcPr>
          <w:p>
            <w:pPr>
              <w:widowControl/>
              <w:rPr>
                <w:rFonts w:ascii="宋体" w:cs="宋体"/>
                <w:color w:val="000000"/>
                <w:lang w:eastAsia="zh-CN"/>
              </w:rPr>
            </w:pPr>
          </w:p>
        </w:tc>
        <w:tc>
          <w:tcPr>
            <w:tcW w:w="3827" w:type="dxa"/>
            <w:gridSpan w:val="2"/>
            <w:tcBorders>
              <w:top w:val="nil"/>
              <w:left w:val="nil"/>
              <w:bottom w:val="nil"/>
              <w:right w:val="nil"/>
            </w:tcBorders>
            <w:noWrap/>
            <w:vAlign w:val="bottom"/>
          </w:tcPr>
          <w:p>
            <w:pPr>
              <w:widowControl/>
              <w:jc w:val="right"/>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285"/>
        </w:trPr>
        <w:tc>
          <w:tcPr>
            <w:tcW w:w="8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3543" w:type="dxa"/>
            <w:gridSpan w:val="2"/>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1276" w:type="dxa"/>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决算数</w:t>
            </w:r>
          </w:p>
        </w:tc>
        <w:tc>
          <w:tcPr>
            <w:tcW w:w="851" w:type="dxa"/>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2268" w:type="dxa"/>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1275" w:type="dxa"/>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决算数</w:t>
            </w:r>
          </w:p>
        </w:tc>
        <w:tc>
          <w:tcPr>
            <w:tcW w:w="851" w:type="dxa"/>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2693" w:type="dxa"/>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1134" w:type="dxa"/>
            <w:vMerge w:val="restart"/>
            <w:tcBorders>
              <w:top w:val="single" w:sz="4" w:space="0" w:color="000000"/>
              <w:left w:val="nil"/>
              <w:bottom w:val="single" w:sz="4" w:space="0" w:color="000000"/>
              <w:right w:val="single" w:sz="4" w:space="0" w:color="000000"/>
            </w:tcBorders>
            <w:noWrap/>
            <w:vAlign w:val="center"/>
          </w:tcPr>
          <w:p>
            <w:pPr>
              <w:widowControl/>
              <w:jc w:val="center"/>
              <w:rPr>
                <w:rFonts w:ascii="宋体" w:cs="宋体"/>
                <w:color w:val="000000"/>
                <w:sz w:val="24"/>
                <w:szCs w:val="24"/>
                <w:lang w:eastAsia="zh-CN"/>
              </w:rPr>
            </w:pPr>
            <w:r>
              <w:rPr>
                <w:rFonts w:ascii="宋体" w:cs="宋体" w:hint="eastAsia"/>
                <w:color w:val="000000"/>
                <w:sz w:val="24"/>
                <w:szCs w:val="24"/>
                <w:lang w:eastAsia="zh-CN"/>
              </w:rPr>
              <w:t>决算数</w:t>
            </w:r>
          </w:p>
        </w:tc>
      </w:tr>
      <w:tr>
        <w:trPr>
          <w:trHeight w:val="285"/>
        </w:trPr>
        <w:tc>
          <w:tcPr>
            <w:tcW w:w="852" w:type="dxa"/>
            <w:vMerge/>
            <w:tcBorders>
              <w:top w:val="single" w:sz="4" w:space="0" w:color="000000"/>
              <w:left w:val="single" w:sz="4" w:space="0" w:color="000000"/>
              <w:bottom w:val="single" w:sz="4" w:space="0" w:color="000000"/>
              <w:right w:val="single" w:sz="4" w:space="0" w:color="000000"/>
            </w:tcBorders>
            <w:vAlign w:val="center"/>
          </w:tcPr>
          <w:p/>
        </w:tc>
        <w:tc>
          <w:tcPr>
            <w:tcW w:w="3543" w:type="dxa"/>
            <w:gridSpan w:val="2"/>
            <w:vMerge/>
            <w:tcBorders>
              <w:top w:val="single" w:sz="4" w:space="0" w:color="000000"/>
              <w:left w:val="nil"/>
              <w:bottom w:val="single" w:sz="4" w:space="0" w:color="000000"/>
              <w:right w:val="single" w:sz="4" w:space="0" w:color="000000"/>
            </w:tcBorders>
            <w:vAlign w:val="center"/>
          </w:tcPr>
          <w:p/>
        </w:tc>
        <w:tc>
          <w:tcPr>
            <w:tcW w:w="1276" w:type="dxa"/>
            <w:vMerge/>
            <w:tcBorders>
              <w:top w:val="single" w:sz="4" w:space="0" w:color="000000"/>
              <w:left w:val="nil"/>
              <w:bottom w:val="single" w:sz="4" w:space="0" w:color="000000"/>
              <w:right w:val="single" w:sz="4" w:space="0" w:color="000000"/>
            </w:tcBorders>
            <w:vAlign w:val="center"/>
          </w:tcPr>
          <w:p/>
        </w:tc>
        <w:tc>
          <w:tcPr>
            <w:tcW w:w="851" w:type="dxa"/>
            <w:vMerge/>
            <w:tcBorders>
              <w:top w:val="single" w:sz="4" w:space="0" w:color="000000"/>
              <w:left w:val="nil"/>
              <w:bottom w:val="single" w:sz="4" w:space="0" w:color="000000"/>
              <w:right w:val="single" w:sz="4" w:space="0" w:color="000000"/>
            </w:tcBorders>
            <w:vAlign w:val="center"/>
          </w:tcPr>
          <w:p/>
        </w:tc>
        <w:tc>
          <w:tcPr>
            <w:tcW w:w="2268" w:type="dxa"/>
            <w:vMerge/>
            <w:tcBorders>
              <w:top w:val="single" w:sz="4" w:space="0" w:color="000000"/>
              <w:left w:val="nil"/>
              <w:bottom w:val="single" w:sz="4" w:space="0" w:color="000000"/>
              <w:right w:val="single" w:sz="4" w:space="0" w:color="000000"/>
            </w:tcBorders>
            <w:vAlign w:val="center"/>
          </w:tcPr>
          <w:p/>
        </w:tc>
        <w:tc>
          <w:tcPr>
            <w:tcW w:w="1275" w:type="dxa"/>
            <w:vMerge/>
            <w:tcBorders>
              <w:top w:val="single" w:sz="4" w:space="0" w:color="000000"/>
              <w:left w:val="nil"/>
              <w:bottom w:val="single" w:sz="4" w:space="0" w:color="000000"/>
              <w:right w:val="single" w:sz="4" w:space="0" w:color="000000"/>
            </w:tcBorders>
            <w:vAlign w:val="center"/>
          </w:tcPr>
          <w:p/>
        </w:tc>
        <w:tc>
          <w:tcPr>
            <w:tcW w:w="851" w:type="dxa"/>
            <w:vMerge/>
            <w:tcBorders>
              <w:top w:val="single" w:sz="4" w:space="0" w:color="000000"/>
              <w:left w:val="nil"/>
              <w:bottom w:val="single" w:sz="4" w:space="0" w:color="000000"/>
              <w:right w:val="single" w:sz="4" w:space="0" w:color="000000"/>
            </w:tcBorders>
            <w:vAlign w:val="center"/>
          </w:tcPr>
          <w:p/>
        </w:tc>
        <w:tc>
          <w:tcPr>
            <w:tcW w:w="2693"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工资福利支出</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113.03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商品和服务支出</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47.68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307</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债务利息及费用支出</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30101</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基本工资</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33.97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30201</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办公费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2.72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30701</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国内债务付息</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30102</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津贴补贴</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1.87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30202</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印刷费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30702</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国外债务付息</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30103</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奖金</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30203</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咨询费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资本性支出</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30106</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伙食补助费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30204</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手续费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31001</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房屋建筑物购建</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30107</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绩效工资</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59.68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30205</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水费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0.48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31002</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办公设备购置</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30108</w:t>
            </w:r>
          </w:p>
        </w:tc>
        <w:tc>
          <w:tcPr>
            <w:tcW w:w="3543" w:type="dxa"/>
            <w:gridSpan w:val="2"/>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机关事业单位基本养老保险缴费</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30206</w:t>
            </w:r>
          </w:p>
        </w:tc>
        <w:tc>
          <w:tcPr>
            <w:tcW w:w="2268"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电费</w:t>
            </w:r>
          </w:p>
        </w:tc>
        <w:tc>
          <w:tcPr>
            <w:tcW w:w="1275"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31003</w:t>
            </w:r>
          </w:p>
        </w:tc>
        <w:tc>
          <w:tcPr>
            <w:tcW w:w="2693"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专用设备购置</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30109</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职业年金缴费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30207</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邮电费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1.96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31005</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基础设施建设</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30110</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职工基本医疗保险缴费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30208</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取暖费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31006</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大型修缮</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30111</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公务员医疗补助缴费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30209</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物业管理费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7.43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31007</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信息网络及软件购置更新</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30112</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其他社会保障缴费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30211</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差旅费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5.31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31008</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物资储备</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30113</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住房公积金</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17.51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30212</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因公出国（境）费用</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31009</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土地补偿</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30114</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医疗费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30213</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维修（护）费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22.99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31010</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安置补助</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30199</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其他工资福利支出</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30214</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租赁费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31011</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地上附着物和青苗补偿</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对个人和家庭的补助</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30215</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会议费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31012</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拆迁补偿</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30301</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离休费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30216</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培训费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31013</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公务用车购置</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30302</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退休费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30217</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公务接待费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31019</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其他交通工具购置</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30303</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退职（役）费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30218</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专用材料费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31021</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文物和陈列品购置</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30304</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抚恤金</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30224</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被装购置费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31022</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无形资产购置</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30305</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生活补助</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30225</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专用燃料费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31099</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其他资本性支出</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30306</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救济费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30226</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劳务费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399</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其他支出</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30307</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医疗费补助</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30227</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委托业务费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0.68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39907</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国家赔偿费用支出</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699"/>
        </w:trPr>
        <w:tc>
          <w:tcPr>
            <w:tcW w:w="852" w:type="dxa"/>
            <w:tcBorders>
              <w:top w:val="nil"/>
              <w:left w:val="single" w:sz="4" w:space="0" w:color="000000"/>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30308</w:t>
            </w:r>
          </w:p>
        </w:tc>
        <w:tc>
          <w:tcPr>
            <w:tcW w:w="3543" w:type="dxa"/>
            <w:gridSpan w:val="2"/>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助学金</w:t>
            </w:r>
          </w:p>
        </w:tc>
        <w:tc>
          <w:tcPr>
            <w:tcW w:w="1276"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30228</w:t>
            </w:r>
          </w:p>
        </w:tc>
        <w:tc>
          <w:tcPr>
            <w:tcW w:w="2268"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工会经费</w:t>
            </w:r>
          </w:p>
        </w:tc>
        <w:tc>
          <w:tcPr>
            <w:tcW w:w="1275"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color w:val="000000"/>
                <w:lang w:eastAsia="zh-CN"/>
              </w:rPr>
              <w:t xml:space="preserve">3.10 </w:t>
            </w:r>
          </w:p>
        </w:tc>
        <w:tc>
          <w:tcPr>
            <w:tcW w:w="851"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color w:val="000000"/>
                <w:lang w:eastAsia="zh-CN"/>
              </w:rPr>
              <w:t>39908</w:t>
            </w:r>
          </w:p>
        </w:tc>
        <w:tc>
          <w:tcPr>
            <w:tcW w:w="2693" w:type="dxa"/>
            <w:tcBorders>
              <w:top w:val="nil"/>
              <w:left w:val="nil"/>
              <w:bottom w:val="single" w:sz="4" w:space="0" w:color="000000"/>
              <w:right w:val="single" w:sz="4" w:space="0" w:color="000000"/>
            </w:tcBorders>
            <w:vAlign w:val="center"/>
          </w:tcPr>
          <w:p>
            <w:pPr>
              <w:widowControl/>
              <w:rPr>
                <w:rFonts w:ascii="宋体" w:cs="宋体"/>
                <w:color w:val="000000"/>
                <w:lang w:eastAsia="zh-CN"/>
              </w:rPr>
            </w:pPr>
            <w:r>
              <w:rPr>
                <w:rFonts w:ascii="宋体" w:cs="宋体" w:hint="eastAsia"/>
                <w:color w:val="000000"/>
                <w:lang w:eastAsia="zh-CN"/>
              </w:rPr>
              <w:t>对民间非营利组织和群众性自治组织补贴</w:t>
            </w:r>
          </w:p>
        </w:tc>
        <w:tc>
          <w:tcPr>
            <w:tcW w:w="1134" w:type="dxa"/>
            <w:tcBorders>
              <w:top w:val="nil"/>
              <w:left w:val="nil"/>
              <w:bottom w:val="single" w:sz="4" w:space="0" w:color="000000"/>
              <w:right w:val="single" w:sz="4" w:space="0" w:color="000000"/>
            </w:tcBorders>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30309</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奖励金</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30229</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福利费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2.47 </w:t>
            </w: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39909</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经常性赠与</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30310</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个人农业生产补贴</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30231</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公务用车运行维护费</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39910</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资本性赠与</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30311</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代缴社会保险费</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30239</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其他交通费用</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39999</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其他支出</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30399</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其他对个人和家庭的补助</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30240</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税金及附加费用</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1134" w:type="dxa"/>
            <w:tcBorders>
              <w:top w:val="nil"/>
              <w:left w:val="nil"/>
              <w:bottom w:val="single" w:sz="4" w:space="0" w:color="000000"/>
              <w:right w:val="single" w:sz="4" w:space="0" w:color="000000"/>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　</w:t>
            </w:r>
          </w:p>
        </w:tc>
      </w:tr>
      <w:tr>
        <w:trPr>
          <w:trHeight w:val="20"/>
        </w:trPr>
        <w:tc>
          <w:tcPr>
            <w:tcW w:w="852" w:type="dxa"/>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3543" w:type="dxa"/>
            <w:gridSpan w:val="2"/>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　</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color w:val="000000"/>
                <w:lang w:eastAsia="zh-CN"/>
              </w:rPr>
              <w:t>30299</w:t>
            </w:r>
          </w:p>
        </w:tc>
        <w:tc>
          <w:tcPr>
            <w:tcW w:w="2268" w:type="dxa"/>
            <w:tcBorders>
              <w:top w:val="nil"/>
              <w:left w:val="nil"/>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其他商品和服务支出</w:t>
            </w:r>
          </w:p>
        </w:tc>
        <w:tc>
          <w:tcPr>
            <w:tcW w:w="127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851" w:type="dxa"/>
            <w:tcBorders>
              <w:top w:val="nil"/>
              <w:left w:val="nil"/>
              <w:bottom w:val="single" w:sz="4" w:space="0" w:color="000000"/>
              <w:right w:val="single" w:sz="4" w:space="0" w:color="000000"/>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　</w:t>
            </w:r>
          </w:p>
        </w:tc>
        <w:tc>
          <w:tcPr>
            <w:tcW w:w="2693" w:type="dxa"/>
            <w:tcBorders>
              <w:top w:val="nil"/>
              <w:left w:val="nil"/>
              <w:bottom w:val="single" w:sz="4" w:space="0" w:color="000000"/>
              <w:right w:val="single" w:sz="4" w:space="0" w:color="000000"/>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　</w:t>
            </w:r>
          </w:p>
        </w:tc>
        <w:tc>
          <w:tcPr>
            <w:tcW w:w="1134" w:type="dxa"/>
            <w:tcBorders>
              <w:top w:val="nil"/>
              <w:left w:val="nil"/>
              <w:bottom w:val="single" w:sz="4" w:space="0" w:color="000000"/>
              <w:right w:val="single" w:sz="4" w:space="0" w:color="000000"/>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　</w:t>
            </w:r>
          </w:p>
        </w:tc>
      </w:tr>
      <w:tr>
        <w:trPr>
          <w:trHeight w:val="20"/>
        </w:trPr>
        <w:tc>
          <w:tcPr>
            <w:tcW w:w="4395" w:type="dxa"/>
            <w:gridSpan w:val="3"/>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人员经费合计</w:t>
            </w:r>
            <w:r>
              <w:rPr>
                <w:rFonts w:ascii="宋体" w:cs="宋体"/>
                <w:color w:val="000000"/>
                <w:lang w:eastAsia="zh-CN"/>
              </w:rPr>
              <w:t xml:space="preserve"> </w:t>
            </w:r>
          </w:p>
        </w:tc>
        <w:tc>
          <w:tcPr>
            <w:tcW w:w="1276"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 xml:space="preserve">113.03 </w:t>
            </w:r>
          </w:p>
        </w:tc>
        <w:tc>
          <w:tcPr>
            <w:tcW w:w="7938" w:type="dxa"/>
            <w:gridSpan w:val="5"/>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公用经费合计</w:t>
            </w:r>
          </w:p>
        </w:tc>
        <w:tc>
          <w:tcPr>
            <w:tcW w:w="113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r>
              <w:rPr>
                <w:rFonts w:ascii="Arial" w:hAnsi="Arial"/>
                <w:color w:val="000000"/>
                <w:lang w:eastAsia="zh-CN"/>
              </w:rPr>
              <w:t>47.68</w:t>
            </w:r>
          </w:p>
        </w:tc>
      </w:tr>
      <w:tr>
        <w:trPr>
          <w:trHeight w:val="20"/>
        </w:trPr>
        <w:tc>
          <w:tcPr>
            <w:tcW w:w="14743" w:type="dxa"/>
            <w:gridSpan w:val="10"/>
            <w:tcBorders>
              <w:top w:val="nil"/>
              <w:left w:val="single" w:sz="4" w:space="0" w:color="000000"/>
              <w:bottom w:val="single" w:sz="4" w:space="0" w:color="000000"/>
              <w:right w:val="single" w:sz="4" w:space="0" w:color="000000"/>
            </w:tcBorders>
            <w:noWrap/>
            <w:vAlign w:val="center"/>
          </w:tcPr>
          <w:p>
            <w:pPr>
              <w:widowControl/>
              <w:rPr>
                <w:rFonts w:ascii="宋体" w:cs="宋体"/>
                <w:color w:val="000000"/>
                <w:lang w:eastAsia="zh-CN"/>
              </w:rPr>
            </w:pPr>
            <w:r>
              <w:rPr>
                <w:rFonts w:ascii="宋体" w:cs="宋体" w:hint="eastAsia"/>
                <w:color w:val="000000"/>
                <w:lang w:eastAsia="zh-CN"/>
              </w:rPr>
              <w:t>注：本表反映部门本年度一般公共预算财政拨款基本支出明细情况。</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rPr>
          <w:rFonts w:ascii="宋体" w:eastAsia="宋体" w:cs="宋体"/>
          <w:sz w:val="32"/>
          <w:szCs w:val="32"/>
          <w:lang w:eastAsia="zh-CN"/>
        </w:rPr>
      </w:pPr>
    </w:p>
    <w:tbl>
      <w:tblPr>
        <w:jc w:val="left"/>
        <w:tblInd w:w="95" w:type="dxa"/>
        <w:tblW w:w="1426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113"/>
        <w:gridCol w:w="2753"/>
        <w:gridCol w:w="797"/>
        <w:gridCol w:w="1518"/>
        <w:gridCol w:w="1339"/>
        <w:gridCol w:w="1546"/>
        <w:gridCol w:w="1339"/>
        <w:gridCol w:w="1339"/>
        <w:gridCol w:w="2522"/>
      </w:tblGrid>
      <w:tr>
        <w:trPr>
          <w:trHeight w:val="540"/>
        </w:trPr>
        <w:tc>
          <w:tcPr>
            <w:tcW w:w="14265" w:type="dxa"/>
            <w:gridSpan w:val="9"/>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政府性基金预算财政拨款收入支出决算表</w:t>
            </w:r>
          </w:p>
        </w:tc>
      </w:tr>
      <w:tr>
        <w:trPr>
          <w:trHeight w:val="285"/>
        </w:trPr>
        <w:tc>
          <w:tcPr>
            <w:tcW w:w="3866" w:type="dxa"/>
            <w:gridSpan w:val="2"/>
            <w:tcBorders>
              <w:top w:val="nil"/>
              <w:left w:val="nil"/>
              <w:bottom w:val="nil"/>
              <w:right w:val="nil"/>
            </w:tcBorders>
            <w:noWrap/>
            <w:vAlign w:val="bottom"/>
          </w:tcPr>
          <w:p>
            <w:pPr>
              <w:widowControl/>
              <w:rPr>
                <w:rFonts w:ascii="宋体" w:cs="宋体"/>
                <w:color w:val="000000"/>
                <w:lang w:eastAsia="zh-CN"/>
              </w:rPr>
            </w:pPr>
          </w:p>
        </w:tc>
        <w:tc>
          <w:tcPr>
            <w:tcW w:w="2315" w:type="dxa"/>
            <w:gridSpan w:val="2"/>
            <w:tcBorders>
              <w:top w:val="nil"/>
              <w:left w:val="nil"/>
              <w:bottom w:val="nil"/>
              <w:right w:val="nil"/>
            </w:tcBorders>
            <w:noWrap/>
            <w:vAlign w:val="bottom"/>
          </w:tcPr>
          <w:p>
            <w:pPr>
              <w:widowControl/>
              <w:rPr>
                <w:rFonts w:ascii="宋体" w:cs="宋体"/>
                <w:color w:val="000000"/>
                <w:lang w:eastAsia="zh-CN"/>
              </w:rPr>
            </w:pPr>
          </w:p>
        </w:tc>
        <w:tc>
          <w:tcPr>
            <w:tcW w:w="1339" w:type="dxa"/>
            <w:tcBorders>
              <w:top w:val="nil"/>
              <w:left w:val="nil"/>
              <w:bottom w:val="nil"/>
              <w:right w:val="nil"/>
            </w:tcBorders>
            <w:noWrap/>
            <w:vAlign w:val="bottom"/>
          </w:tcPr>
          <w:p>
            <w:pPr>
              <w:widowControl/>
              <w:rPr>
                <w:rFonts w:ascii="宋体" w:cs="宋体"/>
                <w:color w:val="000000"/>
                <w:lang w:eastAsia="zh-CN"/>
              </w:rPr>
            </w:pPr>
          </w:p>
        </w:tc>
        <w:tc>
          <w:tcPr>
            <w:tcW w:w="1546" w:type="dxa"/>
            <w:tcBorders>
              <w:top w:val="nil"/>
              <w:left w:val="nil"/>
              <w:bottom w:val="nil"/>
              <w:right w:val="nil"/>
            </w:tcBorders>
            <w:noWrap/>
            <w:vAlign w:val="bottom"/>
          </w:tcPr>
          <w:p>
            <w:pPr>
              <w:widowControl/>
              <w:rPr>
                <w:rFonts w:ascii="宋体" w:cs="宋体"/>
                <w:color w:val="000000"/>
                <w:lang w:eastAsia="zh-CN"/>
              </w:rPr>
            </w:pPr>
          </w:p>
        </w:tc>
        <w:tc>
          <w:tcPr>
            <w:tcW w:w="1339" w:type="dxa"/>
            <w:tcBorders>
              <w:top w:val="nil"/>
              <w:left w:val="nil"/>
              <w:bottom w:val="nil"/>
              <w:right w:val="nil"/>
            </w:tcBorders>
            <w:noWrap/>
            <w:vAlign w:val="bottom"/>
          </w:tcPr>
          <w:p>
            <w:pPr>
              <w:widowControl/>
              <w:rPr>
                <w:rFonts w:ascii="宋体" w:cs="宋体"/>
                <w:color w:val="000000"/>
                <w:lang w:eastAsia="zh-CN"/>
              </w:rPr>
            </w:pPr>
          </w:p>
        </w:tc>
        <w:tc>
          <w:tcPr>
            <w:tcW w:w="1339" w:type="dxa"/>
            <w:tcBorders>
              <w:top w:val="nil"/>
              <w:left w:val="nil"/>
              <w:bottom w:val="nil"/>
              <w:right w:val="nil"/>
            </w:tcBorders>
            <w:noWrap/>
            <w:vAlign w:val="bottom"/>
          </w:tcPr>
          <w:p>
            <w:pPr>
              <w:widowControl/>
              <w:rPr>
                <w:rFonts w:ascii="宋体" w:cs="宋体"/>
                <w:color w:val="000000"/>
                <w:lang w:eastAsia="zh-CN"/>
              </w:rPr>
            </w:pPr>
          </w:p>
        </w:tc>
        <w:tc>
          <w:tcPr>
            <w:tcW w:w="2522"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07</w:t>
            </w:r>
            <w:r>
              <w:rPr>
                <w:rFonts w:ascii="宋体" w:cs="宋体" w:hint="eastAsia"/>
                <w:color w:val="000000"/>
                <w:sz w:val="24"/>
                <w:szCs w:val="24"/>
                <w:lang w:eastAsia="zh-CN"/>
              </w:rPr>
              <w:t>表</w:t>
            </w:r>
          </w:p>
        </w:tc>
      </w:tr>
      <w:tr>
        <w:trPr>
          <w:trHeight w:val="285"/>
        </w:trPr>
        <w:tc>
          <w:tcPr>
            <w:tcW w:w="6181" w:type="dxa"/>
            <w:gridSpan w:val="4"/>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sz w:val="24"/>
                <w:szCs w:val="24"/>
                <w:lang w:eastAsia="zh-CN"/>
              </w:rPr>
              <w:t>编制单位：嵊泗海关综合技术服务中心</w:t>
            </w:r>
          </w:p>
        </w:tc>
        <w:tc>
          <w:tcPr>
            <w:tcW w:w="1339" w:type="dxa"/>
            <w:tcBorders>
              <w:top w:val="nil"/>
              <w:left w:val="nil"/>
              <w:bottom w:val="nil"/>
              <w:right w:val="nil"/>
            </w:tcBorders>
            <w:noWrap/>
            <w:vAlign w:val="bottom"/>
          </w:tcPr>
          <w:p>
            <w:pPr>
              <w:widowControl/>
              <w:rPr>
                <w:rFonts w:ascii="宋体" w:cs="宋体"/>
                <w:color w:val="000000"/>
                <w:lang w:eastAsia="zh-CN"/>
              </w:rPr>
            </w:pPr>
            <w:r>
              <w:rPr>
                <w:rFonts w:ascii="宋体" w:cs="宋体"/>
                <w:color w:val="000000"/>
                <w:sz w:val="24"/>
                <w:szCs w:val="24"/>
                <w:lang w:eastAsia="zh-CN"/>
              </w:rPr>
              <w:t>2025</w:t>
            </w:r>
            <w:r>
              <w:rPr>
                <w:rFonts w:ascii="宋体" w:cs="宋体" w:hint="eastAsia"/>
                <w:color w:val="000000"/>
                <w:sz w:val="24"/>
                <w:szCs w:val="24"/>
                <w:lang w:eastAsia="zh-CN"/>
              </w:rPr>
              <w:t>度</w:t>
            </w:r>
          </w:p>
        </w:tc>
        <w:tc>
          <w:tcPr>
            <w:tcW w:w="1546" w:type="dxa"/>
            <w:tcBorders>
              <w:top w:val="nil"/>
              <w:left w:val="nil"/>
              <w:bottom w:val="nil"/>
              <w:right w:val="nil"/>
            </w:tcBorders>
            <w:noWrap/>
            <w:vAlign w:val="center"/>
          </w:tcPr>
          <w:p>
            <w:pPr>
              <w:widowControl/>
              <w:jc w:val="center"/>
              <w:rPr>
                <w:rFonts w:ascii="宋体" w:cs="宋体"/>
                <w:color w:val="000000"/>
                <w:sz w:val="24"/>
                <w:szCs w:val="24"/>
                <w:lang w:eastAsia="zh-CN"/>
              </w:rPr>
            </w:pPr>
          </w:p>
        </w:tc>
        <w:tc>
          <w:tcPr>
            <w:tcW w:w="1339" w:type="dxa"/>
            <w:tcBorders>
              <w:top w:val="nil"/>
              <w:left w:val="nil"/>
              <w:bottom w:val="nil"/>
              <w:right w:val="nil"/>
            </w:tcBorders>
            <w:noWrap/>
            <w:vAlign w:val="bottom"/>
          </w:tcPr>
          <w:p>
            <w:pPr>
              <w:widowControl/>
              <w:rPr>
                <w:rFonts w:ascii="宋体" w:cs="宋体"/>
                <w:color w:val="000000"/>
                <w:lang w:eastAsia="zh-CN"/>
              </w:rPr>
            </w:pPr>
          </w:p>
        </w:tc>
        <w:tc>
          <w:tcPr>
            <w:tcW w:w="1339" w:type="dxa"/>
            <w:tcBorders>
              <w:top w:val="nil"/>
              <w:left w:val="nil"/>
              <w:bottom w:val="nil"/>
              <w:right w:val="nil"/>
            </w:tcBorders>
            <w:noWrap/>
            <w:vAlign w:val="bottom"/>
          </w:tcPr>
          <w:p>
            <w:pPr>
              <w:widowControl/>
              <w:rPr>
                <w:rFonts w:ascii="宋体" w:cs="宋体"/>
                <w:color w:val="000000"/>
                <w:lang w:eastAsia="zh-CN"/>
              </w:rPr>
            </w:pPr>
          </w:p>
        </w:tc>
        <w:tc>
          <w:tcPr>
            <w:tcW w:w="2522"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270"/>
        </w:trPr>
        <w:tc>
          <w:tcPr>
            <w:tcW w:w="4663" w:type="dxa"/>
            <w:gridSpan w:val="3"/>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项目</w:t>
            </w:r>
          </w:p>
        </w:tc>
        <w:tc>
          <w:tcPr>
            <w:tcW w:w="1518" w:type="dxa"/>
            <w:vMerge w:val="restart"/>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年初结转和结余</w:t>
            </w:r>
            <w:r>
              <w:rPr>
                <w:rFonts w:ascii="宋体" w:cs="宋体"/>
                <w:color w:val="000000"/>
                <w:lang w:eastAsia="zh-CN"/>
              </w:rPr>
              <w:t xml:space="preserve"> </w:t>
            </w:r>
          </w:p>
        </w:tc>
        <w:tc>
          <w:tcPr>
            <w:tcW w:w="1339" w:type="dxa"/>
            <w:vMerge w:val="restart"/>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本年收入</w:t>
            </w:r>
          </w:p>
        </w:tc>
        <w:tc>
          <w:tcPr>
            <w:tcW w:w="4224" w:type="dxa"/>
            <w:gridSpan w:val="3"/>
            <w:tcBorders>
              <w:top w:val="single" w:sz="4" w:space="0" w:color="auto"/>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本年支出</w:t>
            </w:r>
          </w:p>
        </w:tc>
        <w:tc>
          <w:tcPr>
            <w:tcW w:w="2522" w:type="dxa"/>
            <w:vMerge w:val="restart"/>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年末结转和结余</w:t>
            </w:r>
          </w:p>
        </w:tc>
      </w:tr>
      <w:tr>
        <w:trPr>
          <w:trHeight w:val="312"/>
        </w:trPr>
        <w:tc>
          <w:tcPr>
            <w:tcW w:w="1113"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3550" w:type="dxa"/>
            <w:gridSpan w:val="2"/>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1518" w:type="dxa"/>
            <w:vMerge/>
            <w:tcBorders>
              <w:top w:val="single" w:sz="4" w:space="0" w:color="auto"/>
              <w:left w:val="single" w:sz="4" w:space="0" w:color="auto"/>
              <w:bottom w:val="single" w:sz="4" w:space="0" w:color="auto"/>
              <w:right w:val="single" w:sz="4" w:space="0" w:color="auto"/>
            </w:tcBorders>
            <w:vAlign w:val="center"/>
          </w:tcPr>
          <w:p/>
        </w:tc>
        <w:tc>
          <w:tcPr>
            <w:tcW w:w="1339" w:type="dxa"/>
            <w:vMerge/>
            <w:tcBorders>
              <w:top w:val="single" w:sz="4" w:space="0" w:color="auto"/>
              <w:left w:val="single" w:sz="4" w:space="0" w:color="auto"/>
              <w:bottom w:val="single" w:sz="4" w:space="0" w:color="auto"/>
              <w:right w:val="single" w:sz="4" w:space="0" w:color="auto"/>
            </w:tcBorders>
            <w:vAlign w:val="center"/>
          </w:tcPr>
          <w:p/>
        </w:tc>
        <w:tc>
          <w:tcPr>
            <w:tcW w:w="1546"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小计</w:t>
            </w:r>
          </w:p>
        </w:tc>
        <w:tc>
          <w:tcPr>
            <w:tcW w:w="1339"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基本支出</w:t>
            </w:r>
            <w:r>
              <w:rPr>
                <w:rFonts w:ascii="宋体" w:cs="宋体"/>
                <w:color w:val="000000"/>
                <w:lang w:eastAsia="zh-CN"/>
              </w:rPr>
              <w:t xml:space="preserve"> </w:t>
            </w:r>
          </w:p>
        </w:tc>
        <w:tc>
          <w:tcPr>
            <w:tcW w:w="1339"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项目支出</w:t>
            </w:r>
          </w:p>
        </w:tc>
        <w:tc>
          <w:tcPr>
            <w:tcW w:w="2522" w:type="dxa"/>
            <w:vMerge/>
            <w:tcBorders>
              <w:top w:val="single" w:sz="4" w:space="0" w:color="auto"/>
              <w:left w:val="single" w:sz="4" w:space="0" w:color="auto"/>
              <w:bottom w:val="single" w:sz="4" w:space="0" w:color="auto"/>
              <w:right w:val="single" w:sz="4" w:space="0" w:color="auto"/>
            </w:tcBorders>
            <w:vAlign w:val="center"/>
          </w:tcPr>
          <w:p/>
        </w:tc>
      </w:tr>
      <w:tr>
        <w:trPr>
          <w:trHeight w:val="312"/>
        </w:trPr>
        <w:tc>
          <w:tcPr>
            <w:tcW w:w="1113" w:type="dxa"/>
            <w:vMerge/>
            <w:tcBorders>
              <w:top w:val="nil"/>
              <w:left w:val="single" w:sz="4" w:space="0" w:color="auto"/>
              <w:bottom w:val="single" w:sz="4" w:space="0" w:color="auto"/>
              <w:right w:val="single" w:sz="4" w:space="0" w:color="auto"/>
            </w:tcBorders>
            <w:vAlign w:val="center"/>
          </w:tcPr>
          <w:p/>
        </w:tc>
        <w:tc>
          <w:tcPr>
            <w:tcW w:w="1100" w:type="dxa"/>
            <w:gridSpan w:val="2"/>
            <w:vMerge/>
            <w:tcBorders>
              <w:top w:val="nil"/>
              <w:left w:val="single" w:sz="4" w:space="0" w:color="auto"/>
              <w:bottom w:val="single" w:sz="4" w:space="0" w:color="auto"/>
              <w:right w:val="single" w:sz="4" w:space="0" w:color="auto"/>
            </w:tcBorders>
            <w:vAlign w:val="center"/>
          </w:tcPr>
          <w:p/>
        </w:tc>
        <w:tc>
          <w:tcPr>
            <w:tcW w:w="1518" w:type="dxa"/>
            <w:vMerge/>
            <w:tcBorders>
              <w:top w:val="single" w:sz="4" w:space="0" w:color="auto"/>
              <w:left w:val="single" w:sz="4" w:space="0" w:color="auto"/>
              <w:bottom w:val="single" w:sz="4" w:space="0" w:color="auto"/>
              <w:right w:val="single" w:sz="4" w:space="0" w:color="auto"/>
            </w:tcBorders>
            <w:vAlign w:val="center"/>
          </w:tcPr>
          <w:p/>
        </w:tc>
        <w:tc>
          <w:tcPr>
            <w:tcW w:w="1339" w:type="dxa"/>
            <w:vMerge/>
            <w:tcBorders>
              <w:top w:val="single" w:sz="4" w:space="0" w:color="auto"/>
              <w:left w:val="single" w:sz="4" w:space="0" w:color="auto"/>
              <w:bottom w:val="single" w:sz="4" w:space="0" w:color="auto"/>
              <w:right w:val="single" w:sz="4" w:space="0" w:color="auto"/>
            </w:tcBorders>
            <w:vAlign w:val="center"/>
          </w:tcPr>
          <w:p/>
        </w:tc>
        <w:tc>
          <w:tcPr>
            <w:tcW w:w="1546" w:type="dxa"/>
            <w:vMerge/>
            <w:tcBorders>
              <w:top w:val="nil"/>
              <w:left w:val="single" w:sz="4" w:space="0" w:color="auto"/>
              <w:bottom w:val="single" w:sz="4" w:space="0" w:color="auto"/>
              <w:right w:val="single" w:sz="4" w:space="0" w:color="auto"/>
            </w:tcBorders>
            <w:vAlign w:val="center"/>
          </w:tcPr>
          <w:p/>
        </w:tc>
        <w:tc>
          <w:tcPr>
            <w:tcW w:w="1339" w:type="dxa"/>
            <w:vMerge/>
            <w:tcBorders>
              <w:top w:val="nil"/>
              <w:left w:val="single" w:sz="4" w:space="0" w:color="auto"/>
              <w:bottom w:val="single" w:sz="4" w:space="0" w:color="auto"/>
              <w:right w:val="single" w:sz="4" w:space="0" w:color="auto"/>
            </w:tcBorders>
            <w:vAlign w:val="center"/>
          </w:tcPr>
          <w:p/>
        </w:tc>
        <w:tc>
          <w:tcPr>
            <w:tcW w:w="1339" w:type="dxa"/>
            <w:vMerge/>
            <w:tcBorders>
              <w:top w:val="nil"/>
              <w:left w:val="single" w:sz="4" w:space="0" w:color="auto"/>
              <w:bottom w:val="single" w:sz="4" w:space="0" w:color="auto"/>
              <w:right w:val="single" w:sz="4" w:space="0" w:color="auto"/>
            </w:tcBorders>
            <w:vAlign w:val="center"/>
          </w:tcPr>
          <w:p/>
        </w:tc>
        <w:tc>
          <w:tcPr>
            <w:tcW w:w="2522" w:type="dxa"/>
            <w:vMerge/>
            <w:tcBorders>
              <w:top w:val="single" w:sz="4" w:space="0" w:color="auto"/>
              <w:left w:val="single" w:sz="4" w:space="0" w:color="auto"/>
              <w:bottom w:val="single" w:sz="4" w:space="0" w:color="auto"/>
              <w:right w:val="single" w:sz="4" w:space="0" w:color="auto"/>
            </w:tcBorders>
            <w:vAlign w:val="center"/>
          </w:tcPr>
          <w:p/>
        </w:tc>
      </w:tr>
      <w:tr>
        <w:trPr>
          <w:trHeight w:val="269"/>
        </w:trPr>
        <w:tc>
          <w:tcPr>
            <w:tcW w:w="4663" w:type="dxa"/>
            <w:gridSpan w:val="3"/>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栏次</w:t>
            </w:r>
          </w:p>
        </w:tc>
        <w:tc>
          <w:tcPr>
            <w:tcW w:w="1518" w:type="dxa"/>
            <w:tcBorders>
              <w:top w:val="nil"/>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color w:val="000000"/>
                <w:lang w:eastAsia="zh-CN"/>
              </w:rPr>
              <w:t>1</w:t>
            </w:r>
          </w:p>
        </w:tc>
        <w:tc>
          <w:tcPr>
            <w:tcW w:w="1339" w:type="dxa"/>
            <w:tcBorders>
              <w:top w:val="nil"/>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color w:val="000000"/>
                <w:lang w:eastAsia="zh-CN"/>
              </w:rPr>
              <w:t>2</w:t>
            </w:r>
          </w:p>
        </w:tc>
        <w:tc>
          <w:tcPr>
            <w:tcW w:w="1546" w:type="dxa"/>
            <w:tcBorders>
              <w:top w:val="nil"/>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color w:val="000000"/>
                <w:lang w:eastAsia="zh-CN"/>
              </w:rPr>
              <w:t>3</w:t>
            </w:r>
          </w:p>
        </w:tc>
        <w:tc>
          <w:tcPr>
            <w:tcW w:w="1339" w:type="dxa"/>
            <w:tcBorders>
              <w:top w:val="nil"/>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color w:val="000000"/>
                <w:lang w:eastAsia="zh-CN"/>
              </w:rPr>
              <w:t>4</w:t>
            </w:r>
          </w:p>
        </w:tc>
        <w:tc>
          <w:tcPr>
            <w:tcW w:w="1339" w:type="dxa"/>
            <w:tcBorders>
              <w:top w:val="nil"/>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color w:val="000000"/>
                <w:lang w:eastAsia="zh-CN"/>
              </w:rPr>
              <w:t>5</w:t>
            </w:r>
          </w:p>
        </w:tc>
        <w:tc>
          <w:tcPr>
            <w:tcW w:w="2522" w:type="dxa"/>
            <w:tcBorders>
              <w:top w:val="nil"/>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color w:val="000000"/>
                <w:lang w:eastAsia="zh-CN"/>
              </w:rPr>
              <w:t>6</w:t>
            </w:r>
          </w:p>
        </w:tc>
      </w:tr>
      <w:tr>
        <w:trPr>
          <w:trHeight w:val="284"/>
        </w:trPr>
        <w:tc>
          <w:tcPr>
            <w:tcW w:w="4663" w:type="dxa"/>
            <w:gridSpan w:val="3"/>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1518"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89.85</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546"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2522"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443.35 </w:t>
            </w:r>
          </w:p>
        </w:tc>
      </w:tr>
      <w:tr>
        <w:trPr>
          <w:trHeight w:val="284"/>
        </w:trPr>
        <w:tc>
          <w:tcPr>
            <w:tcW w:w="1113" w:type="dxa"/>
            <w:tcBorders>
              <w:top w:val="single" w:sz="4" w:space="0" w:color="auto"/>
              <w:left w:val="single" w:sz="4" w:space="0" w:color="auto"/>
              <w:bottom w:val="single" w:sz="4" w:space="0" w:color="auto"/>
              <w:right w:val="single" w:sz="4" w:space="0" w:color="auto"/>
            </w:tcBorders>
            <w:noWrap/>
            <w:vAlign w:val="center"/>
          </w:tcPr>
          <w:p>
            <w:pPr>
              <w:pStyle w:val="197"/>
              <w:rPr>
                <w:rFonts w:ascii="宋体" w:eastAsia="宋体"/>
                <w:b w:val="0"/>
                <w:i w:val="0"/>
                <w:sz w:val="24"/>
              </w:rPr>
            </w:pPr>
            <w:r>
              <w:rPr>
                <w:rFonts w:ascii="宋体" w:eastAsia="宋体"/>
                <w:b w:val="0"/>
                <w:i w:val="0"/>
                <w:sz w:val="24"/>
              </w:rPr>
              <w:t>229</w:t>
            </w:r>
          </w:p>
        </w:tc>
        <w:tc>
          <w:tcPr>
            <w:tcW w:w="3550" w:type="dxa"/>
            <w:gridSpan w:val="2"/>
            <w:tcBorders>
              <w:top w:val="single" w:sz="4" w:space="0" w:color="auto"/>
              <w:left w:val="single" w:sz="4" w:space="0" w:color="auto"/>
              <w:bottom w:val="single" w:sz="4" w:space="0" w:color="auto"/>
              <w:right w:val="single" w:sz="4" w:space="0" w:color="auto"/>
            </w:tcBorders>
            <w:noWrap/>
            <w:vAlign w:val="center"/>
          </w:tcPr>
          <w:p>
            <w:pPr>
              <w:pStyle w:val="198"/>
              <w:widowControl/>
              <w:rPr>
                <w:rFonts w:ascii="宋体" w:cs="宋体"/>
                <w:color w:val="000000"/>
                <w:lang w:eastAsia="zh-CN"/>
              </w:rPr>
            </w:pPr>
            <w:r>
              <w:rPr>
                <w:rFonts w:ascii="宋体" w:cs="宋体" w:hint="eastAsia"/>
                <w:color w:val="000000"/>
                <w:lang w:eastAsia="zh-CN"/>
              </w:rPr>
              <w:t>其他支出</w:t>
            </w:r>
          </w:p>
        </w:tc>
        <w:tc>
          <w:tcPr>
            <w:tcW w:w="1518"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89.85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546"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2522"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443.35 </w:t>
            </w:r>
          </w:p>
        </w:tc>
      </w:tr>
      <w:tr>
        <w:trPr>
          <w:trHeight w:val="284"/>
        </w:trPr>
        <w:tc>
          <w:tcPr>
            <w:tcW w:w="1113" w:type="dxa"/>
            <w:tcBorders>
              <w:top w:val="single" w:sz="4" w:space="0" w:color="auto"/>
              <w:left w:val="single" w:sz="4" w:space="0" w:color="auto"/>
              <w:bottom w:val="single" w:sz="4" w:space="0" w:color="auto"/>
              <w:right w:val="single" w:sz="4" w:space="0" w:color="auto"/>
              <w:tl2br w:val="nil"/>
              <w:tr2bl w:val="nil"/>
            </w:tcBorders>
            <w:noWrap/>
            <w:vAlign w:val="center"/>
          </w:tcPr>
          <w:p>
            <w:pPr>
              <w:pStyle w:val="196"/>
              <w:rPr>
                <w:rFonts w:ascii="宋体" w:eastAsia="宋体"/>
                <w:b w:val="0"/>
                <w:i w:val="0"/>
                <w:sz w:val="24"/>
              </w:rPr>
            </w:pPr>
            <w:r>
              <w:rPr>
                <w:rFonts w:ascii="宋体" w:eastAsia="宋体"/>
                <w:b w:val="0"/>
                <w:i w:val="0"/>
                <w:sz w:val="24"/>
              </w:rPr>
              <w:t>22998</w:t>
            </w:r>
          </w:p>
        </w:tc>
        <w:tc>
          <w:tcPr>
            <w:tcW w:w="3550" w:type="dxa"/>
            <w:gridSpan w:val="2"/>
            <w:tcBorders>
              <w:top w:val="single" w:sz="4" w:space="0" w:color="auto"/>
              <w:left w:val="single" w:sz="4" w:space="0" w:color="auto"/>
              <w:bottom w:val="single" w:sz="4" w:space="0" w:color="auto"/>
              <w:right w:val="single" w:sz="4" w:space="0" w:color="auto"/>
              <w:tl2br w:val="nil"/>
              <w:tr2bl w:val="nil"/>
            </w:tcBorders>
            <w:noWrap/>
            <w:vAlign w:val="center"/>
          </w:tcPr>
          <w:p>
            <w:pPr>
              <w:pStyle w:val="196"/>
              <w:widowControl/>
              <w:rPr>
                <w:rFonts w:ascii="宋体" w:cs="宋体"/>
                <w:color w:val="000000"/>
                <w:lang w:eastAsia="zh-CN"/>
              </w:rPr>
            </w:pPr>
            <w:r>
              <w:rPr>
                <w:rFonts w:ascii="宋体" w:cs="宋体" w:hint="eastAsia"/>
                <w:color w:val="000000"/>
                <w:lang w:eastAsia="zh-CN"/>
              </w:rPr>
              <w:t>超长期特别国债安排的其他支出</w:t>
            </w:r>
          </w:p>
        </w:tc>
        <w:tc>
          <w:tcPr>
            <w:tcW w:w="1518"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89.85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546"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2522"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443.35 </w:t>
            </w:r>
          </w:p>
        </w:tc>
      </w:tr>
      <w:tr>
        <w:trPr>
          <w:trHeight w:val="284"/>
        </w:trPr>
        <w:tc>
          <w:tcPr>
            <w:tcW w:w="1113" w:type="dxa"/>
            <w:tcBorders>
              <w:top w:val="single" w:sz="4" w:space="0" w:color="auto"/>
              <w:left w:val="single" w:sz="4" w:space="0" w:color="auto"/>
              <w:bottom w:val="single" w:sz="4" w:space="0" w:color="auto"/>
              <w:right w:val="single" w:sz="4" w:space="0" w:color="auto"/>
              <w:tl2br w:val="nil"/>
              <w:tr2bl w:val="nil"/>
            </w:tcBorders>
            <w:noWrap/>
            <w:vAlign w:val="center"/>
          </w:tcPr>
          <w:p>
            <w:pPr>
              <w:pStyle w:val="196"/>
              <w:rPr>
                <w:rFonts w:ascii="宋体" w:eastAsia="宋体"/>
                <w:b w:val="0"/>
                <w:i w:val="0"/>
                <w:sz w:val="24"/>
              </w:rPr>
            </w:pPr>
            <w:r>
              <w:rPr>
                <w:rFonts w:ascii="宋体" w:eastAsia="宋体"/>
                <w:b w:val="0"/>
                <w:i w:val="0"/>
                <w:sz w:val="24"/>
              </w:rPr>
              <w:t>2299899</w:t>
            </w:r>
          </w:p>
        </w:tc>
        <w:tc>
          <w:tcPr>
            <w:tcW w:w="3550" w:type="dxa"/>
            <w:gridSpan w:val="2"/>
            <w:tcBorders>
              <w:top w:val="single" w:sz="4" w:space="0" w:color="auto"/>
              <w:left w:val="single" w:sz="4" w:space="0" w:color="auto"/>
              <w:bottom w:val="single" w:sz="4" w:space="0" w:color="auto"/>
              <w:right w:val="single" w:sz="4" w:space="0" w:color="auto"/>
              <w:tl2br w:val="nil"/>
              <w:tr2bl w:val="nil"/>
            </w:tcBorders>
            <w:noWrap/>
            <w:vAlign w:val="center"/>
          </w:tcPr>
          <w:p>
            <w:pPr>
              <w:pStyle w:val="196"/>
              <w:widowControl/>
              <w:rPr>
                <w:rFonts w:ascii="宋体" w:cs="宋体"/>
                <w:color w:val="000000"/>
                <w:lang w:eastAsia="zh-CN"/>
              </w:rPr>
            </w:pPr>
            <w:r>
              <w:rPr>
                <w:rFonts w:ascii="宋体" w:cs="宋体" w:hint="eastAsia"/>
                <w:color w:val="000000"/>
                <w:lang w:eastAsia="zh-CN"/>
              </w:rPr>
              <w:t>其他支出</w:t>
            </w:r>
          </w:p>
        </w:tc>
        <w:tc>
          <w:tcPr>
            <w:tcW w:w="1518"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89.85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461.00 </w:t>
            </w:r>
          </w:p>
        </w:tc>
        <w:tc>
          <w:tcPr>
            <w:tcW w:w="1546"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hint="eastAsia"/>
                <w:color w:val="000000"/>
                <w:lang w:eastAsia="zh-CN"/>
              </w:rPr>
              <w:t>　</w:t>
            </w:r>
          </w:p>
        </w:tc>
        <w:tc>
          <w:tcPr>
            <w:tcW w:w="1339"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107.50 </w:t>
            </w:r>
          </w:p>
        </w:tc>
        <w:tc>
          <w:tcPr>
            <w:tcW w:w="2522" w:type="dxa"/>
            <w:tcBorders>
              <w:top w:val="nil"/>
              <w:left w:val="nil"/>
              <w:bottom w:val="single" w:sz="4" w:space="0" w:color="auto"/>
              <w:right w:val="single" w:sz="4" w:space="0" w:color="auto"/>
            </w:tcBorders>
            <w:noWrap/>
            <w:vAlign w:val="center"/>
          </w:tcPr>
          <w:p>
            <w:pPr>
              <w:widowControl/>
              <w:jc w:val="right"/>
              <w:rPr>
                <w:rFonts w:ascii="Arial" w:hAnsi="Arial"/>
                <w:color w:val="000000"/>
                <w:lang w:eastAsia="zh-CN"/>
              </w:rPr>
            </w:pPr>
            <w:r>
              <w:rPr>
                <w:rFonts w:ascii="Arial" w:hAnsi="Arial"/>
                <w:color w:val="000000"/>
                <w:lang w:eastAsia="zh-CN"/>
              </w:rPr>
              <w:t xml:space="preserve">443.35 </w:t>
            </w:r>
          </w:p>
        </w:tc>
      </w:tr>
      <w:tr>
        <w:trPr>
          <w:trHeight w:val="270"/>
        </w:trPr>
        <w:tc>
          <w:tcPr>
            <w:tcW w:w="14265" w:type="dxa"/>
            <w:gridSpan w:val="9"/>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lang w:eastAsia="zh-CN"/>
              </w:rPr>
              <w:t>注：本表反映部门本年度政府性基金预算财政拨款收入、支出及结转和结余情况。</w:t>
            </w:r>
          </w:p>
        </w:tc>
      </w:tr>
    </w:tbl>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tbl>
      <w:tblPr>
        <w:jc w:val="left"/>
        <w:tblInd w:w="108" w:type="dxa"/>
        <w:tblW w:w="1353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44"/>
        <w:gridCol w:w="2243"/>
        <w:gridCol w:w="2571"/>
        <w:gridCol w:w="2243"/>
        <w:gridCol w:w="4235"/>
      </w:tblGrid>
      <w:tr>
        <w:trPr>
          <w:trHeight w:val="540"/>
        </w:trPr>
        <w:tc>
          <w:tcPr>
            <w:tcW w:w="13536" w:type="dxa"/>
            <w:gridSpan w:val="5"/>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国有资本经营预算财政拨款支出决算表</w:t>
            </w:r>
          </w:p>
        </w:tc>
      </w:tr>
      <w:tr>
        <w:trPr>
          <w:trHeight w:val="285"/>
        </w:trPr>
        <w:tc>
          <w:tcPr>
            <w:tcW w:w="4487" w:type="dxa"/>
            <w:gridSpan w:val="2"/>
            <w:tcBorders>
              <w:top w:val="nil"/>
              <w:left w:val="nil"/>
              <w:bottom w:val="nil"/>
              <w:right w:val="nil"/>
            </w:tcBorders>
            <w:noWrap/>
            <w:vAlign w:val="bottom"/>
          </w:tcPr>
          <w:p>
            <w:pPr>
              <w:widowControl/>
              <w:rPr>
                <w:rFonts w:ascii="宋体" w:cs="宋体"/>
                <w:color w:val="000000"/>
                <w:lang w:eastAsia="zh-CN"/>
              </w:rPr>
            </w:pPr>
          </w:p>
        </w:tc>
        <w:tc>
          <w:tcPr>
            <w:tcW w:w="2571" w:type="dxa"/>
            <w:tcBorders>
              <w:top w:val="nil"/>
              <w:left w:val="nil"/>
              <w:bottom w:val="nil"/>
              <w:right w:val="nil"/>
            </w:tcBorders>
            <w:noWrap/>
            <w:vAlign w:val="bottom"/>
          </w:tcPr>
          <w:p>
            <w:pPr>
              <w:widowControl/>
              <w:rPr>
                <w:rFonts w:ascii="宋体" w:cs="宋体"/>
                <w:color w:val="000000"/>
                <w:lang w:eastAsia="zh-CN"/>
              </w:rPr>
            </w:pPr>
          </w:p>
        </w:tc>
        <w:tc>
          <w:tcPr>
            <w:tcW w:w="2243" w:type="dxa"/>
            <w:tcBorders>
              <w:top w:val="nil"/>
              <w:left w:val="nil"/>
              <w:bottom w:val="nil"/>
              <w:right w:val="nil"/>
            </w:tcBorders>
            <w:noWrap/>
            <w:vAlign w:val="bottom"/>
          </w:tcPr>
          <w:p>
            <w:pPr>
              <w:widowControl/>
              <w:rPr>
                <w:rFonts w:ascii="宋体" w:cs="宋体"/>
                <w:color w:val="000000"/>
                <w:lang w:eastAsia="zh-CN"/>
              </w:rPr>
            </w:pPr>
          </w:p>
        </w:tc>
        <w:tc>
          <w:tcPr>
            <w:tcW w:w="4235"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08</w:t>
            </w:r>
            <w:r>
              <w:rPr>
                <w:rFonts w:ascii="宋体" w:cs="宋体" w:hint="eastAsia"/>
                <w:color w:val="000000"/>
                <w:sz w:val="24"/>
                <w:szCs w:val="24"/>
                <w:lang w:eastAsia="zh-CN"/>
              </w:rPr>
              <w:t>表</w:t>
            </w:r>
          </w:p>
        </w:tc>
      </w:tr>
      <w:tr>
        <w:trPr>
          <w:trHeight w:val="285"/>
        </w:trPr>
        <w:tc>
          <w:tcPr>
            <w:tcW w:w="4487" w:type="dxa"/>
            <w:gridSpan w:val="2"/>
            <w:tcBorders>
              <w:top w:val="nil"/>
              <w:left w:val="nil"/>
              <w:bottom w:val="nil"/>
              <w:right w:val="nil"/>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编制单位：嵊泗海关综合技术服务中心</w:t>
            </w:r>
          </w:p>
        </w:tc>
        <w:tc>
          <w:tcPr>
            <w:tcW w:w="4814" w:type="dxa"/>
            <w:gridSpan w:val="2"/>
            <w:tcBorders>
              <w:top w:val="nil"/>
              <w:left w:val="nil"/>
              <w:bottom w:val="nil"/>
              <w:right w:val="nil"/>
            </w:tcBorders>
            <w:noWrap/>
            <w:vAlign w:val="center"/>
          </w:tcPr>
          <w:p>
            <w:pPr>
              <w:widowControl/>
              <w:jc w:val="center"/>
              <w:rPr>
                <w:rFonts w:ascii="宋体" w:cs="宋体"/>
                <w:color w:val="000000"/>
                <w:lang w:eastAsia="zh-CN"/>
              </w:rPr>
            </w:pPr>
            <w:r>
              <w:rPr>
                <w:rFonts w:ascii="宋体" w:cs="宋体"/>
                <w:color w:val="000000"/>
                <w:sz w:val="24"/>
                <w:szCs w:val="24"/>
                <w:lang w:eastAsia="zh-CN"/>
              </w:rPr>
              <w:t>2025</w:t>
            </w:r>
            <w:r>
              <w:rPr>
                <w:rFonts w:ascii="宋体" w:cs="宋体" w:hint="eastAsia"/>
                <w:color w:val="000000"/>
                <w:sz w:val="24"/>
                <w:szCs w:val="24"/>
                <w:lang w:eastAsia="zh-CN"/>
              </w:rPr>
              <w:t>度</w:t>
            </w:r>
          </w:p>
        </w:tc>
        <w:tc>
          <w:tcPr>
            <w:tcW w:w="4235"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270"/>
        </w:trPr>
        <w:tc>
          <w:tcPr>
            <w:tcW w:w="4487" w:type="dxa"/>
            <w:gridSpan w:val="2"/>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项</w:t>
            </w:r>
            <w:r>
              <w:rPr>
                <w:rFonts w:ascii="宋体" w:cs="宋体"/>
                <w:color w:val="000000"/>
                <w:lang w:eastAsia="zh-CN"/>
              </w:rPr>
              <w:t>    </w:t>
            </w:r>
            <w:r>
              <w:rPr>
                <w:rFonts w:ascii="宋体" w:cs="宋体" w:hint="eastAsia"/>
                <w:color w:val="000000"/>
                <w:lang w:eastAsia="zh-CN"/>
              </w:rPr>
              <w:t>目</w:t>
            </w:r>
          </w:p>
        </w:tc>
        <w:tc>
          <w:tcPr>
            <w:tcW w:w="9049" w:type="dxa"/>
            <w:gridSpan w:val="3"/>
            <w:tcBorders>
              <w:top w:val="single" w:sz="4" w:space="0" w:color="auto"/>
              <w:left w:val="nil"/>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本年支出</w:t>
            </w:r>
          </w:p>
        </w:tc>
      </w:tr>
      <w:tr>
        <w:trPr>
          <w:trHeight w:val="312"/>
        </w:trPr>
        <w:tc>
          <w:tcPr>
            <w:tcW w:w="2244"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科目代码</w:t>
            </w:r>
          </w:p>
        </w:tc>
        <w:tc>
          <w:tcPr>
            <w:tcW w:w="2243"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科目名称</w:t>
            </w:r>
          </w:p>
        </w:tc>
        <w:tc>
          <w:tcPr>
            <w:tcW w:w="2571"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2243"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基本支出</w:t>
            </w:r>
          </w:p>
        </w:tc>
        <w:tc>
          <w:tcPr>
            <w:tcW w:w="4235"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项目支出</w:t>
            </w:r>
          </w:p>
        </w:tc>
      </w:tr>
      <w:tr>
        <w:trPr>
          <w:trHeight w:val="312"/>
        </w:trPr>
        <w:tc>
          <w:tcPr>
            <w:tcW w:w="2244"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2571"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4235" w:type="dxa"/>
            <w:vMerge/>
            <w:tcBorders>
              <w:top w:val="nil"/>
              <w:left w:val="single" w:sz="4" w:space="0" w:color="auto"/>
              <w:bottom w:val="single" w:sz="4" w:space="0" w:color="auto"/>
              <w:right w:val="single" w:sz="4" w:space="0" w:color="auto"/>
            </w:tcBorders>
            <w:vAlign w:val="center"/>
          </w:tcPr>
          <w:p/>
        </w:tc>
      </w:tr>
      <w:tr>
        <w:trPr>
          <w:trHeight w:val="312"/>
        </w:trPr>
        <w:tc>
          <w:tcPr>
            <w:tcW w:w="2244"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2571"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4235" w:type="dxa"/>
            <w:vMerge/>
            <w:tcBorders>
              <w:top w:val="nil"/>
              <w:left w:val="single" w:sz="4" w:space="0" w:color="auto"/>
              <w:bottom w:val="single" w:sz="4" w:space="0" w:color="auto"/>
              <w:right w:val="single" w:sz="4" w:space="0" w:color="auto"/>
            </w:tcBorders>
            <w:vAlign w:val="center"/>
          </w:tcPr>
          <w:p/>
        </w:tc>
      </w:tr>
      <w:tr>
        <w:trPr>
          <w:trHeight w:val="285"/>
        </w:trPr>
        <w:tc>
          <w:tcPr>
            <w:tcW w:w="4487" w:type="dxa"/>
            <w:gridSpan w:val="2"/>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sz w:val="24"/>
                <w:szCs w:val="24"/>
                <w:lang w:eastAsia="zh-CN"/>
              </w:rPr>
            </w:pPr>
            <w:r>
              <w:rPr>
                <w:rFonts w:ascii="宋体" w:cs="宋体" w:hint="eastAsia"/>
                <w:color w:val="000000"/>
                <w:sz w:val="24"/>
                <w:szCs w:val="24"/>
                <w:lang w:eastAsia="zh-CN"/>
              </w:rPr>
              <w:t>栏次</w:t>
            </w:r>
          </w:p>
        </w:tc>
        <w:tc>
          <w:tcPr>
            <w:tcW w:w="2571" w:type="dxa"/>
            <w:tcBorders>
              <w:top w:val="nil"/>
              <w:left w:val="nil"/>
              <w:bottom w:val="single" w:sz="4" w:space="0" w:color="auto"/>
              <w:right w:val="single" w:sz="4" w:space="0" w:color="auto"/>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1</w:t>
            </w:r>
          </w:p>
        </w:tc>
        <w:tc>
          <w:tcPr>
            <w:tcW w:w="2243" w:type="dxa"/>
            <w:tcBorders>
              <w:top w:val="nil"/>
              <w:left w:val="nil"/>
              <w:bottom w:val="single" w:sz="4" w:space="0" w:color="auto"/>
              <w:right w:val="single" w:sz="4" w:space="0" w:color="auto"/>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2</w:t>
            </w:r>
          </w:p>
        </w:tc>
        <w:tc>
          <w:tcPr>
            <w:tcW w:w="4235" w:type="dxa"/>
            <w:tcBorders>
              <w:top w:val="nil"/>
              <w:left w:val="nil"/>
              <w:bottom w:val="single" w:sz="4" w:space="0" w:color="auto"/>
              <w:right w:val="single" w:sz="4" w:space="0" w:color="auto"/>
            </w:tcBorders>
            <w:noWrap/>
            <w:vAlign w:val="center"/>
          </w:tcPr>
          <w:p>
            <w:pPr>
              <w:widowControl/>
              <w:jc w:val="center"/>
              <w:rPr>
                <w:rFonts w:ascii="宋体" w:cs="宋体"/>
                <w:color w:val="000000"/>
                <w:sz w:val="24"/>
                <w:szCs w:val="24"/>
                <w:lang w:eastAsia="zh-CN"/>
              </w:rPr>
            </w:pPr>
            <w:r>
              <w:rPr>
                <w:rFonts w:ascii="宋体" w:cs="宋体"/>
                <w:color w:val="000000"/>
                <w:sz w:val="24"/>
                <w:szCs w:val="24"/>
                <w:lang w:eastAsia="zh-CN"/>
              </w:rPr>
              <w:t>3</w:t>
            </w:r>
          </w:p>
        </w:tc>
      </w:tr>
      <w:tr>
        <w:trPr>
          <w:trHeight w:val="300"/>
        </w:trPr>
        <w:tc>
          <w:tcPr>
            <w:tcW w:w="4487" w:type="dxa"/>
            <w:gridSpan w:val="2"/>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sz w:val="24"/>
                <w:szCs w:val="24"/>
                <w:lang w:eastAsia="zh-CN"/>
              </w:rPr>
            </w:pPr>
            <w:r>
              <w:rPr>
                <w:rFonts w:ascii="宋体" w:cs="宋体" w:hint="eastAsia"/>
                <w:color w:val="000000"/>
                <w:sz w:val="24"/>
                <w:szCs w:val="24"/>
                <w:lang w:eastAsia="zh-CN"/>
              </w:rPr>
              <w:t>合计</w:t>
            </w:r>
          </w:p>
        </w:tc>
        <w:tc>
          <w:tcPr>
            <w:tcW w:w="2571" w:type="dxa"/>
            <w:tcBorders>
              <w:top w:val="nil"/>
              <w:left w:val="nil"/>
              <w:bottom w:val="single" w:sz="4" w:space="0" w:color="auto"/>
              <w:right w:val="single" w:sz="4" w:space="0" w:color="auto"/>
            </w:tcBorders>
            <w:noWrap/>
            <w:vAlign w:val="center"/>
          </w:tcPr>
          <w:p>
            <w:pPr>
              <w:widowControl/>
              <w:jc w:val="right"/>
              <w:rPr>
                <w:rFonts w:ascii="Arial" w:hAnsi="Arial"/>
                <w:color w:val="000000"/>
                <w:sz w:val="24"/>
                <w:szCs w:val="24"/>
                <w:lang w:eastAsia="zh-CN"/>
              </w:rPr>
            </w:pPr>
            <w:r>
              <w:rPr>
                <w:rFonts w:ascii="Arial" w:hAnsi="Arial" w:hint="eastAsia"/>
                <w:color w:val="000000"/>
                <w:sz w:val="24"/>
                <w:szCs w:val="24"/>
                <w:lang w:eastAsia="zh-CN"/>
              </w:rPr>
              <w:t>　</w:t>
            </w:r>
          </w:p>
        </w:tc>
        <w:tc>
          <w:tcPr>
            <w:tcW w:w="2243" w:type="dxa"/>
            <w:tcBorders>
              <w:top w:val="nil"/>
              <w:left w:val="nil"/>
              <w:bottom w:val="single" w:sz="4" w:space="0" w:color="auto"/>
              <w:right w:val="single" w:sz="4" w:space="0" w:color="auto"/>
            </w:tcBorders>
            <w:noWrap/>
            <w:vAlign w:val="center"/>
          </w:tcPr>
          <w:p>
            <w:pPr>
              <w:widowControl/>
              <w:jc w:val="right"/>
              <w:rPr>
                <w:rFonts w:ascii="Arial" w:hAnsi="Arial"/>
                <w:color w:val="000000"/>
                <w:sz w:val="24"/>
                <w:szCs w:val="24"/>
                <w:lang w:eastAsia="zh-CN"/>
              </w:rPr>
            </w:pPr>
            <w:r>
              <w:rPr>
                <w:rFonts w:ascii="Arial" w:hAnsi="Arial" w:hint="eastAsia"/>
                <w:color w:val="000000"/>
                <w:sz w:val="24"/>
                <w:szCs w:val="24"/>
                <w:lang w:eastAsia="zh-CN"/>
              </w:rPr>
              <w:t>　</w:t>
            </w:r>
          </w:p>
        </w:tc>
        <w:tc>
          <w:tcPr>
            <w:tcW w:w="4235" w:type="dxa"/>
            <w:tcBorders>
              <w:top w:val="nil"/>
              <w:left w:val="nil"/>
              <w:bottom w:val="single" w:sz="4" w:space="0" w:color="auto"/>
              <w:right w:val="single" w:sz="4" w:space="0" w:color="auto"/>
            </w:tcBorders>
            <w:noWrap/>
            <w:vAlign w:val="center"/>
          </w:tcPr>
          <w:p>
            <w:pPr>
              <w:widowControl/>
              <w:jc w:val="right"/>
              <w:rPr>
                <w:rFonts w:ascii="Arial" w:hAnsi="Arial"/>
                <w:color w:val="000000"/>
                <w:sz w:val="24"/>
                <w:szCs w:val="24"/>
                <w:lang w:eastAsia="zh-CN"/>
              </w:rPr>
            </w:pPr>
            <w:r>
              <w:rPr>
                <w:rFonts w:ascii="Arial" w:hAnsi="Arial" w:hint="eastAsia"/>
                <w:color w:val="000000"/>
                <w:sz w:val="24"/>
                <w:szCs w:val="24"/>
                <w:lang w:eastAsia="zh-CN"/>
              </w:rPr>
              <w:t>　</w:t>
            </w:r>
          </w:p>
        </w:tc>
      </w:tr>
      <w:tr>
        <w:trPr>
          <w:trHeight w:val="378"/>
        </w:trPr>
        <w:tc>
          <w:tcPr>
            <w:tcW w:w="4487" w:type="dxa"/>
            <w:gridSpan w:val="2"/>
            <w:tcBorders>
              <w:top w:val="nil"/>
              <w:left w:val="single" w:sz="4" w:space="0" w:color="auto"/>
              <w:bottom w:val="single" w:sz="4" w:space="0" w:color="auto"/>
              <w:right w:val="single" w:sz="4" w:space="0" w:color="auto"/>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　</w:t>
            </w:r>
          </w:p>
          <w:p>
            <w:pPr>
              <w:widowControl/>
              <w:rPr>
                <w:rFonts w:ascii="宋体" w:cs="宋体"/>
                <w:color w:val="000000"/>
                <w:sz w:val="24"/>
                <w:szCs w:val="24"/>
                <w:lang w:eastAsia="zh-CN"/>
              </w:rPr>
            </w:pPr>
            <w:r>
              <w:rPr>
                <w:rFonts w:ascii="宋体" w:cs="宋体" w:hint="eastAsia"/>
                <w:color w:val="000000"/>
                <w:sz w:val="24"/>
                <w:szCs w:val="24"/>
                <w:lang w:eastAsia="zh-CN"/>
              </w:rPr>
              <w:t>　</w:t>
            </w:r>
          </w:p>
        </w:tc>
        <w:tc>
          <w:tcPr>
            <w:tcW w:w="2571" w:type="dxa"/>
            <w:tcBorders>
              <w:top w:val="nil"/>
              <w:left w:val="nil"/>
              <w:bottom w:val="single" w:sz="4" w:space="0" w:color="auto"/>
              <w:right w:val="single" w:sz="4" w:space="0" w:color="auto"/>
            </w:tcBorders>
            <w:noWrap/>
            <w:vAlign w:val="center"/>
          </w:tcPr>
          <w:p>
            <w:pPr>
              <w:widowControl/>
              <w:jc w:val="right"/>
              <w:rPr>
                <w:rFonts w:ascii="Arial" w:hAnsi="Arial"/>
                <w:color w:val="000000"/>
                <w:sz w:val="24"/>
                <w:szCs w:val="24"/>
                <w:lang w:eastAsia="zh-CN"/>
              </w:rPr>
            </w:pPr>
            <w:r>
              <w:rPr>
                <w:rFonts w:ascii="Arial" w:hAnsi="Arial" w:hint="eastAsia"/>
                <w:color w:val="000000"/>
                <w:sz w:val="24"/>
                <w:szCs w:val="24"/>
                <w:lang w:eastAsia="zh-CN"/>
              </w:rPr>
              <w:t>　</w:t>
            </w:r>
          </w:p>
        </w:tc>
        <w:tc>
          <w:tcPr>
            <w:tcW w:w="2243" w:type="dxa"/>
            <w:tcBorders>
              <w:top w:val="nil"/>
              <w:left w:val="nil"/>
              <w:bottom w:val="single" w:sz="4" w:space="0" w:color="auto"/>
              <w:right w:val="single" w:sz="4" w:space="0" w:color="auto"/>
            </w:tcBorders>
            <w:noWrap/>
            <w:vAlign w:val="center"/>
          </w:tcPr>
          <w:p>
            <w:pPr>
              <w:widowControl/>
              <w:jc w:val="right"/>
              <w:rPr>
                <w:rFonts w:ascii="Arial" w:hAnsi="Arial"/>
                <w:color w:val="000000"/>
                <w:sz w:val="24"/>
                <w:szCs w:val="24"/>
                <w:lang w:eastAsia="zh-CN"/>
              </w:rPr>
            </w:pPr>
            <w:r>
              <w:rPr>
                <w:rFonts w:ascii="Arial" w:hAnsi="Arial" w:hint="eastAsia"/>
                <w:color w:val="000000"/>
                <w:sz w:val="24"/>
                <w:szCs w:val="24"/>
                <w:lang w:eastAsia="zh-CN"/>
              </w:rPr>
              <w:t>　</w:t>
            </w:r>
          </w:p>
        </w:tc>
        <w:tc>
          <w:tcPr>
            <w:tcW w:w="4235" w:type="dxa"/>
            <w:tcBorders>
              <w:top w:val="nil"/>
              <w:left w:val="nil"/>
              <w:bottom w:val="single" w:sz="4" w:space="0" w:color="auto"/>
              <w:right w:val="single" w:sz="4" w:space="0" w:color="auto"/>
            </w:tcBorders>
            <w:noWrap/>
            <w:vAlign w:val="center"/>
          </w:tcPr>
          <w:p>
            <w:pPr>
              <w:widowControl/>
              <w:jc w:val="right"/>
              <w:rPr>
                <w:rFonts w:ascii="Arial" w:hAnsi="Arial"/>
                <w:color w:val="000000"/>
                <w:sz w:val="24"/>
                <w:szCs w:val="24"/>
                <w:lang w:eastAsia="zh-CN"/>
              </w:rPr>
            </w:pPr>
            <w:r>
              <w:rPr>
                <w:rFonts w:ascii="Arial" w:hAnsi="Arial" w:hint="eastAsia"/>
                <w:color w:val="000000"/>
                <w:sz w:val="24"/>
                <w:szCs w:val="24"/>
                <w:lang w:eastAsia="zh-CN"/>
              </w:rPr>
              <w:t>　</w:t>
            </w:r>
          </w:p>
        </w:tc>
      </w:tr>
      <w:tr>
        <w:trPr>
          <w:trHeight w:val="285"/>
        </w:trPr>
        <w:tc>
          <w:tcPr>
            <w:tcW w:w="13536" w:type="dxa"/>
            <w:gridSpan w:val="5"/>
            <w:tcBorders>
              <w:top w:val="nil"/>
              <w:left w:val="nil"/>
              <w:bottom w:val="nil"/>
              <w:right w:val="nil"/>
            </w:tcBorders>
            <w:noWrap/>
            <w:vAlign w:val="center"/>
          </w:tcPr>
          <w:p>
            <w:pPr>
              <w:widowControl/>
              <w:rPr>
                <w:rFonts w:ascii="宋体" w:cs="宋体"/>
                <w:color w:val="000000"/>
                <w:sz w:val="24"/>
                <w:szCs w:val="24"/>
                <w:lang w:eastAsia="zh-CN"/>
              </w:rPr>
            </w:pPr>
            <w:r>
              <w:rPr>
                <w:rFonts w:ascii="宋体" w:cs="宋体" w:hint="eastAsia"/>
                <w:color w:val="000000"/>
                <w:sz w:val="24"/>
                <w:szCs w:val="24"/>
                <w:lang w:eastAsia="zh-CN"/>
              </w:rPr>
              <w:t>注：本表反映部门本年度国有资本经营预算财政拨款支出情况。</w:t>
            </w:r>
          </w:p>
        </w:tc>
      </w:tr>
    </w:tbl>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tbl>
      <w:tblPr>
        <w:jc w:val="left"/>
        <w:tblInd w:w="108" w:type="dxa"/>
        <w:tblW w:w="1395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1013"/>
        <w:gridCol w:w="1115"/>
        <w:gridCol w:w="1044"/>
        <w:gridCol w:w="1284"/>
        <w:gridCol w:w="1271"/>
        <w:gridCol w:w="1168"/>
        <w:gridCol w:w="1002"/>
        <w:gridCol w:w="1115"/>
        <w:gridCol w:w="1009"/>
        <w:gridCol w:w="1021"/>
        <w:gridCol w:w="1923"/>
      </w:tblGrid>
      <w:tr>
        <w:trPr>
          <w:trHeight w:val="540"/>
        </w:trPr>
        <w:tc>
          <w:tcPr>
            <w:tcW w:w="13958" w:type="dxa"/>
            <w:gridSpan w:val="12"/>
            <w:tcBorders>
              <w:top w:val="nil"/>
              <w:left w:val="nil"/>
              <w:bottom w:val="nil"/>
              <w:right w:val="nil"/>
            </w:tcBorders>
            <w:noWrap/>
            <w:vAlign w:val="center"/>
          </w:tcPr>
          <w:p>
            <w:pPr>
              <w:widowControl/>
              <w:jc w:val="center"/>
              <w:rPr>
                <w:rFonts w:ascii="宋体" w:cs="宋体"/>
                <w:color w:val="000000"/>
                <w:sz w:val="44"/>
                <w:szCs w:val="44"/>
                <w:lang w:eastAsia="zh-CN"/>
              </w:rPr>
            </w:pPr>
            <w:r>
              <w:rPr>
                <w:rFonts w:ascii="宋体" w:cs="宋体" w:hint="eastAsia"/>
                <w:color w:val="000000"/>
                <w:sz w:val="44"/>
                <w:szCs w:val="44"/>
                <w:lang w:eastAsia="zh-CN"/>
              </w:rPr>
              <w:t>财政拨款“三公经费”支出决算表</w:t>
            </w:r>
          </w:p>
        </w:tc>
      </w:tr>
      <w:tr>
        <w:trPr>
          <w:trHeight w:val="285"/>
        </w:trPr>
        <w:tc>
          <w:tcPr>
            <w:tcW w:w="2006" w:type="dxa"/>
            <w:gridSpan w:val="2"/>
            <w:tcBorders>
              <w:top w:val="nil"/>
              <w:left w:val="nil"/>
              <w:bottom w:val="nil"/>
              <w:right w:val="nil"/>
            </w:tcBorders>
            <w:noWrap/>
            <w:vAlign w:val="bottom"/>
          </w:tcPr>
          <w:p>
            <w:pPr>
              <w:widowControl/>
              <w:rPr>
                <w:rFonts w:ascii="宋体" w:cs="宋体"/>
                <w:color w:val="000000"/>
                <w:lang w:eastAsia="zh-CN"/>
              </w:rPr>
            </w:pPr>
          </w:p>
        </w:tc>
        <w:tc>
          <w:tcPr>
            <w:tcW w:w="1115" w:type="dxa"/>
            <w:tcBorders>
              <w:top w:val="nil"/>
              <w:left w:val="nil"/>
              <w:bottom w:val="nil"/>
              <w:right w:val="nil"/>
            </w:tcBorders>
            <w:noWrap/>
            <w:vAlign w:val="bottom"/>
          </w:tcPr>
          <w:p>
            <w:pPr>
              <w:widowControl/>
              <w:rPr>
                <w:rFonts w:ascii="宋体" w:cs="宋体"/>
                <w:color w:val="000000"/>
                <w:lang w:eastAsia="zh-CN"/>
              </w:rPr>
            </w:pPr>
          </w:p>
        </w:tc>
        <w:tc>
          <w:tcPr>
            <w:tcW w:w="1044" w:type="dxa"/>
            <w:tcBorders>
              <w:top w:val="nil"/>
              <w:left w:val="nil"/>
              <w:bottom w:val="nil"/>
              <w:right w:val="nil"/>
            </w:tcBorders>
            <w:noWrap/>
            <w:vAlign w:val="bottom"/>
          </w:tcPr>
          <w:p>
            <w:pPr>
              <w:widowControl/>
              <w:rPr>
                <w:rFonts w:ascii="宋体" w:cs="宋体"/>
                <w:color w:val="000000"/>
                <w:lang w:eastAsia="zh-CN"/>
              </w:rPr>
            </w:pPr>
          </w:p>
        </w:tc>
        <w:tc>
          <w:tcPr>
            <w:tcW w:w="1284" w:type="dxa"/>
            <w:tcBorders>
              <w:top w:val="nil"/>
              <w:left w:val="nil"/>
              <w:bottom w:val="nil"/>
              <w:right w:val="nil"/>
            </w:tcBorders>
            <w:noWrap/>
            <w:vAlign w:val="bottom"/>
          </w:tcPr>
          <w:p>
            <w:pPr>
              <w:widowControl/>
              <w:rPr>
                <w:rFonts w:ascii="宋体" w:cs="宋体"/>
                <w:color w:val="000000"/>
                <w:lang w:eastAsia="zh-CN"/>
              </w:rPr>
            </w:pPr>
          </w:p>
        </w:tc>
        <w:tc>
          <w:tcPr>
            <w:tcW w:w="1271" w:type="dxa"/>
            <w:tcBorders>
              <w:top w:val="nil"/>
              <w:left w:val="nil"/>
              <w:bottom w:val="nil"/>
              <w:right w:val="nil"/>
            </w:tcBorders>
            <w:noWrap/>
            <w:vAlign w:val="bottom"/>
          </w:tcPr>
          <w:p>
            <w:pPr>
              <w:widowControl/>
              <w:rPr>
                <w:rFonts w:ascii="宋体" w:cs="宋体"/>
                <w:color w:val="000000"/>
                <w:lang w:eastAsia="zh-CN"/>
              </w:rPr>
            </w:pPr>
          </w:p>
        </w:tc>
        <w:tc>
          <w:tcPr>
            <w:tcW w:w="1168" w:type="dxa"/>
            <w:tcBorders>
              <w:top w:val="nil"/>
              <w:left w:val="nil"/>
              <w:bottom w:val="nil"/>
              <w:right w:val="nil"/>
            </w:tcBorders>
            <w:noWrap/>
            <w:vAlign w:val="bottom"/>
          </w:tcPr>
          <w:p>
            <w:pPr>
              <w:widowControl/>
              <w:rPr>
                <w:rFonts w:ascii="宋体" w:cs="宋体"/>
                <w:color w:val="000000"/>
                <w:lang w:eastAsia="zh-CN"/>
              </w:rPr>
            </w:pPr>
          </w:p>
        </w:tc>
        <w:tc>
          <w:tcPr>
            <w:tcW w:w="1002" w:type="dxa"/>
            <w:tcBorders>
              <w:top w:val="nil"/>
              <w:left w:val="nil"/>
              <w:bottom w:val="nil"/>
              <w:right w:val="nil"/>
            </w:tcBorders>
            <w:noWrap/>
            <w:vAlign w:val="bottom"/>
          </w:tcPr>
          <w:p>
            <w:pPr>
              <w:widowControl/>
              <w:rPr>
                <w:rFonts w:ascii="宋体" w:cs="宋体"/>
                <w:color w:val="000000"/>
                <w:lang w:eastAsia="zh-CN"/>
              </w:rPr>
            </w:pPr>
          </w:p>
        </w:tc>
        <w:tc>
          <w:tcPr>
            <w:tcW w:w="1115" w:type="dxa"/>
            <w:tcBorders>
              <w:top w:val="nil"/>
              <w:left w:val="nil"/>
              <w:bottom w:val="nil"/>
              <w:right w:val="nil"/>
            </w:tcBorders>
            <w:noWrap/>
            <w:vAlign w:val="bottom"/>
          </w:tcPr>
          <w:p>
            <w:pPr>
              <w:widowControl/>
              <w:rPr>
                <w:rFonts w:ascii="宋体" w:cs="宋体"/>
                <w:color w:val="000000"/>
                <w:lang w:eastAsia="zh-CN"/>
              </w:rPr>
            </w:pPr>
          </w:p>
        </w:tc>
        <w:tc>
          <w:tcPr>
            <w:tcW w:w="1009" w:type="dxa"/>
            <w:tcBorders>
              <w:top w:val="nil"/>
              <w:left w:val="nil"/>
              <w:bottom w:val="nil"/>
              <w:right w:val="nil"/>
            </w:tcBorders>
            <w:noWrap/>
            <w:vAlign w:val="bottom"/>
          </w:tcPr>
          <w:p>
            <w:pPr>
              <w:widowControl/>
              <w:rPr>
                <w:rFonts w:ascii="宋体" w:cs="宋体"/>
                <w:color w:val="000000"/>
                <w:lang w:eastAsia="zh-CN"/>
              </w:rPr>
            </w:pPr>
          </w:p>
        </w:tc>
        <w:tc>
          <w:tcPr>
            <w:tcW w:w="1021" w:type="dxa"/>
            <w:tcBorders>
              <w:top w:val="nil"/>
              <w:left w:val="nil"/>
              <w:bottom w:val="nil"/>
              <w:right w:val="nil"/>
            </w:tcBorders>
            <w:noWrap/>
            <w:vAlign w:val="bottom"/>
          </w:tcPr>
          <w:p>
            <w:pPr>
              <w:widowControl/>
              <w:rPr>
                <w:rFonts w:ascii="宋体" w:cs="宋体"/>
                <w:color w:val="000000"/>
                <w:lang w:eastAsia="zh-CN"/>
              </w:rPr>
            </w:pPr>
          </w:p>
        </w:tc>
        <w:tc>
          <w:tcPr>
            <w:tcW w:w="1923"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公开</w:t>
            </w:r>
            <w:r>
              <w:rPr>
                <w:rFonts w:ascii="宋体" w:cs="宋体"/>
                <w:color w:val="000000"/>
                <w:sz w:val="24"/>
                <w:szCs w:val="24"/>
                <w:lang w:eastAsia="zh-CN"/>
              </w:rPr>
              <w:t>09</w:t>
            </w:r>
            <w:r>
              <w:rPr>
                <w:rFonts w:ascii="宋体" w:cs="宋体" w:hint="eastAsia"/>
                <w:color w:val="000000"/>
                <w:sz w:val="24"/>
                <w:szCs w:val="24"/>
                <w:lang w:eastAsia="zh-CN"/>
              </w:rPr>
              <w:t>表</w:t>
            </w:r>
          </w:p>
        </w:tc>
      </w:tr>
      <w:tr>
        <w:trPr>
          <w:trHeight w:val="465"/>
        </w:trPr>
        <w:tc>
          <w:tcPr>
            <w:tcW w:w="5449" w:type="dxa"/>
            <w:gridSpan w:val="5"/>
            <w:tcBorders>
              <w:top w:val="nil"/>
              <w:left w:val="nil"/>
              <w:bottom w:val="nil"/>
              <w:right w:val="nil"/>
            </w:tcBorders>
            <w:noWrap/>
            <w:vAlign w:val="center"/>
          </w:tcPr>
          <w:p>
            <w:pPr>
              <w:widowControl/>
              <w:rPr>
                <w:rFonts w:ascii="宋体" w:cs="宋体"/>
                <w:color w:val="000000"/>
                <w:lang w:eastAsia="zh-CN"/>
              </w:rPr>
            </w:pPr>
            <w:r>
              <w:rPr>
                <w:rFonts w:ascii="宋体" w:cs="宋体" w:hint="eastAsia"/>
                <w:color w:val="000000"/>
                <w:sz w:val="24"/>
                <w:szCs w:val="24"/>
                <w:lang w:eastAsia="zh-CN"/>
              </w:rPr>
              <w:t>编制单位：嵊泗海关综合技术服务中心</w:t>
            </w:r>
          </w:p>
        </w:tc>
        <w:tc>
          <w:tcPr>
            <w:tcW w:w="1271" w:type="dxa"/>
            <w:tcBorders>
              <w:top w:val="nil"/>
              <w:left w:val="nil"/>
              <w:bottom w:val="nil"/>
              <w:right w:val="nil"/>
            </w:tcBorders>
            <w:noWrap/>
            <w:vAlign w:val="bottom"/>
          </w:tcPr>
          <w:p>
            <w:pPr>
              <w:widowControl/>
              <w:rPr>
                <w:rFonts w:ascii="宋体" w:cs="宋体"/>
                <w:color w:val="000000"/>
                <w:lang w:eastAsia="zh-CN"/>
              </w:rPr>
            </w:pPr>
          </w:p>
        </w:tc>
        <w:tc>
          <w:tcPr>
            <w:tcW w:w="2170" w:type="dxa"/>
            <w:gridSpan w:val="2"/>
            <w:tcBorders>
              <w:top w:val="nil"/>
              <w:left w:val="nil"/>
              <w:bottom w:val="nil"/>
              <w:right w:val="nil"/>
            </w:tcBorders>
            <w:noWrap/>
            <w:vAlign w:val="center"/>
          </w:tcPr>
          <w:p>
            <w:pPr>
              <w:widowControl/>
              <w:rPr>
                <w:rFonts w:ascii="宋体" w:cs="宋体"/>
                <w:color w:val="000000"/>
                <w:lang w:eastAsia="zh-CN"/>
              </w:rPr>
            </w:pPr>
            <w:r>
              <w:rPr>
                <w:rFonts w:ascii="宋体" w:cs="宋体"/>
                <w:color w:val="000000"/>
                <w:sz w:val="24"/>
                <w:szCs w:val="24"/>
                <w:lang w:eastAsia="zh-CN"/>
              </w:rPr>
              <w:t>2025</w:t>
            </w:r>
            <w:r>
              <w:rPr>
                <w:rFonts w:ascii="宋体" w:cs="宋体" w:hint="eastAsia"/>
                <w:color w:val="000000"/>
                <w:sz w:val="24"/>
                <w:szCs w:val="24"/>
                <w:lang w:eastAsia="zh-CN"/>
              </w:rPr>
              <w:t>度</w:t>
            </w:r>
          </w:p>
        </w:tc>
        <w:tc>
          <w:tcPr>
            <w:tcW w:w="1115" w:type="dxa"/>
            <w:tcBorders>
              <w:top w:val="nil"/>
              <w:left w:val="nil"/>
              <w:bottom w:val="nil"/>
              <w:right w:val="nil"/>
            </w:tcBorders>
            <w:noWrap/>
            <w:vAlign w:val="bottom"/>
          </w:tcPr>
          <w:p>
            <w:pPr>
              <w:widowControl/>
              <w:rPr>
                <w:rFonts w:ascii="宋体" w:cs="宋体"/>
                <w:color w:val="000000"/>
                <w:lang w:eastAsia="zh-CN"/>
              </w:rPr>
            </w:pPr>
          </w:p>
        </w:tc>
        <w:tc>
          <w:tcPr>
            <w:tcW w:w="1009" w:type="dxa"/>
            <w:tcBorders>
              <w:top w:val="nil"/>
              <w:left w:val="nil"/>
              <w:bottom w:val="nil"/>
              <w:right w:val="nil"/>
            </w:tcBorders>
            <w:noWrap/>
            <w:vAlign w:val="bottom"/>
          </w:tcPr>
          <w:p>
            <w:pPr>
              <w:widowControl/>
              <w:rPr>
                <w:rFonts w:ascii="宋体" w:cs="宋体"/>
                <w:color w:val="000000"/>
                <w:lang w:eastAsia="zh-CN"/>
              </w:rPr>
            </w:pPr>
          </w:p>
        </w:tc>
        <w:tc>
          <w:tcPr>
            <w:tcW w:w="1021" w:type="dxa"/>
            <w:tcBorders>
              <w:top w:val="nil"/>
              <w:left w:val="nil"/>
              <w:bottom w:val="nil"/>
              <w:right w:val="nil"/>
            </w:tcBorders>
            <w:noWrap/>
            <w:vAlign w:val="bottom"/>
          </w:tcPr>
          <w:p>
            <w:pPr>
              <w:widowControl/>
              <w:rPr>
                <w:rFonts w:ascii="宋体" w:cs="宋体"/>
                <w:color w:val="000000"/>
                <w:lang w:eastAsia="zh-CN"/>
              </w:rPr>
            </w:pPr>
          </w:p>
        </w:tc>
        <w:tc>
          <w:tcPr>
            <w:tcW w:w="1923" w:type="dxa"/>
            <w:tcBorders>
              <w:top w:val="nil"/>
              <w:left w:val="nil"/>
              <w:bottom w:val="nil"/>
              <w:right w:val="nil"/>
            </w:tcBorders>
            <w:noWrap/>
            <w:vAlign w:val="center"/>
          </w:tcPr>
          <w:p>
            <w:pPr>
              <w:widowControl/>
              <w:jc w:val="right"/>
              <w:rPr>
                <w:rFonts w:ascii="宋体" w:cs="宋体"/>
                <w:color w:val="000000"/>
                <w:sz w:val="24"/>
                <w:szCs w:val="24"/>
                <w:lang w:eastAsia="zh-CN"/>
              </w:rPr>
            </w:pPr>
            <w:r>
              <w:rPr>
                <w:rFonts w:ascii="宋体" w:cs="宋体" w:hint="eastAsia"/>
                <w:color w:val="000000"/>
                <w:sz w:val="24"/>
                <w:szCs w:val="24"/>
                <w:lang w:eastAsia="zh-CN"/>
              </w:rPr>
              <w:t>金额单位：万元</w:t>
            </w:r>
          </w:p>
        </w:tc>
      </w:tr>
      <w:tr>
        <w:trPr>
          <w:trHeight w:val="405"/>
        </w:trPr>
        <w:tc>
          <w:tcPr>
            <w:tcW w:w="6720" w:type="dxa"/>
            <w:gridSpan w:val="6"/>
            <w:tcBorders>
              <w:top w:val="single" w:sz="4" w:space="0" w:color="000000"/>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预算数</w:t>
            </w:r>
          </w:p>
        </w:tc>
        <w:tc>
          <w:tcPr>
            <w:tcW w:w="7238" w:type="dxa"/>
            <w:gridSpan w:val="6"/>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color w:val="000000"/>
                <w:lang w:eastAsia="zh-CN"/>
              </w:rPr>
            </w:pPr>
            <w:r>
              <w:rPr>
                <w:rFonts w:ascii="宋体" w:cs="宋体" w:hint="eastAsia"/>
                <w:color w:val="000000"/>
                <w:lang w:eastAsia="zh-CN"/>
              </w:rPr>
              <w:t>决算数</w:t>
            </w:r>
          </w:p>
        </w:tc>
      </w:tr>
      <w:tr>
        <w:trPr>
          <w:trHeight w:val="495"/>
        </w:trPr>
        <w:tc>
          <w:tcPr>
            <w:tcW w:w="993" w:type="dxa"/>
            <w:vMerge w:val="restart"/>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1013" w:type="dxa"/>
            <w:vMerge w:val="restart"/>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因公出国</w:t>
            </w:r>
            <w:r>
              <w:rPr>
                <w:rFonts w:ascii="宋体" w:cs="宋体"/>
                <w:color w:val="000000"/>
                <w:lang w:eastAsia="zh-CN"/>
              </w:rPr>
              <w:t xml:space="preserve"> </w:t>
            </w:r>
            <w:r>
              <w:rPr>
                <w:rFonts w:ascii="宋体" w:cs="宋体" w:hint="eastAsia"/>
                <w:color w:val="000000"/>
                <w:lang w:eastAsia="zh-CN"/>
              </w:rPr>
              <w:t>（境）费</w:t>
            </w:r>
          </w:p>
        </w:tc>
        <w:tc>
          <w:tcPr>
            <w:tcW w:w="3443" w:type="dxa"/>
            <w:gridSpan w:val="3"/>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公务用车购置及运行维护费</w:t>
            </w:r>
          </w:p>
        </w:tc>
        <w:tc>
          <w:tcPr>
            <w:tcW w:w="1271" w:type="dxa"/>
            <w:vMerge w:val="restart"/>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公务接待费</w:t>
            </w:r>
          </w:p>
        </w:tc>
        <w:tc>
          <w:tcPr>
            <w:tcW w:w="1168" w:type="dxa"/>
            <w:vMerge w:val="restart"/>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合计</w:t>
            </w:r>
          </w:p>
        </w:tc>
        <w:tc>
          <w:tcPr>
            <w:tcW w:w="1002" w:type="dxa"/>
            <w:vMerge w:val="restart"/>
            <w:tcBorders>
              <w:top w:val="nil"/>
              <w:left w:val="single" w:sz="4" w:space="0" w:color="000000"/>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因公出国</w:t>
            </w:r>
            <w:r>
              <w:rPr>
                <w:rFonts w:ascii="宋体" w:cs="宋体"/>
                <w:color w:val="000000"/>
                <w:lang w:eastAsia="zh-CN"/>
              </w:rPr>
              <w:t xml:space="preserve"> </w:t>
            </w:r>
            <w:r>
              <w:rPr>
                <w:rFonts w:ascii="宋体" w:cs="宋体" w:hint="eastAsia"/>
                <w:color w:val="000000"/>
                <w:lang w:eastAsia="zh-CN"/>
              </w:rPr>
              <w:t>（境）费</w:t>
            </w:r>
          </w:p>
        </w:tc>
        <w:tc>
          <w:tcPr>
            <w:tcW w:w="3145" w:type="dxa"/>
            <w:gridSpan w:val="3"/>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公务用车购置及运行维护费</w:t>
            </w:r>
          </w:p>
        </w:tc>
        <w:tc>
          <w:tcPr>
            <w:tcW w:w="1923" w:type="dxa"/>
            <w:vMerge w:val="restart"/>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hint="eastAsia"/>
                <w:color w:val="000000"/>
                <w:lang w:eastAsia="zh-CN"/>
              </w:rPr>
              <w:t>公务接待费</w:t>
            </w:r>
          </w:p>
        </w:tc>
      </w:tr>
      <w:tr>
        <w:trPr>
          <w:trHeight w:val="312"/>
        </w:trPr>
        <w:tc>
          <w:tcPr>
            <w:tcW w:w="993" w:type="dxa"/>
            <w:vMerge/>
            <w:tcBorders>
              <w:top w:val="nil"/>
              <w:left w:val="single" w:sz="4" w:space="0" w:color="000000"/>
              <w:bottom w:val="single" w:sz="4" w:space="0" w:color="000000"/>
              <w:right w:val="single" w:sz="4" w:space="0" w:color="000000"/>
            </w:tcBorders>
            <w:vAlign w:val="center"/>
          </w:tcPr>
          <w:p/>
        </w:tc>
        <w:tc>
          <w:tcPr>
            <w:tcW w:w="1013" w:type="dxa"/>
            <w:vMerge/>
            <w:tcBorders>
              <w:top w:val="nil"/>
              <w:left w:val="single" w:sz="4" w:space="0" w:color="000000"/>
              <w:bottom w:val="single" w:sz="4" w:space="0" w:color="000000"/>
              <w:right w:val="single" w:sz="4" w:space="0" w:color="000000"/>
            </w:tcBorders>
            <w:vAlign w:val="center"/>
          </w:tcPr>
          <w:p/>
        </w:tc>
        <w:tc>
          <w:tcPr>
            <w:tcW w:w="1115"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小计</w:t>
            </w:r>
            <w:r>
              <w:rPr>
                <w:rFonts w:ascii="宋体" w:cs="宋体"/>
                <w:color w:val="000000"/>
                <w:lang w:eastAsia="zh-CN"/>
              </w:rPr>
              <w:t xml:space="preserve"> </w:t>
            </w:r>
          </w:p>
        </w:tc>
        <w:tc>
          <w:tcPr>
            <w:tcW w:w="1044"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公务用车购置费</w:t>
            </w:r>
          </w:p>
        </w:tc>
        <w:tc>
          <w:tcPr>
            <w:tcW w:w="1284"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公务用车运行维护费</w:t>
            </w:r>
          </w:p>
        </w:tc>
        <w:tc>
          <w:tcPr>
            <w:tcW w:w="1271" w:type="dxa"/>
            <w:vMerge/>
            <w:tcBorders>
              <w:top w:val="nil"/>
              <w:left w:val="nil"/>
              <w:bottom w:val="single" w:sz="4" w:space="0" w:color="000000"/>
              <w:right w:val="single" w:sz="4" w:space="0" w:color="000000"/>
            </w:tcBorders>
            <w:vAlign w:val="center"/>
          </w:tcPr>
          <w:p/>
        </w:tc>
        <w:tc>
          <w:tcPr>
            <w:tcW w:w="1168" w:type="dxa"/>
            <w:vMerge/>
            <w:tcBorders>
              <w:top w:val="nil"/>
              <w:left w:val="nil"/>
              <w:bottom w:val="single" w:sz="4" w:space="0" w:color="000000"/>
              <w:right w:val="single" w:sz="4" w:space="0" w:color="000000"/>
            </w:tcBorders>
            <w:vAlign w:val="center"/>
          </w:tcPr>
          <w:p/>
        </w:tc>
        <w:tc>
          <w:tcPr>
            <w:tcW w:w="1002" w:type="dxa"/>
            <w:vMerge/>
            <w:tcBorders>
              <w:top w:val="nil"/>
              <w:left w:val="single" w:sz="4" w:space="0" w:color="000000"/>
              <w:bottom w:val="single" w:sz="4" w:space="0" w:color="000000"/>
              <w:right w:val="single" w:sz="4" w:space="0" w:color="000000"/>
            </w:tcBorders>
            <w:vAlign w:val="center"/>
          </w:tcPr>
          <w:p/>
        </w:tc>
        <w:tc>
          <w:tcPr>
            <w:tcW w:w="1115"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小计</w:t>
            </w:r>
            <w:r>
              <w:rPr>
                <w:rFonts w:ascii="宋体" w:cs="宋体"/>
                <w:color w:val="000000"/>
                <w:lang w:eastAsia="zh-CN"/>
              </w:rPr>
              <w:t xml:space="preserve"> </w:t>
            </w:r>
          </w:p>
        </w:tc>
        <w:tc>
          <w:tcPr>
            <w:tcW w:w="1009"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公务用车购置费</w:t>
            </w:r>
          </w:p>
        </w:tc>
        <w:tc>
          <w:tcPr>
            <w:tcW w:w="1021" w:type="dxa"/>
            <w:vMerge w:val="restart"/>
            <w:tcBorders>
              <w:top w:val="nil"/>
              <w:left w:val="nil"/>
              <w:bottom w:val="single" w:sz="4" w:space="0" w:color="000000"/>
              <w:right w:val="single" w:sz="4" w:space="0" w:color="000000"/>
            </w:tcBorders>
            <w:vAlign w:val="center"/>
          </w:tcPr>
          <w:p>
            <w:pPr>
              <w:widowControl/>
              <w:jc w:val="center"/>
              <w:rPr>
                <w:rFonts w:ascii="宋体" w:cs="宋体"/>
                <w:color w:val="000000"/>
                <w:lang w:eastAsia="zh-CN"/>
              </w:rPr>
            </w:pPr>
            <w:r>
              <w:rPr>
                <w:rFonts w:ascii="宋体" w:cs="宋体" w:hint="eastAsia"/>
                <w:color w:val="000000"/>
                <w:lang w:eastAsia="zh-CN"/>
              </w:rPr>
              <w:t>公务用车运行维护费</w:t>
            </w:r>
          </w:p>
        </w:tc>
        <w:tc>
          <w:tcPr>
            <w:tcW w:w="1923" w:type="dxa"/>
            <w:vMerge/>
            <w:tcBorders>
              <w:top w:val="nil"/>
              <w:left w:val="nil"/>
              <w:bottom w:val="single" w:sz="4" w:space="0" w:color="000000"/>
              <w:right w:val="single" w:sz="4" w:space="0" w:color="000000"/>
            </w:tcBorders>
            <w:vAlign w:val="center"/>
          </w:tcPr>
          <w:p/>
        </w:tc>
      </w:tr>
      <w:tr>
        <w:trPr>
          <w:trHeight w:val="615"/>
        </w:trPr>
        <w:tc>
          <w:tcPr>
            <w:tcW w:w="993" w:type="dxa"/>
            <w:vMerge/>
            <w:tcBorders>
              <w:top w:val="nil"/>
              <w:left w:val="single" w:sz="4" w:space="0" w:color="000000"/>
              <w:bottom w:val="single" w:sz="4" w:space="0" w:color="000000"/>
              <w:right w:val="single" w:sz="4" w:space="0" w:color="000000"/>
            </w:tcBorders>
            <w:vAlign w:val="center"/>
          </w:tcPr>
          <w:p/>
        </w:tc>
        <w:tc>
          <w:tcPr>
            <w:tcW w:w="1013" w:type="dxa"/>
            <w:vMerge/>
            <w:tcBorders>
              <w:top w:val="nil"/>
              <w:left w:val="single" w:sz="4" w:space="0" w:color="000000"/>
              <w:bottom w:val="single" w:sz="4" w:space="0" w:color="000000"/>
              <w:right w:val="single" w:sz="4" w:space="0" w:color="000000"/>
            </w:tcBorders>
            <w:vAlign w:val="center"/>
          </w:tcPr>
          <w:p/>
        </w:tc>
        <w:tc>
          <w:tcPr>
            <w:tcW w:w="1115" w:type="dxa"/>
            <w:vMerge/>
            <w:tcBorders>
              <w:top w:val="nil"/>
              <w:left w:val="nil"/>
              <w:bottom w:val="single" w:sz="4" w:space="0" w:color="000000"/>
              <w:right w:val="single" w:sz="4" w:space="0" w:color="000000"/>
            </w:tcBorders>
            <w:vAlign w:val="center"/>
          </w:tcPr>
          <w:p/>
        </w:tc>
        <w:tc>
          <w:tcPr>
            <w:tcW w:w="1044" w:type="dxa"/>
            <w:vMerge/>
            <w:tcBorders>
              <w:top w:val="nil"/>
              <w:left w:val="nil"/>
              <w:bottom w:val="single" w:sz="4" w:space="0" w:color="000000"/>
              <w:right w:val="single" w:sz="4" w:space="0" w:color="000000"/>
            </w:tcBorders>
            <w:vAlign w:val="center"/>
          </w:tcPr>
          <w:p/>
        </w:tc>
        <w:tc>
          <w:tcPr>
            <w:tcW w:w="1284" w:type="dxa"/>
            <w:vMerge/>
            <w:tcBorders>
              <w:top w:val="nil"/>
              <w:left w:val="nil"/>
              <w:bottom w:val="single" w:sz="4" w:space="0" w:color="000000"/>
              <w:right w:val="single" w:sz="4" w:space="0" w:color="000000"/>
            </w:tcBorders>
            <w:vAlign w:val="center"/>
          </w:tcPr>
          <w:p/>
        </w:tc>
        <w:tc>
          <w:tcPr>
            <w:tcW w:w="1271" w:type="dxa"/>
            <w:vMerge/>
            <w:tcBorders>
              <w:top w:val="nil"/>
              <w:left w:val="nil"/>
              <w:bottom w:val="single" w:sz="4" w:space="0" w:color="000000"/>
              <w:right w:val="single" w:sz="4" w:space="0" w:color="000000"/>
            </w:tcBorders>
            <w:vAlign w:val="center"/>
          </w:tcPr>
          <w:p/>
        </w:tc>
        <w:tc>
          <w:tcPr>
            <w:tcW w:w="1168" w:type="dxa"/>
            <w:vMerge/>
            <w:tcBorders>
              <w:top w:val="nil"/>
              <w:left w:val="nil"/>
              <w:bottom w:val="single" w:sz="4" w:space="0" w:color="000000"/>
              <w:right w:val="single" w:sz="4" w:space="0" w:color="000000"/>
            </w:tcBorders>
            <w:vAlign w:val="center"/>
          </w:tcPr>
          <w:p/>
        </w:tc>
        <w:tc>
          <w:tcPr>
            <w:tcW w:w="1002" w:type="dxa"/>
            <w:vMerge/>
            <w:tcBorders>
              <w:top w:val="nil"/>
              <w:left w:val="single" w:sz="4" w:space="0" w:color="000000"/>
              <w:bottom w:val="single" w:sz="4" w:space="0" w:color="000000"/>
              <w:right w:val="single" w:sz="4" w:space="0" w:color="000000"/>
            </w:tcBorders>
            <w:vAlign w:val="center"/>
          </w:tcPr>
          <w:p/>
        </w:tc>
        <w:tc>
          <w:tcPr>
            <w:tcW w:w="1115" w:type="dxa"/>
            <w:vMerge/>
            <w:tcBorders>
              <w:top w:val="nil"/>
              <w:left w:val="nil"/>
              <w:bottom w:val="single" w:sz="4" w:space="0" w:color="000000"/>
              <w:right w:val="single" w:sz="4" w:space="0" w:color="000000"/>
            </w:tcBorders>
            <w:vAlign w:val="center"/>
          </w:tcPr>
          <w:p/>
        </w:tc>
        <w:tc>
          <w:tcPr>
            <w:tcW w:w="1009" w:type="dxa"/>
            <w:vMerge/>
            <w:tcBorders>
              <w:top w:val="nil"/>
              <w:left w:val="nil"/>
              <w:bottom w:val="single" w:sz="4" w:space="0" w:color="000000"/>
              <w:right w:val="single" w:sz="4" w:space="0" w:color="000000"/>
            </w:tcBorders>
            <w:vAlign w:val="center"/>
          </w:tcPr>
          <w:p/>
        </w:tc>
        <w:tc>
          <w:tcPr>
            <w:tcW w:w="1021" w:type="dxa"/>
            <w:vMerge/>
            <w:tcBorders>
              <w:top w:val="nil"/>
              <w:left w:val="nil"/>
              <w:bottom w:val="single" w:sz="4" w:space="0" w:color="000000"/>
              <w:right w:val="single" w:sz="4" w:space="0" w:color="000000"/>
            </w:tcBorders>
            <w:vAlign w:val="center"/>
          </w:tcPr>
          <w:p/>
        </w:tc>
        <w:tc>
          <w:tcPr>
            <w:tcW w:w="1923" w:type="dxa"/>
            <w:vMerge/>
            <w:tcBorders>
              <w:top w:val="nil"/>
              <w:left w:val="nil"/>
              <w:bottom w:val="single" w:sz="4" w:space="0" w:color="000000"/>
              <w:right w:val="single" w:sz="4" w:space="0" w:color="000000"/>
            </w:tcBorders>
            <w:vAlign w:val="center"/>
          </w:tcPr>
          <w:p/>
        </w:tc>
      </w:tr>
      <w:tr>
        <w:trPr>
          <w:trHeight w:val="495"/>
        </w:trPr>
        <w:tc>
          <w:tcPr>
            <w:tcW w:w="993" w:type="dxa"/>
            <w:tcBorders>
              <w:top w:val="nil"/>
              <w:left w:val="single" w:sz="4" w:space="0" w:color="000000"/>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w:t>
            </w:r>
          </w:p>
        </w:tc>
        <w:tc>
          <w:tcPr>
            <w:tcW w:w="1013"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2</w:t>
            </w:r>
          </w:p>
        </w:tc>
        <w:tc>
          <w:tcPr>
            <w:tcW w:w="1115"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3</w:t>
            </w:r>
          </w:p>
        </w:tc>
        <w:tc>
          <w:tcPr>
            <w:tcW w:w="1044"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4</w:t>
            </w:r>
          </w:p>
        </w:tc>
        <w:tc>
          <w:tcPr>
            <w:tcW w:w="1284"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5</w:t>
            </w:r>
          </w:p>
        </w:tc>
        <w:tc>
          <w:tcPr>
            <w:tcW w:w="1271"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6</w:t>
            </w:r>
          </w:p>
        </w:tc>
        <w:tc>
          <w:tcPr>
            <w:tcW w:w="1168"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7</w:t>
            </w:r>
          </w:p>
        </w:tc>
        <w:tc>
          <w:tcPr>
            <w:tcW w:w="1002"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8</w:t>
            </w:r>
          </w:p>
        </w:tc>
        <w:tc>
          <w:tcPr>
            <w:tcW w:w="1115"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9</w:t>
            </w:r>
          </w:p>
        </w:tc>
        <w:tc>
          <w:tcPr>
            <w:tcW w:w="1009"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10</w:t>
            </w:r>
          </w:p>
        </w:tc>
        <w:tc>
          <w:tcPr>
            <w:tcW w:w="1021"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11</w:t>
            </w:r>
          </w:p>
        </w:tc>
        <w:tc>
          <w:tcPr>
            <w:tcW w:w="1923" w:type="dxa"/>
            <w:tcBorders>
              <w:top w:val="nil"/>
              <w:left w:val="nil"/>
              <w:bottom w:val="single" w:sz="4" w:space="0" w:color="000000"/>
              <w:right w:val="single" w:sz="4" w:space="0" w:color="000000"/>
            </w:tcBorders>
            <w:noWrap/>
            <w:vAlign w:val="center"/>
          </w:tcPr>
          <w:p>
            <w:pPr>
              <w:widowControl/>
              <w:jc w:val="center"/>
              <w:rPr>
                <w:rFonts w:ascii="宋体" w:cs="宋体"/>
                <w:color w:val="000000"/>
                <w:lang w:eastAsia="zh-CN"/>
              </w:rPr>
            </w:pPr>
            <w:r>
              <w:rPr>
                <w:rFonts w:ascii="宋体" w:cs="宋体"/>
                <w:color w:val="000000"/>
                <w:lang w:eastAsia="zh-CN"/>
              </w:rPr>
              <w:t>12</w:t>
            </w:r>
          </w:p>
        </w:tc>
      </w:tr>
      <w:tr>
        <w:trPr>
          <w:trHeight w:val="630"/>
        </w:trPr>
        <w:tc>
          <w:tcPr>
            <w:tcW w:w="993" w:type="dxa"/>
            <w:tcBorders>
              <w:top w:val="nil"/>
              <w:left w:val="single" w:sz="4" w:space="0" w:color="000000"/>
              <w:bottom w:val="single" w:sz="4" w:space="0" w:color="000000"/>
              <w:right w:val="single" w:sz="4" w:space="0" w:color="000000"/>
            </w:tcBorders>
            <w:noWrap/>
            <w:vAlign w:val="center"/>
          </w:tcPr>
          <w:p>
            <w:pPr>
              <w:widowControl/>
              <w:rPr>
                <w:rFonts w:ascii="Arial" w:hAnsi="Arial"/>
                <w:color w:val="000000"/>
                <w:lang w:eastAsia="zh-CN"/>
              </w:rPr>
            </w:pPr>
          </w:p>
        </w:tc>
        <w:tc>
          <w:tcPr>
            <w:tcW w:w="101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1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04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84"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271"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68"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002"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115"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009"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021"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c>
          <w:tcPr>
            <w:tcW w:w="1923" w:type="dxa"/>
            <w:tcBorders>
              <w:top w:val="nil"/>
              <w:left w:val="nil"/>
              <w:bottom w:val="single" w:sz="4" w:space="0" w:color="000000"/>
              <w:right w:val="single" w:sz="4" w:space="0" w:color="000000"/>
            </w:tcBorders>
            <w:noWrap/>
            <w:vAlign w:val="center"/>
          </w:tcPr>
          <w:p>
            <w:pPr>
              <w:widowControl/>
              <w:jc w:val="right"/>
              <w:rPr>
                <w:rFonts w:ascii="Arial" w:hAnsi="Arial"/>
                <w:color w:val="000000"/>
                <w:lang w:eastAsia="zh-CN"/>
              </w:rPr>
            </w:pPr>
          </w:p>
        </w:tc>
      </w:tr>
      <w:tr>
        <w:trPr>
          <w:trHeight w:val="630"/>
        </w:trPr>
        <w:tc>
          <w:tcPr>
            <w:tcW w:w="13958" w:type="dxa"/>
            <w:gridSpan w:val="12"/>
            <w:tcBorders>
              <w:top w:val="single" w:sz="4" w:space="0" w:color="000000"/>
              <w:left w:val="nil"/>
              <w:bottom w:val="nil"/>
              <w:right w:val="nil"/>
            </w:tcBorders>
            <w:vAlign w:val="center"/>
          </w:tcPr>
          <w:p>
            <w:pPr>
              <w:widowControl/>
              <w:rPr>
                <w:rFonts w:ascii="宋体" w:cs="宋体"/>
                <w:color w:val="000000"/>
                <w:lang w:eastAsia="zh-CN"/>
              </w:rPr>
            </w:pPr>
            <w:r>
              <w:rPr>
                <w:rFonts w:ascii="宋体" w:cs="宋体" w:hint="eastAsia"/>
                <w:color w:val="000000"/>
                <w:lang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24"/>
        <w:spacing w:line="560" w:lineRule="exact"/>
        <w:ind w:left="0"/>
        <w:rPr>
          <w:rFonts w:ascii="宋体" w:eastAsia="宋体" w:cs="宋体"/>
          <w:sz w:val="32"/>
          <w:szCs w:val="32"/>
          <w:lang w:eastAsia="zh-CN"/>
        </w:rPr>
      </w:pPr>
    </w:p>
    <w:p>
      <w:pPr>
        <w:spacing w:line="560" w:lineRule="exact"/>
        <w:jc w:val="both"/>
        <w:rPr>
          <w:rFonts w:ascii="宋体" w:cs="宋体"/>
          <w:sz w:val="20"/>
          <w:szCs w:val="20"/>
          <w:lang w:eastAsia="zh-CN"/>
        </w:rPr>
        <w:sectPr>
          <w:pgSz w:w="16850" w:h="11920" w:orient="landscape"/>
          <w:pgMar w:top="1758" w:right="1440" w:bottom="1758" w:left="1440" w:header="0" w:footer="765" w:gutter="0"/>
          <w:docGrid w:linePitch="312" w:charSpace="0"/>
        </w:sectPr>
      </w:pPr>
    </w:p>
    <w:p>
      <w:pPr>
        <w:spacing w:line="560" w:lineRule="exact"/>
        <w:ind w:firstLineChars="200" w:firstLine="400"/>
        <w:jc w:val="both"/>
        <w:rPr>
          <w:rFonts w:ascii="宋体" w:cs="宋体"/>
          <w:sz w:val="20"/>
          <w:szCs w:val="20"/>
          <w:lang w:eastAsia="zh-CN"/>
        </w:rPr>
      </w:pPr>
    </w:p>
    <w:p>
      <w:pPr>
        <w:pStyle w:val="23"/>
        <w:tabs>
          <w:tab w:val="left" w:pos="5591"/>
        </w:tabs>
        <w:spacing w:line="1200" w:lineRule="exact"/>
        <w:ind w:leftChars="501" w:left="1102" w:firstLineChars="250" w:firstLine="1800"/>
        <w:outlineLvl w:val="0"/>
        <w:rPr>
          <w:lang w:eastAsia="zh-CN"/>
        </w:rPr>
      </w:pPr>
      <w:bookmarkStart w:id="10" w:name="_Toc1088"/>
      <w:bookmarkStart w:id="11" w:name="_Toc25254"/>
    </w:p>
    <w:p>
      <w:pPr>
        <w:pStyle w:val="23"/>
        <w:tabs>
          <w:tab w:val="left" w:pos="5591"/>
        </w:tabs>
        <w:spacing w:line="1200" w:lineRule="exact"/>
        <w:ind w:leftChars="501" w:left="1102" w:firstLineChars="250" w:firstLine="1800"/>
        <w:outlineLvl w:val="0"/>
        <w:rPr>
          <w:lang w:eastAsia="zh-CN"/>
        </w:rPr>
      </w:pPr>
    </w:p>
    <w:p>
      <w:pPr>
        <w:pStyle w:val="23"/>
        <w:tabs>
          <w:tab w:val="left" w:pos="5591"/>
        </w:tabs>
        <w:spacing w:line="1200" w:lineRule="exact"/>
        <w:ind w:leftChars="501" w:left="1102" w:firstLineChars="250" w:firstLine="1800"/>
        <w:outlineLvl w:val="0"/>
        <w:rPr>
          <w:lang w:eastAsia="zh-CN"/>
        </w:rPr>
      </w:pPr>
      <w:r>
        <w:rPr>
          <w:rFonts w:hint="eastAsia"/>
          <w:lang w:eastAsia="zh-CN"/>
        </w:rPr>
        <w:t>第三部分</w:t>
      </w:r>
      <w:bookmarkEnd w:id="10"/>
      <w:bookmarkEnd w:id="11"/>
    </w:p>
    <w:p>
      <w:pPr>
        <w:pStyle w:val="23"/>
        <w:tabs>
          <w:tab w:val="left" w:pos="5591"/>
        </w:tabs>
        <w:spacing w:line="1200" w:lineRule="exact"/>
        <w:ind w:left="0"/>
        <w:jc w:val="center"/>
        <w:rPr>
          <w:lang w:eastAsia="zh-CN"/>
        </w:rPr>
      </w:pPr>
      <w:bookmarkStart w:id="12" w:name="_Toc23340"/>
      <w:bookmarkStart w:id="13" w:name="_Toc2047"/>
      <w:bookmarkStart w:id="14" w:name="_Toc7147"/>
      <w:r>
        <w:rPr>
          <w:lang w:eastAsia="zh-CN"/>
        </w:rPr>
        <w:t>2025</w:t>
      </w:r>
      <w:r>
        <w:rPr>
          <w:rFonts w:hint="eastAsia"/>
          <w:lang w:eastAsia="zh-CN"/>
        </w:rPr>
        <w:t>度部门决算情况</w:t>
      </w:r>
      <w:bookmarkEnd w:id="12"/>
      <w:bookmarkEnd w:id="13"/>
      <w:bookmarkEnd w:id="14"/>
    </w:p>
    <w:p>
      <w:pPr>
        <w:pStyle w:val="23"/>
        <w:tabs>
          <w:tab w:val="left" w:pos="5591"/>
        </w:tabs>
        <w:spacing w:line="1200" w:lineRule="exact"/>
        <w:ind w:left="0"/>
        <w:jc w:val="center"/>
        <w:rPr>
          <w:lang w:eastAsia="zh-CN"/>
        </w:rPr>
      </w:pPr>
      <w:bookmarkStart w:id="15" w:name="_Toc22842"/>
      <w:bookmarkStart w:id="16" w:name="_Toc25238"/>
      <w:bookmarkStart w:id="17" w:name="_Toc13135"/>
      <w:r>
        <w:rPr>
          <w:rFonts w:hint="eastAsia"/>
          <w:lang w:eastAsia="zh-CN"/>
        </w:rPr>
        <w:t>说明</w:t>
      </w:r>
      <w:bookmarkEnd w:id="15"/>
      <w:bookmarkEnd w:id="16"/>
      <w:bookmarkEnd w:id="17"/>
    </w:p>
    <w:p>
      <w:pPr>
        <w:spacing w:line="560" w:lineRule="exact"/>
        <w:ind w:firstLineChars="200" w:firstLine="1440"/>
        <w:jc w:val="center"/>
        <w:rPr>
          <w:rFonts w:ascii="黑体" w:eastAsia="黑体" w:cs="黑体"/>
          <w:sz w:val="72"/>
          <w:szCs w:val="72"/>
          <w:lang w:eastAsia="zh-CN"/>
        </w:rPr>
      </w:pPr>
    </w:p>
    <w:p>
      <w:pPr>
        <w:rPr>
          <w:rFonts w:ascii="黑体" w:eastAsia="黑体" w:cs="黑体"/>
          <w:sz w:val="72"/>
          <w:szCs w:val="72"/>
          <w:lang w:eastAsia="zh-CN"/>
        </w:rPr>
      </w:pPr>
    </w:p>
    <w:p>
      <w:pPr>
        <w:rPr>
          <w:rFonts w:ascii="黑体" w:eastAsia="黑体" w:cs="黑体"/>
          <w:sz w:val="72"/>
          <w:szCs w:val="72"/>
          <w:lang w:eastAsia="zh-CN"/>
        </w:rPr>
      </w:pPr>
    </w:p>
    <w:p>
      <w:pPr>
        <w:rPr>
          <w:rFonts w:ascii="黑体" w:eastAsia="黑体" w:cs="黑体"/>
          <w:sz w:val="72"/>
          <w:szCs w:val="72"/>
          <w:lang w:eastAsia="zh-CN"/>
        </w:rPr>
      </w:pPr>
    </w:p>
    <w:p>
      <w:pPr>
        <w:tabs>
          <w:tab w:val="left" w:pos="1245"/>
        </w:tabs>
        <w:rPr>
          <w:rFonts w:ascii="黑体" w:eastAsia="黑体" w:cs="黑体"/>
          <w:sz w:val="72"/>
          <w:szCs w:val="72"/>
          <w:lang w:eastAsia="zh-CN"/>
        </w:rPr>
      </w:pPr>
      <w:r>
        <w:rPr>
          <w:rFonts w:ascii="黑体" w:eastAsia="黑体" w:cs="黑体"/>
          <w:sz w:val="72"/>
          <w:szCs w:val="72"/>
          <w:lang w:eastAsia="zh-CN"/>
        </w:rPr>
        <w:tab/>
      </w:r>
    </w:p>
    <w:p>
      <w:pPr>
        <w:rPr>
          <w:rFonts w:ascii="黑体" w:eastAsia="黑体" w:cs="黑体"/>
          <w:sz w:val="72"/>
          <w:szCs w:val="72"/>
          <w:lang w:eastAsia="zh-CN"/>
        </w:rPr>
      </w:pPr>
    </w:p>
    <w:p>
      <w:pPr>
        <w:rPr>
          <w:rFonts w:ascii="黑体" w:eastAsia="黑体" w:cs="黑体"/>
          <w:sz w:val="72"/>
          <w:szCs w:val="72"/>
          <w:lang w:eastAsia="zh-CN"/>
        </w:rPr>
      </w:pPr>
    </w:p>
    <w:p>
      <w:pPr>
        <w:rPr>
          <w:rFonts w:ascii="黑体" w:eastAsia="黑体" w:cs="黑体"/>
          <w:sz w:val="72"/>
          <w:szCs w:val="72"/>
          <w:lang w:eastAsia="zh-CN"/>
        </w:rPr>
        <w:sectPr>
          <w:pgSz w:w="11920" w:h="16850"/>
          <w:pgMar w:top="1440" w:right="1758" w:bottom="1440" w:left="1758" w:header="0" w:footer="765" w:gutter="0"/>
          <w:docGrid w:linePitch="312" w:charSpace="0"/>
        </w:sectPr>
      </w:pPr>
    </w:p>
    <w:p>
      <w:pPr>
        <w:pStyle w:val="16"/>
        <w:spacing w:line="560" w:lineRule="exact"/>
        <w:ind w:left="0"/>
        <w:jc w:val="both"/>
        <w:outlineLvl w:val="1"/>
        <w:rPr>
          <w:rFonts w:ascii="方正黑体_GBK" w:eastAsia="方正黑体_GBK" w:cs="方正黑体_GBK"/>
          <w:sz w:val="32"/>
          <w:szCs w:val="32"/>
          <w:lang w:eastAsia="zh-CN"/>
        </w:rPr>
      </w:pPr>
      <w:bookmarkStart w:id="18" w:name="_Toc16185"/>
      <w:r>
        <w:rPr>
          <w:rFonts w:ascii="方正黑体_GBK" w:eastAsia="方正黑体_GBK" w:cs="方正黑体_GBK"/>
          <w:sz w:val="32"/>
          <w:szCs w:val="32"/>
          <w:lang w:eastAsia="zh-CN"/>
        </w:rPr>
        <w:t xml:space="preserve">       </w:t>
      </w:r>
      <w:r>
        <w:rPr>
          <w:rFonts w:ascii="方正黑体_GBK" w:eastAsia="方正黑体_GBK" w:cs="方正黑体_GBK" w:hint="eastAsia"/>
          <w:sz w:val="32"/>
          <w:szCs w:val="32"/>
          <w:lang w:eastAsia="zh-CN"/>
        </w:rPr>
        <w:t>一、收入支出决算总体情况说明</w:t>
      </w:r>
      <w:bookmarkEnd w:id="18"/>
    </w:p>
    <w:p>
      <w:pPr>
        <w:pStyle w:val="16"/>
        <w:spacing w:line="560" w:lineRule="exact"/>
        <w:ind w:left="0" w:firstLineChars="200" w:firstLine="640"/>
        <w:jc w:val="both"/>
        <w:rPr>
          <w:rFonts w:ascii="Times New Roman" w:cs="Times New Roman" w:hAnsi="Times New Roman"/>
          <w:color w:val="FF0000"/>
          <w:sz w:val="32"/>
          <w:szCs w:val="32"/>
          <w:lang w:eastAsia="zh-CN"/>
        </w:rPr>
      </w:pPr>
      <w:r>
        <w:rPr>
          <w:rFonts w:ascii="Times New Roman" w:eastAsia="Times New Roman" w:cs="Times New Roman" w:hAnsi="Times New Roman"/>
          <w:sz w:val="32"/>
          <w:szCs w:val="32"/>
          <w:lang w:eastAsia="zh-CN"/>
        </w:rPr>
        <w:t>2025年嵊泗海关综合技术服务中心当年收入1,777.74万元，较上年3,194.62万元减少1,416.88万元；当年支出1,145.91万元，较上年1,798.89万元减少652.98万元。</w:t>
      </w:r>
    </w:p>
    <w:p>
      <w:pPr>
        <w:pStyle w:val="25"/>
        <w:spacing w:line="560" w:lineRule="exact"/>
        <w:ind w:left="0"/>
        <w:jc w:val="both"/>
        <w:rPr>
          <w:spacing w:val="3"/>
          <w:sz w:val="28"/>
          <w:szCs w:val="28"/>
          <w:lang w:eastAsia="zh-CN"/>
        </w:rPr>
      </w:pPr>
    </w:p>
    <w:p>
      <w:pPr>
        <w:pStyle w:val="25"/>
        <w:spacing w:line="560" w:lineRule="exact"/>
        <w:ind w:left="0" w:firstLineChars="200" w:firstLine="572"/>
        <w:jc w:val="center"/>
        <w:rPr>
          <w:spacing w:val="3"/>
          <w:sz w:val="28"/>
          <w:szCs w:val="28"/>
          <w:lang w:eastAsia="zh-CN"/>
        </w:rPr>
      </w:pPr>
      <w:r>
        <w:rPr>
          <w:rFonts w:hint="eastAsia"/>
          <w:spacing w:val="3"/>
          <w:sz w:val="28"/>
          <w:szCs w:val="28"/>
          <w:lang w:eastAsia="zh-CN"/>
        </w:rPr>
        <w:t>图</w:t>
      </w:r>
      <w:r>
        <w:rPr>
          <w:spacing w:val="3"/>
          <w:sz w:val="28"/>
          <w:szCs w:val="28"/>
          <w:lang w:eastAsia="zh-CN"/>
        </w:rPr>
        <w:t>1</w:t>
      </w:r>
      <w:r>
        <w:rPr>
          <w:rFonts w:hint="eastAsia"/>
          <w:spacing w:val="3"/>
          <w:sz w:val="28"/>
          <w:szCs w:val="28"/>
          <w:lang w:eastAsia="zh-CN"/>
        </w:rPr>
        <w:t>：收支决算总计变动情况</w:t>
      </w:r>
    </w:p>
    <w:p>
      <w:pPr>
        <w:spacing w:line="560" w:lineRule="exact"/>
        <w:ind w:firstLineChars="200" w:firstLine="576"/>
        <w:jc w:val="center"/>
        <w:rPr>
          <w:rFonts w:ascii="方正仿宋_GBK" w:eastAsia="方正仿宋_GBK" w:cs="方正仿宋_GBK"/>
          <w:b/>
          <w:bCs/>
          <w:spacing w:val="4"/>
          <w:sz w:val="28"/>
          <w:szCs w:val="28"/>
          <w:lang w:eastAsia="zh-CN"/>
        </w:rPr>
      </w:pPr>
      <w:r>
        <w:rPr>
          <w:rFonts w:ascii="方正仿宋_GBK" w:eastAsia="方正仿宋_GBK" w:cs="方正仿宋_GBK" w:hint="eastAsia"/>
          <w:b/>
          <w:bCs/>
          <w:spacing w:val="4"/>
          <w:sz w:val="28"/>
          <w:szCs w:val="28"/>
          <w:lang w:eastAsia="zh-CN"/>
        </w:rPr>
        <w:t>（单位：万元）</w:t>
      </w:r>
    </w:p>
    <w:p>
      <w:pPr>
        <w:spacing w:line="560" w:lineRule="exact"/>
        <w:ind w:left="0"/>
        <w:jc w:val="both"/>
        <w:rPr>
          <w:rFonts w:ascii="方正仿宋_GBK" w:eastAsia="方正仿宋_GBK" w:cs="方正仿宋_GBK"/>
          <w:sz w:val="20"/>
          <w:szCs w:val="20"/>
          <w:lang w:eastAsia="zh-CN"/>
        </w:rPr>
      </w:pPr>
      <w:r>
        <w:rPr>
          <w:rFonts w:cs="Times New Roman"/>
          <w:b w:val="0"/>
          <w:bCs w:val="0"/>
          <w:kern w:val="2"/>
          <w:sz w:val="32"/>
          <w:szCs w:val="32"/>
          <w:lang w:eastAsia="zh-CN" w:bidi="ar-SA"/>
        </w:rPr>
        <w:t>收</w:t>
      </w:r>
      <w:r>
        <w:rPr>
          <w:rFonts w:cs="Times New Roman" w:hint="eastAsia"/>
          <w:b w:val="0"/>
          <w:bCs w:val="0"/>
          <w:kern w:val="2"/>
          <w:sz w:val="32"/>
          <w:szCs w:val="32"/>
          <w:lang w:eastAsia="zh-CN" w:bidi="ar-SA"/>
        </w:rPr>
        <w:t>入执行对比情况</w:t>
      </w:r>
    </w:p>
    <w:p>
      <w:pPr>
        <w:spacing w:line="560" w:lineRule="exact"/>
        <w:jc w:val="both"/>
        <w:rPr>
          <w:rFonts w:ascii="方正仿宋_GBK" w:eastAsia="方正仿宋_GBK" w:cs="方正仿宋_GBK"/>
          <w:sz w:val="20"/>
          <w:szCs w:val="20"/>
          <w:lang w:eastAsia="zh-CN"/>
        </w:rPr>
      </w:pPr>
      <w:r>
        <w:rPr>
          <w:rFonts w:ascii="方正仿宋_GBK" w:eastAsia="方正仿宋_GBK" w:cs="方正仿宋_GBK"/>
          <w:sz w:val="20"/>
          <w:szCs w:val="20"/>
          <w:lang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29.400951pt;margin-top:9.755582pt;width:402.14767pt;height:210.8444pt;z-index:48;mso-position-horizontal:absolute;mso-position-vertical:absolute;mso-wrap-distance-left:5.3998427pt;mso-wrap-distance-right:5.3998427pt;" o:ole="">
            <v:stroke color="#000000"/>
            <v:imagedata r:id="rId9" o:title="1524029121786691071762"/>
            <o:lock aspectratio="t"/>
          </v:shape>
          <o:OLEObject Type="Embed" ProgID="Package" ShapeID="_x0000_i1" DrawAspect="Content" ObjectID="_1393063351" r:id="rId10"/>
        </w:object>
      </w:r>
    </w:p>
    <w:p>
      <w:pPr>
        <w:spacing w:line="560" w:lineRule="exact"/>
        <w:jc w:val="both"/>
        <w:rPr>
          <w:rFonts w:ascii="方正仿宋_GBK" w:eastAsia="方正仿宋_GBK" w:cs="方正仿宋_GBK"/>
          <w:sz w:val="20"/>
          <w:szCs w:val="20"/>
          <w:lang w:eastAsia="zh-CN"/>
        </w:rPr>
      </w:pPr>
    </w:p>
    <w:p>
      <w:pPr>
        <w:spacing w:line="560" w:lineRule="exact"/>
        <w:jc w:val="both"/>
        <w:rPr>
          <w:rFonts w:ascii="方正仿宋_GBK" w:eastAsia="方正仿宋_GBK" w:cs="方正仿宋_GBK"/>
          <w:sz w:val="20"/>
          <w:szCs w:val="20"/>
          <w:lang w:eastAsia="zh-CN"/>
        </w:rPr>
      </w:pPr>
    </w:p>
    <w:p>
      <w:pPr>
        <w:spacing w:line="560" w:lineRule="exact"/>
        <w:jc w:val="both"/>
        <w:rPr>
          <w:rFonts w:ascii="方正仿宋_GBK" w:eastAsia="方正仿宋_GBK" w:cs="方正仿宋_GBK"/>
          <w:sz w:val="20"/>
          <w:szCs w:val="20"/>
          <w:lang w:eastAsia="zh-CN"/>
        </w:rPr>
      </w:pPr>
    </w:p>
    <w:p>
      <w:pPr>
        <w:spacing w:line="560" w:lineRule="exact"/>
        <w:jc w:val="both"/>
        <w:rPr>
          <w:rFonts w:ascii="方正仿宋_GBK" w:eastAsia="方正仿宋_GBK" w:cs="方正仿宋_GBK"/>
          <w:sz w:val="20"/>
          <w:szCs w:val="20"/>
          <w:lang w:eastAsia="zh-CN"/>
        </w:rPr>
      </w:pPr>
    </w:p>
    <w:p>
      <w:pPr>
        <w:spacing w:line="560" w:lineRule="exact"/>
        <w:jc w:val="both"/>
        <w:rPr>
          <w:rFonts w:ascii="方正仿宋_GBK" w:eastAsia="方正仿宋_GBK" w:cs="方正仿宋_GBK"/>
          <w:sz w:val="20"/>
          <w:szCs w:val="20"/>
          <w:lang w:eastAsia="zh-CN"/>
        </w:rPr>
      </w:pPr>
    </w:p>
    <w:p>
      <w:pPr>
        <w:spacing w:line="560" w:lineRule="exact"/>
        <w:jc w:val="both"/>
        <w:rPr>
          <w:rFonts w:ascii="方正仿宋_GBK" w:eastAsia="方正仿宋_GBK" w:cs="方正仿宋_GBK"/>
          <w:sz w:val="20"/>
          <w:szCs w:val="20"/>
          <w:lang w:eastAsia="zh-CN"/>
        </w:rPr>
      </w:pPr>
    </w:p>
    <w:p>
      <w:pPr>
        <w:spacing w:line="560" w:lineRule="exact"/>
        <w:jc w:val="both"/>
        <w:rPr>
          <w:rFonts w:ascii="方正仿宋_GBK" w:eastAsia="方正仿宋_GBK" w:cs="方正仿宋_GBK"/>
          <w:sz w:val="20"/>
          <w:szCs w:val="20"/>
          <w:lang w:eastAsia="zh-CN"/>
        </w:rPr>
      </w:pPr>
    </w:p>
    <w:p>
      <w:pPr>
        <w:spacing w:line="560" w:lineRule="exact"/>
        <w:jc w:val="both"/>
        <w:rPr>
          <w:rFonts w:cs="Times New Roman"/>
          <w:kern w:val="2"/>
          <w:sz w:val="32"/>
          <w:szCs w:val="32"/>
          <w:lang w:eastAsia="zh-CN"/>
        </w:rPr>
      </w:pPr>
      <w:r>
        <w:rPr>
          <w:rFonts w:ascii="Times New Roman" w:eastAsia="Times New Roman" w:cs="Times New Roman" w:hAnsi="Times New Roman"/>
          <w:sz w:val="32"/>
          <w:szCs w:val="32"/>
          <w:lang w:eastAsia="zh-CN"/>
        </w:rPr>
        <w:object>
          <v:shape id="_x0000_i2" type="#_x0000_t75" filled="f" stroked="f" style="position:absolute;margin-left:29.650265pt;margin-top:27.543476pt;width:398.45016pt;height:218.4566pt;z-index:49;mso-position-horizontal:absolute;mso-position-vertical:absolute;mso-wrap-distance-left:5.3998427pt;mso-wrap-distance-right:5.3998427pt;" o:ole="">
            <v:stroke color="#000000"/>
            <v:imagedata r:id="rId11" o:title="1112817271786691071766"/>
            <o:lock aspectratio="t"/>
          </v:shape>
          <o:OLEObject Type="Embed" ProgID="Package" ShapeID="_x0000_i2" DrawAspect="Content" ObjectID="_1393063352" r:id="rId12"/>
        </w:object>
      </w:r>
      <w:r>
        <w:rPr>
          <w:rFonts w:cs="Times New Roman" w:hint="eastAsia"/>
          <w:kern w:val="2"/>
          <w:sz w:val="32"/>
          <w:szCs w:val="32"/>
          <w:lang w:eastAsia="zh-CN"/>
        </w:rPr>
        <w:t>支出执行对比情况</w:t>
      </w:r>
    </w:p>
    <w:p>
      <w:pPr>
        <w:spacing w:line="560" w:lineRule="exact"/>
        <w:jc w:val="both"/>
        <w:rPr>
          <w:rFonts w:cs="Times New Roman"/>
          <w:kern w:val="2"/>
          <w:sz w:val="32"/>
          <w:szCs w:val="32"/>
          <w:lang w:eastAsia="zh-CN"/>
        </w:rPr>
      </w:pPr>
    </w:p>
    <w:p>
      <w:pPr>
        <w:spacing w:line="560" w:lineRule="exact"/>
        <w:jc w:val="both"/>
        <w:rPr>
          <w:rFonts w:cs="Times New Roman"/>
          <w:kern w:val="2"/>
          <w:sz w:val="32"/>
          <w:szCs w:val="32"/>
          <w:lang w:eastAsia="zh-CN"/>
        </w:rPr>
      </w:pPr>
    </w:p>
    <w:p>
      <w:pPr>
        <w:spacing w:line="560" w:lineRule="exact"/>
        <w:jc w:val="both"/>
        <w:rPr>
          <w:rFonts w:cs="Times New Roman"/>
          <w:kern w:val="2"/>
          <w:sz w:val="32"/>
          <w:szCs w:val="32"/>
          <w:lang w:eastAsia="zh-CN"/>
        </w:rPr>
      </w:pPr>
    </w:p>
    <w:p>
      <w:pPr>
        <w:spacing w:line="560" w:lineRule="exact"/>
        <w:jc w:val="both"/>
        <w:rPr>
          <w:rFonts w:cs="Times New Roman" w:hint="eastAsia"/>
          <w:kern w:val="2"/>
          <w:sz w:val="32"/>
          <w:szCs w:val="32"/>
          <w:lang w:eastAsia="zh-CN"/>
        </w:rPr>
        <w:sectPr>
          <w:pgSz w:w="11920" w:h="16850"/>
          <w:pgMar w:top="1440" w:right="1758" w:bottom="1440" w:left="1758" w:header="0" w:footer="765" w:gutter="0"/>
          <w:docGrid w:linePitch="312" w:charSpace="0"/>
        </w:sectPr>
      </w:pPr>
    </w:p>
    <w:p>
      <w:pPr>
        <w:pStyle w:val="16"/>
        <w:spacing w:line="560" w:lineRule="exact"/>
        <w:ind w:left="0"/>
        <w:jc w:val="both"/>
        <w:outlineLvl w:val="1"/>
        <w:rPr>
          <w:rFonts w:ascii="方正黑体_GBK" w:eastAsia="方正黑体_GBK" w:cs="方正黑体_GBK"/>
          <w:sz w:val="32"/>
          <w:szCs w:val="32"/>
          <w:lang w:eastAsia="zh-CN"/>
        </w:rPr>
      </w:pPr>
      <w:bookmarkStart w:id="19" w:name="_Toc4648"/>
      <w:r>
        <w:rPr>
          <w:rFonts w:ascii="方正黑体_GBK" w:eastAsia="方正黑体_GBK" w:cs="方正黑体_GBK"/>
          <w:sz w:val="32"/>
          <w:szCs w:val="32"/>
          <w:lang w:eastAsia="zh-CN"/>
        </w:rPr>
        <w:t xml:space="preserve">      </w:t>
      </w:r>
      <w:r>
        <w:rPr>
          <w:rFonts w:ascii="方正黑体_GBK" w:eastAsia="方正黑体_GBK" w:cs="方正黑体_GBK" w:hint="eastAsia"/>
          <w:sz w:val="32"/>
          <w:szCs w:val="32"/>
          <w:lang w:eastAsia="zh-CN"/>
        </w:rPr>
        <w:t>二、收入决算情况说明</w:t>
      </w:r>
      <w:bookmarkEnd w:id="19"/>
    </w:p>
    <w:p>
      <w:pPr>
        <w:pStyle w:val="16"/>
        <w:spacing w:line="560" w:lineRule="exact"/>
        <w:ind w:left="0" w:firstLineChars="200" w:firstLine="640"/>
        <w:jc w:val="both"/>
        <w:rPr>
          <w:rFonts w:ascii="Times New Roman" w:eastAsia="宋体" w:cs="Times New Roman" w:hAnsi="Times New Roman"/>
          <w:sz w:val="32"/>
          <w:szCs w:val="32"/>
          <w:lang w:eastAsia="zh-CN"/>
        </w:rPr>
      </w:pPr>
      <w:r>
        <w:rPr>
          <w:rFonts w:ascii="Times New Roman" w:eastAsia="Times New Roman" w:cs="Times New Roman" w:hAnsi="Times New Roman"/>
          <w:sz w:val="32"/>
          <w:szCs w:val="32"/>
          <w:lang w:eastAsia="zh-CN"/>
        </w:rPr>
        <w:t>202</w:t>
      </w:r>
      <w:r>
        <w:rPr>
          <w:rFonts w:ascii="Times New Roman" w:eastAsia="宋体" w:cs="Times New Roman" w:hAnsi="Times New Roman"/>
          <w:sz w:val="32"/>
          <w:szCs w:val="32"/>
          <w:lang w:eastAsia="zh-CN"/>
        </w:rPr>
        <w:t>5</w:t>
      </w:r>
      <w:r>
        <w:rPr>
          <w:rFonts w:ascii="Times New Roman" w:cs="Times New Roman" w:hAnsi="Times New Roman" w:hint="eastAsia"/>
          <w:sz w:val="32"/>
          <w:szCs w:val="32"/>
          <w:lang w:eastAsia="zh-CN"/>
        </w:rPr>
        <w:t>年</w:t>
      </w:r>
      <w:r>
        <w:rPr>
          <w:rFonts w:hint="eastAsia"/>
          <w:sz w:val="32"/>
          <w:szCs w:val="32"/>
          <w:lang w:eastAsia="zh-CN"/>
        </w:rPr>
        <w:t>度收入合计</w:t>
      </w:r>
      <w:r>
        <w:rPr>
          <w:rFonts w:ascii="Times New Roman" w:eastAsia="宋体" w:cs="Times New Roman" w:hAnsi="Times New Roman"/>
          <w:sz w:val="32"/>
          <w:szCs w:val="32"/>
          <w:lang w:eastAsia="zh-CN"/>
        </w:rPr>
        <w:t>1,777.74</w:t>
      </w:r>
      <w:r>
        <w:rPr>
          <w:rFonts w:hint="eastAsia"/>
          <w:sz w:val="32"/>
          <w:szCs w:val="32"/>
          <w:lang w:eastAsia="zh-CN"/>
        </w:rPr>
        <w:t>万元。其中：财政拨款收入</w:t>
      </w:r>
      <w:r>
        <w:rPr>
          <w:rFonts w:ascii="Times New Roman" w:eastAsia="宋体" w:cs="Times New Roman" w:hAnsi="Times New Roman"/>
          <w:sz w:val="32"/>
          <w:szCs w:val="32"/>
          <w:lang w:eastAsia="zh-CN"/>
        </w:rPr>
        <w:t>286.52</w:t>
      </w:r>
      <w:r>
        <w:rPr>
          <w:rFonts w:hint="eastAsia"/>
          <w:sz w:val="32"/>
          <w:szCs w:val="32"/>
          <w:lang w:eastAsia="zh-CN"/>
        </w:rPr>
        <w:t>万元，占</w:t>
      </w:r>
      <w:r>
        <w:rPr>
          <w:rFonts w:ascii="Times New Roman" w:eastAsia="宋体" w:cs="Times New Roman" w:hAnsi="Times New Roman"/>
          <w:sz w:val="32"/>
          <w:szCs w:val="32"/>
          <w:lang w:eastAsia="zh-CN"/>
        </w:rPr>
        <w:t>16.12</w:t>
      </w:r>
      <w:r>
        <w:rPr>
          <w:rFonts w:ascii="Times New Roman" w:eastAsia="Times New Roman" w:cs="Times New Roman" w:hAnsi="Times New Roman"/>
          <w:sz w:val="32"/>
          <w:szCs w:val="32"/>
          <w:lang w:eastAsia="zh-CN"/>
        </w:rPr>
        <w:t>%</w:t>
      </w:r>
      <w:r>
        <w:rPr>
          <w:rFonts w:hint="eastAsia"/>
          <w:sz w:val="32"/>
          <w:szCs w:val="32"/>
          <w:lang w:eastAsia="zh-CN"/>
        </w:rPr>
        <w:t>；</w:t>
      </w:r>
      <w:r>
        <w:rPr>
          <w:sz w:val="32"/>
          <w:szCs w:val="32"/>
          <w:lang w:eastAsia="zh-CN"/>
        </w:rPr>
        <w:t>政府性基金预算财政拨款收入</w:t>
      </w:r>
      <w:r>
        <w:rPr>
          <w:rFonts w:ascii="Times New Roman" w:eastAsia="宋体" w:cs="Times New Roman" w:hAnsi="Times New Roman"/>
          <w:sz w:val="32"/>
          <w:szCs w:val="32"/>
          <w:lang w:eastAsia="zh-CN"/>
        </w:rPr>
        <w:t>461.00</w:t>
      </w:r>
      <w:r>
        <w:rPr>
          <w:sz w:val="32"/>
          <w:szCs w:val="32"/>
          <w:lang w:eastAsia="zh-CN"/>
        </w:rPr>
        <w:t>万元，占</w:t>
      </w:r>
      <w:r>
        <w:rPr>
          <w:rFonts w:ascii="Times New Roman" w:eastAsia="宋体" w:cs="Times New Roman" w:hAnsi="Times New Roman"/>
          <w:sz w:val="32"/>
          <w:szCs w:val="32"/>
          <w:lang w:eastAsia="zh-CN"/>
        </w:rPr>
        <w:t>25.93%</w:t>
      </w:r>
      <w:r>
        <w:rPr>
          <w:sz w:val="32"/>
          <w:szCs w:val="32"/>
          <w:lang w:eastAsia="zh-CN"/>
        </w:rPr>
        <w:t>；</w:t>
      </w:r>
      <w:r>
        <w:rPr>
          <w:rFonts w:hint="eastAsia"/>
          <w:sz w:val="32"/>
          <w:szCs w:val="32"/>
          <w:lang w:eastAsia="zh-CN"/>
        </w:rPr>
        <w:t>事业收入</w:t>
      </w:r>
      <w:r>
        <w:rPr>
          <w:rFonts w:ascii="Times New Roman" w:eastAsia="宋体" w:cs="Times New Roman" w:hAnsi="Times New Roman"/>
          <w:sz w:val="32"/>
          <w:szCs w:val="32"/>
          <w:lang w:eastAsia="zh-CN"/>
        </w:rPr>
        <w:t>1,</w:t>
      </w:r>
      <w:bookmarkStart w:id="20" w:name="_GoBack"/>
      <w:bookmarkEnd w:id="20"/>
      <w:r>
        <w:rPr>
          <w:rFonts w:ascii="Times New Roman" w:eastAsia="宋体" w:cs="Times New Roman" w:hAnsi="Times New Roman"/>
          <w:sz w:val="32"/>
          <w:szCs w:val="32"/>
          <w:lang w:eastAsia="zh-CN"/>
        </w:rPr>
        <w:t>027.60</w:t>
      </w:r>
      <w:r>
        <w:rPr>
          <w:rFonts w:hint="eastAsia"/>
          <w:sz w:val="32"/>
          <w:szCs w:val="32"/>
          <w:lang w:eastAsia="zh-CN"/>
        </w:rPr>
        <w:t>万元，占</w:t>
      </w:r>
      <w:r>
        <w:rPr>
          <w:rFonts w:ascii="Times New Roman" w:eastAsia="宋体" w:cs="Times New Roman" w:hAnsi="Times New Roman"/>
          <w:sz w:val="32"/>
          <w:szCs w:val="32"/>
          <w:lang w:eastAsia="zh-CN"/>
        </w:rPr>
        <w:t>57.80</w:t>
      </w:r>
      <w:r>
        <w:rPr>
          <w:rFonts w:ascii="Times New Roman" w:eastAsia="Times New Roman" w:cs="Times New Roman" w:hAnsi="Times New Roman"/>
          <w:sz w:val="32"/>
          <w:szCs w:val="32"/>
          <w:lang w:eastAsia="zh-CN"/>
        </w:rPr>
        <w:t>%</w:t>
      </w:r>
      <w:r>
        <w:rPr>
          <w:rFonts w:hint="eastAsia"/>
          <w:sz w:val="32"/>
          <w:szCs w:val="32"/>
          <w:lang w:eastAsia="zh-CN"/>
        </w:rPr>
        <w:t>；其他收入</w:t>
      </w:r>
      <w:r>
        <w:rPr>
          <w:rFonts w:ascii="Times New Roman" w:eastAsia="宋体" w:cs="Times New Roman" w:hAnsi="Times New Roman"/>
          <w:sz w:val="32"/>
          <w:szCs w:val="32"/>
          <w:lang w:eastAsia="zh-CN"/>
        </w:rPr>
        <w:t>2.62</w:t>
      </w:r>
      <w:r>
        <w:rPr>
          <w:rFonts w:hint="eastAsia"/>
          <w:sz w:val="32"/>
          <w:szCs w:val="32"/>
          <w:lang w:eastAsia="zh-CN"/>
        </w:rPr>
        <w:t>万元，占</w:t>
      </w:r>
      <w:r>
        <w:rPr>
          <w:rFonts w:ascii="Times New Roman" w:eastAsia="宋体" w:cs="Times New Roman" w:hAnsi="Times New Roman"/>
          <w:sz w:val="32"/>
          <w:szCs w:val="32"/>
          <w:lang w:eastAsia="zh-CN"/>
        </w:rPr>
        <w:t>0.15</w:t>
      </w:r>
      <w:r>
        <w:rPr>
          <w:rFonts w:ascii="Times New Roman" w:eastAsia="Times New Roman" w:cs="Times New Roman" w:hAnsi="Times New Roman"/>
          <w:sz w:val="32"/>
          <w:szCs w:val="32"/>
          <w:lang w:eastAsia="zh-CN"/>
        </w:rPr>
        <w:t>%</w:t>
      </w:r>
      <w:r>
        <w:rPr>
          <w:rFonts w:ascii="Times New Roman" w:eastAsia="宋体" w:cs="Times New Roman" w:hAnsi="Times New Roman" w:hint="eastAsia"/>
          <w:sz w:val="32"/>
          <w:szCs w:val="32"/>
          <w:lang w:eastAsia="zh-CN"/>
        </w:rPr>
        <w:t>。</w:t>
      </w:r>
    </w:p>
    <w:p>
      <w:pPr>
        <w:pStyle w:val="16"/>
        <w:spacing w:line="560" w:lineRule="exact"/>
        <w:ind w:left="0" w:firstLineChars="200" w:firstLine="520"/>
        <w:jc w:val="both"/>
        <w:rPr>
          <w:rFonts w:ascii="仿宋" w:eastAsia="宋体" w:cs="仿宋" w:hAnsi="仿宋"/>
          <w:sz w:val="26"/>
          <w:szCs w:val="26"/>
          <w:lang w:eastAsia="zh-CN"/>
        </w:rPr>
      </w:pPr>
    </w:p>
    <w:p>
      <w:pPr>
        <w:pStyle w:val="25"/>
        <w:ind w:left="0" w:firstLineChars="200" w:firstLine="568"/>
        <w:jc w:val="center"/>
        <w:rPr>
          <w:rFonts w:ascii="Times New Roman" w:cs="Times New Roman" w:hAnsi="Times New Roman"/>
          <w:spacing w:val="2"/>
          <w:sz w:val="28"/>
          <w:szCs w:val="28"/>
          <w:lang w:eastAsia="zh-CN"/>
        </w:rPr>
      </w:pPr>
      <w:r>
        <w:rPr>
          <w:rFonts w:ascii="Times New Roman" w:cs="Times New Roman" w:hAnsi="Times New Roman" w:hint="eastAsia"/>
          <w:spacing w:val="2"/>
          <w:sz w:val="28"/>
          <w:szCs w:val="28"/>
          <w:lang w:eastAsia="zh-CN"/>
        </w:rPr>
        <w:t>图</w:t>
      </w:r>
      <w:r>
        <w:rPr>
          <w:rFonts w:ascii="Times New Roman" w:cs="Times New Roman" w:hAnsi="Times New Roman"/>
          <w:b w:val="0"/>
          <w:bCs w:val="0"/>
          <w:sz w:val="28"/>
          <w:szCs w:val="28"/>
          <w:lang w:eastAsia="zh-CN"/>
        </w:rPr>
        <w:t>2</w:t>
      </w:r>
      <w:r>
        <w:rPr>
          <w:rFonts w:ascii="Times New Roman" w:cs="Times New Roman" w:hAnsi="Times New Roman" w:hint="eastAsia"/>
          <w:spacing w:val="2"/>
          <w:sz w:val="28"/>
          <w:szCs w:val="28"/>
          <w:lang w:eastAsia="zh-CN"/>
        </w:rPr>
        <w:t>：收入决算结构</w:t>
      </w:r>
    </w:p>
    <w:p>
      <w:pPr>
        <w:pStyle w:val="25"/>
        <w:ind w:left="0" w:firstLineChars="200" w:firstLine="640"/>
        <w:jc w:val="both"/>
        <w:outlineLvl w:val="9"/>
        <w:rPr>
          <w:lang w:eastAsia="zh-CN"/>
        </w:rPr>
      </w:pPr>
      <w:r>
        <w:rPr>
          <w:rFonts w:ascii="Times New Roman" w:eastAsia="Times New Roman" w:cs="Times New Roman" w:hAnsi="Times New Roman"/>
          <w:sz w:val="32"/>
          <w:szCs w:val="32"/>
          <w:lang w:eastAsia="zh-CN"/>
        </w:rPr>
        <w:drawing>
          <wp:anchor distT="0" distB="0" distL="68578" distR="68578" simplePos="0" relativeHeight="47" behindDoc="0" locked="0" layoutInCell="1" hidden="0" allowOverlap="1">
            <wp:simplePos x="0" y="0"/>
            <wp:positionH relativeFrom="column">
              <wp:posOffset>-116830</wp:posOffset>
            </wp:positionH>
            <wp:positionV relativeFrom="paragraph">
              <wp:posOffset>183003</wp:posOffset>
            </wp:positionV>
            <wp:extent cx="5849747" cy="3860829"/>
            <wp:effectExtent l="0" t="0" r="0" b="0"/>
            <wp:wrapNone/>
            <wp:docPr id="26" name="图片 1037"/>
            <wp:cNvGraphicFramePr>
              <a:graphicFrameLocks noChangeAspect="1"/>
            </wp:cNvGraphicFramePr>
            <a:graphic>
              <a:graphicData uri="http://schemas.openxmlformats.org/drawingml/2006/picture">
                <pic:pic>
                  <pic:nvPicPr>
                    <pic:cNvPr id="28" name="图片 1037 28"/>
                    <pic:cNvPicPr/>
                  </pic:nvPicPr>
                  <pic:blipFill>
                    <a:blip r:embed="rId13"/>
                    <a:stretch>
                      <a:fillRect/>
                    </a:stretch>
                  </pic:blipFill>
                  <pic:spPr>
                    <a:xfrm rot="0">
                      <a:off x="0" y="0"/>
                      <a:ext cx="5849747" cy="3860829"/>
                    </a:xfrm>
                    <a:prstGeom prst="rect"/>
                    <a:noFill/>
                    <a:ln w="9525" cmpd="sng" cap="flat">
                      <a:noFill/>
                      <a:prstDash val="solid"/>
                      <a:miter/>
                    </a:ln>
                  </pic:spPr>
                </pic:pic>
              </a:graphicData>
            </a:graphic>
          </wp:anchor>
        </w:drawing>
      </w:r>
    </w:p>
    <w:p>
      <w:pPr>
        <w:ind w:firstLineChars="200" w:firstLine="440"/>
        <w:jc w:val="both"/>
      </w:pPr>
    </w:p>
    <w:p>
      <w:pPr>
        <w:ind w:firstLineChars="200" w:firstLine="400"/>
        <w:jc w:val="both"/>
        <w:rPr>
          <w:rFonts w:ascii="方正仿宋_GBK" w:eastAsia="方正仿宋_GBK" w:cs="方正仿宋_GBK"/>
          <w:sz w:val="20"/>
          <w:szCs w:val="20"/>
          <w:lang w:eastAsia="zh-CN"/>
        </w:rPr>
      </w:pPr>
    </w:p>
    <w:p>
      <w:pPr>
        <w:ind w:firstLineChars="200" w:firstLine="400"/>
        <w:jc w:val="both"/>
        <w:rPr>
          <w:rFonts w:ascii="方正仿宋_GBK" w:eastAsia="方正仿宋_GBK" w:cs="方正仿宋_GBK"/>
          <w:sz w:val="20"/>
          <w:szCs w:val="20"/>
          <w:lang w:eastAsia="zh-CN"/>
        </w:rPr>
      </w:pPr>
    </w:p>
    <w:p>
      <w:pPr>
        <w:ind w:firstLineChars="200" w:firstLine="400"/>
        <w:jc w:val="both"/>
        <w:rPr>
          <w:rFonts w:ascii="方正仿宋_GBK" w:eastAsia="方正仿宋_GBK" w:cs="方正仿宋_GBK"/>
          <w:sz w:val="20"/>
          <w:szCs w:val="20"/>
          <w:lang w:eastAsia="zh-CN"/>
        </w:rPr>
        <w:sectPr>
          <w:pgSz w:w="11920" w:h="16850"/>
          <w:pgMar w:top="1440" w:right="1758" w:bottom="1440" w:left="1758" w:header="0" w:footer="765" w:gutter="0"/>
          <w:docGrid w:linePitch="312" w:charSpace="0"/>
        </w:sectPr>
      </w:pPr>
    </w:p>
    <w:p>
      <w:pPr>
        <w:pStyle w:val="106"/>
        <w:spacing w:line="560" w:lineRule="exact"/>
        <w:ind w:left="0" w:firstLineChars="200" w:firstLine="640"/>
        <w:jc w:val="both"/>
        <w:outlineLvl w:val="1"/>
        <w:rPr>
          <w:rFonts w:ascii="方正黑体_GBK" w:eastAsia="方正黑体_GBK" w:cs="方正黑体_GBK"/>
          <w:sz w:val="32"/>
          <w:szCs w:val="32"/>
          <w:lang w:eastAsia="zh-CN"/>
        </w:rPr>
      </w:pPr>
      <w:bookmarkStart w:id="21" w:name="_Toc11909"/>
      <w:r>
        <w:rPr>
          <w:rFonts w:ascii="方正黑体_GBK" w:eastAsia="方正黑体_GBK" w:cs="方正黑体_GBK" w:hint="eastAsia"/>
          <w:sz w:val="32"/>
          <w:szCs w:val="32"/>
          <w:lang w:eastAsia="zh-CN"/>
        </w:rPr>
        <w:t>三、支出决算情况说明</w:t>
      </w:r>
      <w:bookmarkEnd w:id="21"/>
    </w:p>
    <w:p>
      <w:pPr>
        <w:pStyle w:val="16"/>
        <w:spacing w:line="560" w:lineRule="exact"/>
        <w:ind w:left="0" w:firstLineChars="200" w:firstLine="640"/>
        <w:jc w:val="both"/>
        <w:rPr>
          <w:sz w:val="32"/>
          <w:szCs w:val="32"/>
          <w:lang w:eastAsia="zh-CN"/>
        </w:rPr>
      </w:pPr>
      <w:r>
        <w:rPr>
          <w:rFonts w:ascii="Times New Roman" w:eastAsia="Times New Roman" w:cs="Times New Roman" w:hAnsi="Times New Roman"/>
          <w:sz w:val="32"/>
          <w:szCs w:val="32"/>
          <w:lang w:eastAsia="zh-CN"/>
        </w:rPr>
        <w:t>2025年嵊泗海关综合技术服务中心支出总额1,145.91万元其中：基本支出-人员支出557.06万元，占总支出48.61%；基本支出-公用支出355.54万元，占总支出31.03%；项目支出233.31万元，占总支出20.36%。</w:t>
      </w:r>
    </w:p>
    <w:p>
      <w:pPr>
        <w:pStyle w:val="25"/>
        <w:spacing w:line="560" w:lineRule="exact"/>
        <w:ind w:left="0"/>
        <w:jc w:val="center"/>
        <w:outlineLvl w:val="9"/>
        <w:rPr>
          <w:spacing w:val="2"/>
          <w:lang w:eastAsia="zh-CN"/>
        </w:rPr>
      </w:pPr>
    </w:p>
    <w:p>
      <w:pPr>
        <w:pStyle w:val="25"/>
        <w:spacing w:line="560" w:lineRule="exact"/>
        <w:ind w:left="0"/>
        <w:jc w:val="center"/>
        <w:rPr>
          <w:b w:val="0"/>
          <w:bCs w:val="0"/>
          <w:lang w:eastAsia="zh-CN"/>
        </w:rPr>
      </w:pPr>
      <w:r>
        <w:rPr>
          <w:rFonts w:hint="eastAsia"/>
          <w:spacing w:val="2"/>
          <w:lang w:eastAsia="zh-CN"/>
        </w:rPr>
        <w:t>图</w:t>
      </w:r>
      <w:r>
        <w:rPr>
          <w:rFonts w:ascii="Times New Roman" w:eastAsia="Times New Roman" w:cs="Times New Roman" w:hAnsi="Times New Roman"/>
          <w:spacing w:val="2"/>
          <w:lang w:eastAsia="zh-CN"/>
        </w:rPr>
        <w:t>3</w:t>
      </w:r>
      <w:r>
        <w:rPr>
          <w:rFonts w:hint="eastAsia"/>
          <w:spacing w:val="2"/>
          <w:lang w:eastAsia="zh-CN"/>
        </w:rPr>
        <w:t>：支出决算结构</w:t>
      </w:r>
    </w:p>
    <w:p>
      <w:pPr>
        <w:pStyle w:val="25"/>
        <w:spacing w:line="560" w:lineRule="exact"/>
        <w:ind w:left="0"/>
        <w:jc w:val="both"/>
        <w:outlineLvl w:val="9"/>
      </w:pPr>
      <w:r>
        <w:rPr>
          <w:b w:val="0"/>
          <w:bCs w:val="0"/>
          <w:lang w:eastAsia="zh-CN"/>
        </w:rPr>
        <w:drawing>
          <wp:anchor distT="0" distB="0" distL="68578" distR="68578" simplePos="0" relativeHeight="50" behindDoc="0" locked="0" layoutInCell="1" hidden="0" allowOverlap="1">
            <wp:simplePos x="0" y="0"/>
            <wp:positionH relativeFrom="column">
              <wp:posOffset>232412</wp:posOffset>
            </wp:positionH>
            <wp:positionV relativeFrom="paragraph">
              <wp:posOffset>143561</wp:posOffset>
            </wp:positionV>
            <wp:extent cx="5167616" cy="3410440"/>
            <wp:effectExtent l="0" t="0" r="0" b="0"/>
            <wp:wrapNone/>
            <wp:docPr id="33" name="图片 1038"/>
            <wp:cNvGraphicFramePr>
              <a:graphicFrameLocks noChangeAspect="1"/>
            </wp:cNvGraphicFramePr>
            <a:graphic>
              <a:graphicData uri="http://schemas.openxmlformats.org/drawingml/2006/picture">
                <pic:pic>
                  <pic:nvPicPr>
                    <pic:cNvPr id="35" name="图片 1038 35"/>
                    <pic:cNvPicPr/>
                  </pic:nvPicPr>
                  <pic:blipFill>
                    <a:blip r:embed="rId15"/>
                    <a:stretch>
                      <a:fillRect/>
                    </a:stretch>
                  </pic:blipFill>
                  <pic:spPr>
                    <a:xfrm rot="0">
                      <a:off x="0" y="0"/>
                      <a:ext cx="5167616" cy="3410440"/>
                    </a:xfrm>
                    <a:prstGeom prst="rect"/>
                    <a:noFill/>
                    <a:ln w="9525" cmpd="sng" cap="flat">
                      <a:noFill/>
                      <a:prstDash val="solid"/>
                      <a:miter/>
                    </a:ln>
                  </pic:spPr>
                </pic:pic>
              </a:graphicData>
            </a:graphic>
          </wp:anchor>
        </w:drawing>
      </w:r>
    </w:p>
    <w:p>
      <w:pPr>
        <w:pStyle w:val="25"/>
        <w:spacing w:line="560" w:lineRule="exact"/>
        <w:ind w:left="0"/>
        <w:jc w:val="both"/>
        <w:outlineLvl w:val="9"/>
        <w:rPr>
          <w:b w:val="0"/>
          <w:bCs w:val="0"/>
          <w:lang w:eastAsia="zh-CN"/>
        </w:rPr>
      </w:pPr>
    </w:p>
    <w:p>
      <w:pPr>
        <w:spacing w:line="560" w:lineRule="exact"/>
        <w:ind w:firstLineChars="200" w:firstLine="400"/>
        <w:jc w:val="both"/>
        <w:rPr>
          <w:rFonts w:ascii="方正仿宋_GBK" w:eastAsia="方正仿宋_GBK" w:cs="方正仿宋_GBK"/>
          <w:sz w:val="20"/>
          <w:szCs w:val="20"/>
          <w:lang w:eastAsia="zh-CN"/>
        </w:rPr>
        <w:sectPr>
          <w:headerReference w:type="default" r:id="rId14"/>
          <w:pgSz w:w="11920" w:h="16850"/>
          <w:pgMar w:top="1440" w:right="1758" w:bottom="1440" w:left="1758" w:header="0" w:footer="765" w:gutter="0"/>
          <w:docGrid w:linePitch="312" w:charSpace="0"/>
        </w:sectPr>
      </w:pPr>
    </w:p>
    <w:p>
      <w:pPr>
        <w:pStyle w:val="107"/>
        <w:spacing w:line="560" w:lineRule="exact"/>
        <w:ind w:left="0" w:firstLineChars="200" w:firstLine="640"/>
        <w:jc w:val="both"/>
        <w:outlineLvl w:val="1"/>
        <w:rPr>
          <w:rFonts w:ascii="方正黑体_GBK" w:eastAsia="方正黑体_GBK" w:cs="方正黑体_GBK"/>
          <w:sz w:val="32"/>
          <w:szCs w:val="32"/>
          <w:lang w:eastAsia="zh-CN"/>
        </w:rPr>
      </w:pPr>
      <w:bookmarkStart w:id="22" w:name="_Toc28255"/>
      <w:r>
        <w:rPr>
          <w:rFonts w:ascii="方正黑体_GBK" w:eastAsia="方正黑体_GBK" w:cs="方正黑体_GBK" w:hint="eastAsia"/>
          <w:sz w:val="32"/>
          <w:szCs w:val="32"/>
          <w:lang w:eastAsia="zh-CN"/>
        </w:rPr>
        <w:t>四、财政拨款收入支出决算总体情况说明</w:t>
      </w:r>
      <w:bookmarkEnd w:id="22"/>
    </w:p>
    <w:p>
      <w:pPr>
        <w:pStyle w:val="16"/>
        <w:spacing w:line="560" w:lineRule="exact"/>
        <w:ind w:left="0" w:firstLineChars="200" w:firstLine="640"/>
        <w:jc w:val="both"/>
        <w:rPr>
          <w:rFonts w:ascii="方正仿宋_GBK" w:eastAsia="方正仿宋_GBK" w:cs="方正仿宋_GBK"/>
          <w:sz w:val="44"/>
          <w:szCs w:val="44"/>
          <w:lang w:eastAsia="zh-CN"/>
        </w:rPr>
      </w:pPr>
      <w:r>
        <w:rPr>
          <w:rFonts w:ascii="Times New Roman" w:eastAsia="Times New Roman" w:cs="Times New Roman" w:hAnsi="Times New Roman" w:hint="eastAsia"/>
          <w:sz w:val="32"/>
          <w:szCs w:val="32"/>
          <w:lang w:eastAsia="zh-CN"/>
        </w:rPr>
        <w:t>2025年嵊泗海关综合技术服务中心财政拨款收入747.52万元，比2024年财政拨款收入958.98万元减少211.46万元，下降22.05%，主要原因是2025年“两新”项目的财政拨款资金较2024年减少320万元。财政拨款支出394.02万元，比2024年财政拨款支出869.29万元减少475.27万元，下降54.67%，主要原因是2025年“两新”项目支出较2024年减少583.65万元。年末结余资金89.85万元，结转资金353.50万元，全部为海关实验室仪器设备更新项目（海关）结转结余资金。</w:t>
      </w:r>
    </w:p>
    <w:p>
      <w:pPr>
        <w:pStyle w:val="16"/>
        <w:spacing w:line="560" w:lineRule="exact"/>
        <w:ind w:left="0" w:firstLineChars="200" w:firstLine="640"/>
        <w:jc w:val="both"/>
        <w:rPr>
          <w:sz w:val="32"/>
          <w:szCs w:val="32"/>
          <w:lang w:eastAsia="zh-CN"/>
        </w:rPr>
      </w:pPr>
    </w:p>
    <w:p>
      <w:pPr>
        <w:pStyle w:val="25"/>
        <w:ind w:left="0"/>
        <w:jc w:val="center"/>
        <w:rPr>
          <w:b w:val="0"/>
          <w:bCs w:val="0"/>
          <w:lang w:eastAsia="zh-CN"/>
        </w:rPr>
      </w:pPr>
      <w:r>
        <w:rPr>
          <w:rFonts w:hint="eastAsia"/>
          <w:spacing w:val="3"/>
          <w:lang w:eastAsia="zh-CN"/>
        </w:rPr>
        <w:t>图</w:t>
      </w:r>
      <w:r>
        <w:rPr>
          <w:rFonts w:ascii="Times New Roman" w:eastAsia="Times New Roman" w:cs="Times New Roman" w:hAnsi="Times New Roman"/>
          <w:spacing w:val="3"/>
          <w:lang w:eastAsia="zh-CN"/>
        </w:rPr>
        <w:t>4</w:t>
      </w:r>
      <w:r>
        <w:rPr>
          <w:rFonts w:hint="eastAsia"/>
          <w:spacing w:val="3"/>
          <w:lang w:eastAsia="zh-CN"/>
        </w:rPr>
        <w:t>：财政拨款收支决算总计变动情况</w:t>
      </w:r>
    </w:p>
    <w:p>
      <w:pPr>
        <w:jc w:val="center"/>
        <w:rPr>
          <w:rFonts w:ascii="方正仿宋_GBK" w:eastAsia="方正仿宋_GBK" w:cs="方正仿宋_GBK"/>
          <w:b/>
          <w:bCs/>
          <w:spacing w:val="4"/>
          <w:sz w:val="31"/>
          <w:szCs w:val="31"/>
          <w:lang w:eastAsia="zh-CN"/>
        </w:rPr>
        <w:sectPr>
          <w:footerReference w:type="default" r:id="rId16"/>
          <w:pgSz w:w="11920" w:h="16850"/>
          <w:pgMar w:top="1440" w:right="1758" w:bottom="1440" w:left="1758" w:header="0" w:footer="765" w:gutter="0"/>
          <w:docGrid w:linePitch="312" w:charSpace="0"/>
        </w:sectPr>
      </w:pPr>
      <w:r>
        <w:rPr>
          <w:rFonts w:ascii="方正仿宋_GBK" w:eastAsia="方正仿宋_GBK" w:cs="方正仿宋_GBK"/>
          <w:b/>
          <w:bCs/>
          <w:spacing w:val="4"/>
          <w:sz w:val="31"/>
          <w:szCs w:val="31"/>
          <w:lang w:eastAsia="zh-CN"/>
        </w:rPr>
        <w:object>
          <v:shape id="_x0000_i3" type="#_x0000_t75" filled="f" stroked="f" style="position:absolute;margin-left:1.9008163pt;margin-top:35.90887pt;width:435.31158pt;height:264.94543pt;z-index:51;mso-position-horizontal:absolute;mso-position-vertical:absolute;mso-wrap-distance-left:5.3998427pt;mso-wrap-distance-right:5.3998427pt;" o:ole="">
            <v:stroke color="#000000"/>
            <v:imagedata r:id="rId17" o:title="815795381786691071799"/>
            <o:lock aspectratio="t"/>
          </v:shape>
          <o:OLEObject Type="Embed" ProgID="Package" ShapeID="_x0000_i3" DrawAspect="Content" ObjectID="_1393063353" r:id="rId18"/>
        </w:object>
      </w:r>
      <w:r>
        <w:rPr>
          <w:rFonts w:ascii="方正仿宋_GBK" w:eastAsia="方正仿宋_GBK" w:cs="方正仿宋_GBK" w:hint="eastAsia"/>
          <w:b/>
          <w:bCs/>
          <w:spacing w:val="4"/>
          <w:sz w:val="31"/>
          <w:szCs w:val="31"/>
          <w:lang w:eastAsia="zh-CN"/>
        </w:rPr>
        <w:t>（单位：万元）</w:t>
      </w:r>
    </w:p>
    <w:p>
      <w:pPr>
        <w:pStyle w:val="111"/>
        <w:spacing w:line="560" w:lineRule="exact"/>
        <w:ind w:left="0" w:firstLineChars="200" w:firstLine="640"/>
        <w:jc w:val="both"/>
        <w:outlineLvl w:val="1"/>
        <w:rPr>
          <w:rFonts w:ascii="方正黑体_GBK" w:eastAsia="方正黑体_GBK" w:cs="方正黑体_GBK"/>
          <w:sz w:val="32"/>
          <w:szCs w:val="32"/>
          <w:lang w:eastAsia="zh-CN"/>
        </w:rPr>
      </w:pPr>
      <w:bookmarkStart w:id="23" w:name="_Toc12973"/>
      <w:r>
        <w:rPr>
          <w:rFonts w:ascii="方正黑体_GBK" w:eastAsia="方正黑体_GBK" w:cs="方正黑体_GBK" w:hint="eastAsia"/>
          <w:sz w:val="32"/>
          <w:szCs w:val="32"/>
          <w:lang w:eastAsia="zh-CN"/>
        </w:rPr>
        <w:t>五、一般公共预算财政拨款支出决算情况说明</w:t>
      </w:r>
      <w:bookmarkEnd w:id="23"/>
    </w:p>
    <w:p>
      <w:pPr>
        <w:pStyle w:val="16"/>
        <w:spacing w:line="560" w:lineRule="exact"/>
        <w:ind w:left="0" w:firstLineChars="200" w:firstLine="640"/>
        <w:jc w:val="both"/>
        <w:rPr>
          <w:rFonts w:ascii="方正楷体_GBK" w:eastAsia="方正楷体_GBK" w:cs="方正楷体_GBK"/>
          <w:b/>
          <w:bCs/>
          <w:sz w:val="32"/>
          <w:szCs w:val="32"/>
          <w:lang w:eastAsia="zh-CN"/>
        </w:rPr>
      </w:pPr>
      <w:r>
        <w:rPr>
          <w:rFonts w:ascii="方正楷体_GBK" w:eastAsia="方正楷体_GBK" w:cs="方正楷体_GBK" w:hint="eastAsia"/>
          <w:b/>
          <w:bCs/>
          <w:sz w:val="32"/>
          <w:szCs w:val="32"/>
          <w:lang w:eastAsia="zh-CN"/>
        </w:rPr>
        <w:t>（一）财政拨款支出决算总体情况。</w:t>
      </w:r>
    </w:p>
    <w:p>
      <w:pPr>
        <w:pStyle w:val="16"/>
        <w:spacing w:line="560" w:lineRule="exact"/>
        <w:ind w:left="0" w:firstLineChars="200" w:firstLine="640"/>
        <w:jc w:val="both"/>
        <w:rPr>
          <w:rFonts w:cs="方正仿宋_GBK"/>
          <w:color w:val="FF0000"/>
          <w:sz w:val="39"/>
          <w:szCs w:val="39"/>
          <w:lang w:eastAsia="zh-CN"/>
        </w:rPr>
      </w:pPr>
      <w:r>
        <w:rPr>
          <w:rFonts w:ascii="Times New Roman" w:eastAsia="Times New Roman" w:cs="Times New Roman" w:hAnsi="Times New Roman" w:hint="eastAsia"/>
          <w:color w:val="000000"/>
          <w:sz w:val="32"/>
          <w:szCs w:val="32"/>
          <w:lang w:eastAsia="zh-CN"/>
        </w:rPr>
        <w:t>2025年嵊泗海关综合技术服务中心财政拨款支出394.02万元，比2024年财政拨款支出869.29万元减少475.27万元，下降54.67%，主要原因是2025年“两新”项目支出较2024年减少583.65万元。年末结余资金89.85万元，结转资金353.50万元，全部为海关实验室仪器设备更新项目（海关）结转结余资金。</w:t>
      </w:r>
    </w:p>
    <w:p>
      <w:pPr>
        <w:spacing w:line="560" w:lineRule="exact"/>
        <w:jc w:val="both"/>
        <w:rPr>
          <w:rFonts w:ascii="方正仿宋_GBK" w:eastAsia="方正仿宋_GBK" w:cs="方正仿宋_GBK"/>
          <w:sz w:val="20"/>
          <w:szCs w:val="20"/>
          <w:lang w:eastAsia="zh-CN"/>
        </w:rPr>
        <w:sectPr>
          <w:pgSz w:w="11920" w:h="16850"/>
          <w:pgMar w:top="1440" w:right="1758" w:bottom="1440" w:left="1758" w:header="0" w:footer="765" w:gutter="0"/>
          <w:docGrid w:linePitch="312" w:charSpace="0"/>
        </w:sectPr>
      </w:pPr>
      <w:r>
        <w:rPr>
          <w:rFonts w:ascii="方正仿宋_GBK" w:eastAsia="方正仿宋_GBK" w:cs="方正仿宋_GBK"/>
          <w:sz w:val="20"/>
          <w:szCs w:val="20"/>
          <w:lang w:eastAsia="zh-CN"/>
        </w:rPr>
        <w:t xml:space="preserve">                                                             </w:t>
      </w:r>
    </w:p>
    <w:p>
      <w:pPr>
        <w:pStyle w:val="16"/>
        <w:spacing w:line="560" w:lineRule="exact"/>
        <w:ind w:left="0" w:firstLineChars="200" w:firstLine="640"/>
        <w:jc w:val="both"/>
        <w:rPr>
          <w:rFonts w:ascii="方正楷体_GBK" w:eastAsia="方正楷体_GBK" w:cs="方正楷体_GBK"/>
          <w:b/>
          <w:bCs/>
          <w:sz w:val="32"/>
          <w:szCs w:val="32"/>
          <w:lang w:eastAsia="zh-CN"/>
        </w:rPr>
      </w:pPr>
      <w:r>
        <w:rPr>
          <w:rFonts w:ascii="方正楷体_GBK" w:eastAsia="方正楷体_GBK" w:cs="方正楷体_GBK" w:hint="eastAsia"/>
          <w:b/>
          <w:bCs/>
          <w:sz w:val="32"/>
          <w:szCs w:val="32"/>
          <w:lang w:eastAsia="zh-CN"/>
        </w:rPr>
        <w:t>（二）财政拨款支出决算结构情况。</w:t>
      </w:r>
    </w:p>
    <w:p>
      <w:pPr>
        <w:pStyle w:val="16"/>
        <w:spacing w:line="560" w:lineRule="exact"/>
        <w:ind w:left="0" w:firstLineChars="200" w:firstLine="640"/>
        <w:jc w:val="both"/>
        <w:rPr>
          <w:rFonts w:ascii="Times New Roman" w:cs="Times New Roman" w:hAnsi="Times New Roman"/>
          <w:sz w:val="32"/>
          <w:szCs w:val="32"/>
          <w:lang w:eastAsia="zh-CN"/>
        </w:rPr>
      </w:pPr>
      <w:r>
        <w:rPr>
          <w:rFonts w:ascii="Times New Roman" w:cs="Times New Roman" w:hAnsi="Times New Roman"/>
          <w:sz w:val="32"/>
          <w:szCs w:val="32"/>
          <w:lang w:eastAsia="zh-CN"/>
        </w:rPr>
        <w:t>2025年度财政拨款支出394.02万元，主要用于以下方面：</w:t>
      </w:r>
      <w:r>
        <w:rPr>
          <w:rFonts w:ascii="Times New Roman" w:cs="Times New Roman" w:hAnsi="Times New Roman"/>
          <w:spacing w:val="4"/>
          <w:sz w:val="32"/>
          <w:szCs w:val="32"/>
          <w:lang w:eastAsia="zh-CN"/>
        </w:rPr>
        <w:t>一般公共服务支出</w:t>
      </w:r>
      <w:r>
        <w:rPr>
          <w:rFonts w:ascii="Times New Roman" w:cs="Times New Roman" w:hAnsi="Times New Roman"/>
          <w:sz w:val="32"/>
          <w:szCs w:val="32"/>
          <w:lang w:eastAsia="zh-CN"/>
        </w:rPr>
        <w:t>269.01</w:t>
      </w:r>
      <w:r>
        <w:rPr>
          <w:rFonts w:ascii="Times New Roman" w:cs="Times New Roman" w:hAnsi="Times New Roman"/>
          <w:spacing w:val="4"/>
          <w:sz w:val="32"/>
          <w:szCs w:val="32"/>
          <w:lang w:eastAsia="zh-CN"/>
        </w:rPr>
        <w:t>万元，占</w:t>
      </w:r>
      <w:r>
        <w:rPr>
          <w:rFonts w:ascii="Times New Roman" w:cs="Times New Roman" w:hAnsi="Times New Roman"/>
          <w:sz w:val="32"/>
          <w:szCs w:val="32"/>
          <w:lang w:eastAsia="zh-CN"/>
        </w:rPr>
        <w:t>68.27%</w:t>
      </w:r>
      <w:r>
        <w:rPr>
          <w:rFonts w:ascii="Times New Roman" w:cs="Times New Roman" w:hAnsi="Times New Roman"/>
          <w:spacing w:val="4"/>
          <w:sz w:val="32"/>
          <w:szCs w:val="32"/>
          <w:lang w:eastAsia="zh-CN"/>
        </w:rPr>
        <w:t>；</w:t>
      </w:r>
      <w:r>
        <w:rPr>
          <w:rFonts w:ascii="Times New Roman" w:cs="Times New Roman" w:hAnsi="Times New Roman"/>
          <w:spacing w:val="27"/>
          <w:sz w:val="32"/>
          <w:szCs w:val="32"/>
          <w:lang w:eastAsia="zh-CN"/>
        </w:rPr>
        <w:t>住房保障支出</w:t>
      </w:r>
      <w:r>
        <w:rPr>
          <w:rFonts w:ascii="Times New Roman" w:cs="Times New Roman" w:hAnsi="Times New Roman"/>
          <w:sz w:val="32"/>
          <w:szCs w:val="32"/>
          <w:lang w:eastAsia="zh-CN"/>
        </w:rPr>
        <w:t>17.51万元，占4.45%；其他支出107.50万元，占27.28%。</w:t>
      </w:r>
    </w:p>
    <w:p>
      <w:pPr>
        <w:spacing w:line="560" w:lineRule="exact"/>
        <w:ind w:firstLineChars="200" w:firstLine="640"/>
        <w:jc w:val="both"/>
        <w:rPr>
          <w:rStyle w:val="0"/>
          <w:rFonts w:eastAsia="Times New Roman" w:cs="Times New Roman"/>
          <w:sz w:val="32"/>
          <w:szCs w:val="32"/>
          <w:lang w:eastAsia="zh-CN"/>
        </w:rPr>
      </w:pPr>
    </w:p>
    <w:p>
      <w:pPr>
        <w:pStyle w:val="25"/>
        <w:spacing w:line="560" w:lineRule="exact"/>
        <w:ind w:left="0"/>
        <w:jc w:val="center"/>
        <w:rPr>
          <w:b w:val="0"/>
          <w:bCs w:val="0"/>
          <w:lang w:eastAsia="zh-CN"/>
        </w:rPr>
      </w:pPr>
      <w:r>
        <w:rPr>
          <w:rFonts w:hint="eastAsia"/>
          <w:spacing w:val="2"/>
          <w:lang w:eastAsia="zh-CN"/>
        </w:rPr>
        <w:t>图</w:t>
      </w:r>
      <w:r>
        <w:rPr>
          <w:rFonts w:ascii="Times New Roman" w:eastAsia="Times New Roman" w:cs="Times New Roman" w:hAnsi="Times New Roman"/>
          <w:spacing w:val="2"/>
          <w:lang w:eastAsia="zh-CN"/>
        </w:rPr>
        <w:t>6</w:t>
      </w:r>
      <w:r>
        <w:rPr>
          <w:rFonts w:hint="eastAsia"/>
          <w:spacing w:val="2"/>
          <w:lang w:eastAsia="zh-CN"/>
        </w:rPr>
        <w:t>：财政拨款支出决算结构</w:t>
      </w:r>
    </w:p>
    <w:p>
      <w:pPr>
        <w:pStyle w:val="25"/>
        <w:spacing w:line="560" w:lineRule="exact"/>
        <w:ind w:left="0"/>
        <w:jc w:val="center"/>
        <w:rPr>
          <w:rFonts w:cs="方正仿宋_GBK"/>
          <w:spacing w:val="4"/>
          <w:lang w:eastAsia="zh-CN"/>
        </w:rPr>
      </w:pPr>
      <w:r>
        <w:rPr>
          <w:rFonts w:cs="方正仿宋_GBK" w:hint="eastAsia"/>
          <w:spacing w:val="4"/>
          <w:lang w:eastAsia="zh-CN"/>
        </w:rPr>
        <w:t>（单位：万元）</w:t>
      </w:r>
    </w:p>
    <w:p>
      <w:pPr>
        <w:pStyle w:val="25"/>
        <w:spacing w:line="560" w:lineRule="exact"/>
        <w:ind w:left="0"/>
        <w:jc w:val="center"/>
        <w:rPr>
          <w:rFonts w:cs="方正仿宋_GBK"/>
          <w:spacing w:val="4"/>
          <w:lang w:eastAsia="zh-CN"/>
        </w:rPr>
      </w:pPr>
      <w:r>
        <w:rPr>
          <w:rFonts w:cs="方正仿宋_GBK"/>
          <w:spacing w:val="4"/>
          <w:lang w:eastAsia="zh-CN"/>
        </w:rPr>
        <w:drawing>
          <wp:anchor distT="0" distB="0" distL="68578" distR="68578" simplePos="0" relativeHeight="52" behindDoc="0" locked="0" layoutInCell="1" hidden="0" allowOverlap="1">
            <wp:simplePos x="0" y="0"/>
            <wp:positionH relativeFrom="column">
              <wp:posOffset>24170</wp:posOffset>
            </wp:positionH>
            <wp:positionV relativeFrom="paragraph">
              <wp:posOffset>126996</wp:posOffset>
            </wp:positionV>
            <wp:extent cx="5271525" cy="3169920"/>
            <wp:effectExtent l="0" t="0" r="0" b="0"/>
            <wp:wrapNone/>
            <wp:docPr id="45" name="图片"/>
            <wp:cNvGraphicFramePr>
              <a:graphicFrameLocks noChangeAspect="1"/>
            </wp:cNvGraphicFramePr>
            <a:graphic>
              <a:graphicData uri="http://schemas.openxmlformats.org/drawingml/2006/picture">
                <pic:pic>
                  <pic:nvPicPr>
                    <pic:cNvPr id="47" name="图片 47"/>
                    <pic:cNvPicPr/>
                  </pic:nvPicPr>
                  <pic:blipFill>
                    <a:blip r:embed="rId20"/>
                    <a:stretch>
                      <a:fillRect/>
                    </a:stretch>
                  </pic:blipFill>
                  <pic:spPr>
                    <a:xfrm rot="0">
                      <a:off x="0" y="0"/>
                      <a:ext cx="5271525" cy="3169920"/>
                    </a:xfrm>
                    <a:prstGeom prst="rect"/>
                    <a:noFill/>
                    <a:ln w="9525" cmpd="sng" cap="flat">
                      <a:noFill/>
                      <a:prstDash val="solid"/>
                      <a:miter/>
                    </a:ln>
                  </pic:spPr>
                </pic:pic>
              </a:graphicData>
            </a:graphic>
          </wp:anchor>
        </w:drawing>
      </w:r>
    </w:p>
    <w:p>
      <w:pPr>
        <w:pStyle w:val="25"/>
        <w:spacing w:line="560" w:lineRule="exact"/>
        <w:ind w:left="0"/>
        <w:jc w:val="center"/>
        <w:rPr>
          <w:rFonts w:cs="方正仿宋_GBK"/>
          <w:spacing w:val="4"/>
          <w:lang w:eastAsia="zh-CN"/>
        </w:rPr>
      </w:pPr>
    </w:p>
    <w:p>
      <w:pPr>
        <w:pStyle w:val="25"/>
        <w:spacing w:line="560" w:lineRule="exact"/>
        <w:ind w:left="0" w:firstLineChars="200" w:firstLine="620"/>
        <w:jc w:val="both"/>
        <w:outlineLvl w:val="9"/>
      </w:pPr>
    </w:p>
    <w:p>
      <w:pPr>
        <w:pStyle w:val="25"/>
        <w:spacing w:line="560" w:lineRule="exact"/>
        <w:ind w:left="0" w:firstLineChars="200" w:firstLine="620"/>
        <w:jc w:val="both"/>
        <w:outlineLvl w:val="9"/>
        <w:rPr>
          <w:lang w:eastAsia="zh-CN"/>
        </w:rPr>
      </w:pPr>
    </w:p>
    <w:p>
      <w:pPr>
        <w:spacing w:line="560" w:lineRule="exact"/>
        <w:ind w:firstLineChars="200" w:firstLine="400"/>
        <w:jc w:val="both"/>
        <w:rPr>
          <w:rFonts w:ascii="方正仿宋_GBK" w:eastAsia="方正仿宋_GBK" w:cs="方正仿宋_GBK"/>
          <w:sz w:val="20"/>
          <w:szCs w:val="20"/>
          <w:lang w:eastAsia="zh-CN"/>
        </w:rPr>
        <w:sectPr>
          <w:headerReference w:type="default" r:id="rId19"/>
          <w:pgSz w:w="11920" w:h="16850"/>
          <w:pgMar w:top="1440" w:right="1758" w:bottom="1440" w:left="1758" w:header="0" w:footer="765" w:gutter="0"/>
          <w:docGrid w:linePitch="312" w:charSpace="0"/>
        </w:sectPr>
      </w:pPr>
    </w:p>
    <w:p>
      <w:pPr>
        <w:pStyle w:val="16"/>
        <w:spacing w:line="560" w:lineRule="exact"/>
        <w:ind w:left="0" w:firstLineChars="200" w:firstLine="640"/>
        <w:jc w:val="both"/>
        <w:rPr>
          <w:rFonts w:ascii="方正楷体_GBK" w:eastAsia="方正楷体_GBK" w:cs="方正楷体_GBK"/>
          <w:b/>
          <w:bCs/>
          <w:sz w:val="32"/>
          <w:szCs w:val="32"/>
          <w:lang w:eastAsia="zh-CN"/>
        </w:rPr>
      </w:pPr>
      <w:r>
        <w:rPr>
          <w:rFonts w:ascii="方正楷体_GBK" w:eastAsia="方正楷体_GBK" w:cs="方正楷体_GBK" w:hint="eastAsia"/>
          <w:b/>
          <w:bCs/>
          <w:sz w:val="32"/>
          <w:szCs w:val="32"/>
          <w:lang w:eastAsia="zh-CN"/>
        </w:rPr>
        <w:t>（三）财政拨款支出决算具体情况。</w:t>
      </w:r>
    </w:p>
    <w:p>
      <w:pPr>
        <w:pStyle w:val="16"/>
        <w:spacing w:line="560" w:lineRule="exact"/>
        <w:ind w:left="0" w:firstLineChars="200" w:firstLine="640"/>
        <w:jc w:val="both"/>
        <w:rPr>
          <w:rFonts w:ascii="Times New Roman" w:cs="Times New Roman" w:hAnsi="Times New Roman"/>
          <w:sz w:val="32"/>
          <w:szCs w:val="32"/>
          <w:lang w:eastAsia="zh-CN"/>
        </w:rPr>
      </w:pPr>
      <w:r>
        <w:rPr>
          <w:rFonts w:ascii="Times New Roman" w:cs="Times New Roman" w:hAnsi="Times New Roman"/>
          <w:sz w:val="32"/>
          <w:szCs w:val="32"/>
          <w:lang w:eastAsia="zh-CN"/>
        </w:rPr>
        <w:t>2025</w:t>
      </w:r>
      <w:r>
        <w:rPr>
          <w:rFonts w:ascii="Times New Roman" w:cs="Times New Roman" w:hAnsi="Times New Roman"/>
          <w:spacing w:val="9"/>
          <w:sz w:val="32"/>
          <w:szCs w:val="32"/>
          <w:lang w:eastAsia="zh-CN"/>
        </w:rPr>
        <w:t>年度财政拨款支出为</w:t>
      </w:r>
      <w:r>
        <w:rPr>
          <w:rFonts w:ascii="Times New Roman" w:cs="Times New Roman" w:hAnsi="Times New Roman"/>
          <w:sz w:val="32"/>
          <w:szCs w:val="32"/>
          <w:lang w:eastAsia="zh-CN"/>
        </w:rPr>
        <w:t>394.02</w:t>
      </w:r>
      <w:r>
        <w:rPr>
          <w:rFonts w:ascii="Times New Roman" w:cs="Times New Roman" w:hAnsi="Times New Roman"/>
          <w:spacing w:val="9"/>
          <w:sz w:val="32"/>
          <w:szCs w:val="32"/>
          <w:lang w:eastAsia="zh-CN"/>
        </w:rPr>
        <w:t>万元,支出具体情况如</w:t>
      </w:r>
      <w:r>
        <w:rPr>
          <w:rFonts w:ascii="Times New Roman" w:cs="Times New Roman" w:hAnsi="Times New Roman"/>
          <w:sz w:val="32"/>
          <w:szCs w:val="32"/>
          <w:lang w:eastAsia="zh-CN"/>
        </w:rPr>
        <w:t>下：</w:t>
      </w:r>
    </w:p>
    <w:p>
      <w:pPr>
        <w:pStyle w:val="133"/>
        <w:spacing w:line="560" w:lineRule="exact"/>
        <w:ind w:left="0" w:firstLineChars="200" w:firstLine="656"/>
        <w:jc w:val="both"/>
        <w:rPr>
          <w:rFonts w:ascii="Times New Roman" w:cs="Times New Roman" w:hAnsi="Times New Roman"/>
          <w:sz w:val="32"/>
          <w:szCs w:val="32"/>
          <w:lang w:eastAsia="zh-CN"/>
        </w:rPr>
      </w:pPr>
      <w:r>
        <w:rPr>
          <w:rFonts w:ascii="Times New Roman" w:cs="Times New Roman" w:hAnsi="Times New Roman"/>
          <w:spacing w:val="4"/>
          <w:sz w:val="32"/>
          <w:szCs w:val="32"/>
          <w:lang w:eastAsia="zh-CN"/>
        </w:rPr>
        <w:t>1.</w:t>
      </w:r>
      <w:r>
        <w:rPr>
          <w:rFonts w:ascii="Times New Roman" w:cs="Times New Roman" w:hAnsi="Times New Roman"/>
          <w:spacing w:val="18"/>
          <w:sz w:val="32"/>
          <w:szCs w:val="32"/>
          <w:lang w:eastAsia="zh-CN"/>
        </w:rPr>
        <w:t>一般公共服务支出（类）海关事务（款）海关关务（项）。</w:t>
      </w:r>
      <w:r>
        <w:rPr>
          <w:rFonts w:ascii="Times New Roman" w:cs="Times New Roman" w:hAnsi="Times New Roman"/>
          <w:spacing w:val="4"/>
          <w:sz w:val="32"/>
          <w:szCs w:val="32"/>
          <w:lang w:eastAsia="zh-CN"/>
        </w:rPr>
        <w:t>年初预算为</w:t>
      </w:r>
      <w:r>
        <w:rPr>
          <w:rFonts w:ascii="Times New Roman" w:cs="Times New Roman" w:hAnsi="Times New Roman"/>
          <w:sz w:val="32"/>
          <w:szCs w:val="32"/>
          <w:lang w:eastAsia="zh-CN"/>
        </w:rPr>
        <w:t>78</w:t>
      </w:r>
      <w:r>
        <w:rPr>
          <w:rFonts w:ascii="Times New Roman" w:cs="Times New Roman" w:hAnsi="Times New Roman"/>
          <w:spacing w:val="4"/>
          <w:sz w:val="32"/>
          <w:szCs w:val="32"/>
          <w:lang w:eastAsia="zh-CN"/>
        </w:rPr>
        <w:t>万元，支出决算为</w:t>
      </w:r>
      <w:r>
        <w:rPr>
          <w:rFonts w:ascii="Times New Roman" w:cs="Times New Roman" w:hAnsi="Times New Roman"/>
          <w:sz w:val="32"/>
          <w:szCs w:val="32"/>
          <w:lang w:eastAsia="zh-CN"/>
        </w:rPr>
        <w:t>78</w:t>
      </w:r>
      <w:r>
        <w:rPr>
          <w:rFonts w:ascii="Times New Roman" w:cs="Times New Roman" w:hAnsi="Times New Roman"/>
          <w:spacing w:val="4"/>
          <w:sz w:val="32"/>
          <w:szCs w:val="32"/>
          <w:lang w:eastAsia="zh-CN"/>
        </w:rPr>
        <w:t>万元，完成初预算的</w:t>
      </w:r>
      <w:r>
        <w:rPr>
          <w:rFonts w:ascii="Times New Roman" w:cs="Times New Roman" w:hAnsi="Times New Roman"/>
          <w:sz w:val="32"/>
          <w:szCs w:val="32"/>
          <w:lang w:eastAsia="zh-CN"/>
        </w:rPr>
        <w:t>100%</w:t>
      </w:r>
      <w:r>
        <w:rPr>
          <w:rFonts w:ascii="Times New Roman" w:cs="Times New Roman" w:hAnsi="Times New Roman"/>
          <w:spacing w:val="4"/>
          <w:sz w:val="32"/>
          <w:szCs w:val="32"/>
          <w:lang w:eastAsia="zh-CN"/>
        </w:rPr>
        <w:t>。</w:t>
      </w:r>
    </w:p>
    <w:p>
      <w:pPr>
        <w:pStyle w:val="53"/>
        <w:spacing w:line="560" w:lineRule="exact"/>
        <w:ind w:left="0" w:firstLineChars="200" w:firstLine="692"/>
        <w:jc w:val="both"/>
        <w:rPr>
          <w:rFonts w:ascii="Times New Roman" w:cs="Times New Roman" w:hAnsi="Times New Roman"/>
          <w:b w:val="0"/>
          <w:bCs w:val="0"/>
          <w:sz w:val="32"/>
          <w:szCs w:val="32"/>
          <w:lang w:eastAsia="zh-CN"/>
        </w:rPr>
      </w:pPr>
      <w:r>
        <w:rPr>
          <w:rFonts w:ascii="Times New Roman" w:cs="Times New Roman" w:hAnsi="Times New Roman"/>
          <w:b w:val="0"/>
          <w:bCs w:val="0"/>
          <w:spacing w:val="13"/>
          <w:sz w:val="32"/>
          <w:szCs w:val="32"/>
          <w:lang w:eastAsia="zh-CN"/>
        </w:rPr>
        <w:t>2.</w:t>
      </w:r>
      <w:r>
        <w:rPr>
          <w:rFonts w:ascii="Times New Roman" w:cs="Times New Roman" w:hAnsi="Times New Roman"/>
          <w:b w:val="0"/>
          <w:bCs w:val="0"/>
          <w:sz w:val="32"/>
          <w:szCs w:val="32"/>
          <w:lang w:eastAsia="zh-CN"/>
        </w:rPr>
        <w:t>一般公共服务支出（类）海关事务（款）事业运行（</w:t>
      </w:r>
      <w:r>
        <w:rPr>
          <w:rFonts w:ascii="Times New Roman" w:cs="Times New Roman" w:hAnsi="Times New Roman"/>
          <w:b w:val="0"/>
          <w:bCs w:val="0"/>
          <w:spacing w:val="8"/>
          <w:sz w:val="32"/>
          <w:szCs w:val="32"/>
          <w:lang w:eastAsia="zh-CN"/>
        </w:rPr>
        <w:t>项）。</w:t>
      </w:r>
      <w:r>
        <w:rPr>
          <w:rFonts w:ascii="Times New Roman" w:cs="Times New Roman" w:hAnsi="Times New Roman"/>
          <w:b w:val="0"/>
          <w:bCs w:val="0"/>
          <w:spacing w:val="4"/>
          <w:sz w:val="32"/>
          <w:szCs w:val="32"/>
          <w:lang w:eastAsia="zh-CN"/>
        </w:rPr>
        <w:t>年初预算为143.20万元，支出决算为143.20万元，完成年初预算的100%。</w:t>
      </w:r>
    </w:p>
    <w:p>
      <w:pPr>
        <w:pStyle w:val="205"/>
        <w:spacing w:line="560" w:lineRule="exact"/>
        <w:ind w:left="0" w:firstLineChars="200" w:firstLine="656"/>
        <w:jc w:val="both"/>
        <w:rPr>
          <w:rFonts w:ascii="Times New Roman" w:cs="Times New Roman" w:hAnsi="Times New Roman"/>
          <w:b w:val="0"/>
          <w:bCs w:val="0"/>
          <w:sz w:val="32"/>
          <w:szCs w:val="32"/>
          <w:lang w:eastAsia="zh-CN"/>
        </w:rPr>
      </w:pPr>
      <w:r>
        <w:rPr>
          <w:rFonts w:ascii="Times New Roman" w:cs="Times New Roman" w:hAnsi="Times New Roman"/>
          <w:b w:val="0"/>
          <w:bCs w:val="0"/>
          <w:spacing w:val="4"/>
          <w:sz w:val="32"/>
          <w:szCs w:val="32"/>
          <w:lang w:eastAsia="zh-CN"/>
        </w:rPr>
        <w:t>3.</w:t>
      </w:r>
      <w:r>
        <w:rPr>
          <w:rFonts w:ascii="Times New Roman" w:cs="Times New Roman" w:hAnsi="Times New Roman"/>
          <w:b w:val="0"/>
          <w:bCs w:val="0"/>
          <w:sz w:val="32"/>
          <w:szCs w:val="32"/>
          <w:lang w:eastAsia="zh-CN"/>
        </w:rPr>
        <w:t>一般公共服务支出（类）海关事务（款）检验检疫（</w:t>
      </w:r>
      <w:r>
        <w:rPr>
          <w:rFonts w:ascii="Times New Roman" w:cs="Times New Roman" w:hAnsi="Times New Roman"/>
          <w:b w:val="0"/>
          <w:bCs w:val="0"/>
          <w:spacing w:val="8"/>
          <w:sz w:val="32"/>
          <w:szCs w:val="32"/>
          <w:lang w:eastAsia="zh-CN"/>
        </w:rPr>
        <w:t>项）。</w:t>
      </w:r>
      <w:r>
        <w:rPr>
          <w:rFonts w:ascii="Times New Roman" w:cs="Times New Roman" w:hAnsi="Times New Roman"/>
          <w:b w:val="0"/>
          <w:bCs w:val="0"/>
          <w:spacing w:val="4"/>
          <w:sz w:val="32"/>
          <w:szCs w:val="32"/>
          <w:lang w:eastAsia="zh-CN"/>
        </w:rPr>
        <w:t>年初预算为47.81万元，支出决算为47.81万元，完成年初预算的100%。</w:t>
      </w:r>
    </w:p>
    <w:p>
      <w:pPr>
        <w:pStyle w:val="93"/>
        <w:spacing w:line="560" w:lineRule="exact"/>
        <w:ind w:left="0" w:firstLineChars="200" w:firstLine="712"/>
        <w:jc w:val="both"/>
        <w:rPr>
          <w:rFonts w:ascii="Times New Roman" w:cs="Times New Roman" w:hAnsi="Times New Roman"/>
          <w:b w:val="0"/>
          <w:bCs w:val="0"/>
          <w:spacing w:val="4"/>
          <w:sz w:val="32"/>
          <w:szCs w:val="32"/>
          <w:lang w:eastAsia="zh-CN"/>
        </w:rPr>
      </w:pPr>
      <w:r>
        <w:rPr>
          <w:rFonts w:ascii="Times New Roman" w:cs="Times New Roman" w:hAnsi="Times New Roman"/>
          <w:b w:val="0"/>
          <w:bCs w:val="0"/>
          <w:spacing w:val="18"/>
          <w:sz w:val="32"/>
          <w:szCs w:val="32"/>
          <w:lang w:eastAsia="zh-CN"/>
        </w:rPr>
        <w:t>4.住房保障支出（</w:t>
      </w:r>
      <w:r>
        <w:rPr>
          <w:rFonts w:ascii="Times New Roman" w:cs="Times New Roman" w:hAnsi="Times New Roman"/>
          <w:b w:val="0"/>
          <w:bCs w:val="0"/>
          <w:spacing w:val="16"/>
          <w:sz w:val="32"/>
          <w:szCs w:val="32"/>
          <w:lang w:eastAsia="zh-CN"/>
        </w:rPr>
        <w:t>类）</w:t>
      </w:r>
      <w:r>
        <w:rPr>
          <w:rFonts w:ascii="Times New Roman" w:cs="Times New Roman" w:hAnsi="Times New Roman"/>
          <w:b w:val="0"/>
          <w:bCs w:val="0"/>
          <w:spacing w:val="26"/>
          <w:sz w:val="32"/>
          <w:szCs w:val="32"/>
          <w:lang w:eastAsia="zh-CN"/>
        </w:rPr>
        <w:t>住房改革支出（</w:t>
      </w:r>
      <w:r>
        <w:rPr>
          <w:rFonts w:ascii="Times New Roman" w:cs="Times New Roman" w:hAnsi="Times New Roman"/>
          <w:b w:val="0"/>
          <w:bCs w:val="0"/>
          <w:spacing w:val="13"/>
          <w:sz w:val="32"/>
          <w:szCs w:val="32"/>
          <w:lang w:eastAsia="zh-CN"/>
        </w:rPr>
        <w:t>款）</w:t>
      </w:r>
      <w:r>
        <w:rPr>
          <w:rFonts w:ascii="Times New Roman" w:cs="Times New Roman" w:hAnsi="Times New Roman"/>
          <w:b w:val="0"/>
          <w:bCs w:val="0"/>
          <w:spacing w:val="24"/>
          <w:sz w:val="32"/>
          <w:szCs w:val="32"/>
          <w:lang w:eastAsia="zh-CN"/>
        </w:rPr>
        <w:t>住房公积金</w:t>
      </w:r>
      <w:r>
        <w:rPr>
          <w:rFonts w:ascii="Times New Roman" w:cs="Times New Roman" w:hAnsi="Times New Roman"/>
          <w:b w:val="0"/>
          <w:bCs w:val="0"/>
          <w:spacing w:val="4"/>
          <w:sz w:val="32"/>
          <w:szCs w:val="32"/>
          <w:lang w:eastAsia="zh-CN"/>
        </w:rPr>
        <w:t>（项）。年初预算为</w:t>
      </w:r>
      <w:r>
        <w:rPr>
          <w:rFonts w:ascii="Times New Roman" w:cs="Times New Roman" w:hAnsi="Times New Roman"/>
          <w:b w:val="0"/>
          <w:bCs w:val="0"/>
          <w:sz w:val="32"/>
          <w:szCs w:val="32"/>
          <w:lang w:eastAsia="zh-CN"/>
        </w:rPr>
        <w:t>17.51</w:t>
      </w:r>
      <w:r>
        <w:rPr>
          <w:rFonts w:ascii="Times New Roman" w:cs="Times New Roman" w:hAnsi="Times New Roman"/>
          <w:b w:val="0"/>
          <w:bCs w:val="0"/>
          <w:spacing w:val="4"/>
          <w:sz w:val="32"/>
          <w:szCs w:val="32"/>
          <w:lang w:eastAsia="zh-CN"/>
        </w:rPr>
        <w:t>万元，支出决算为</w:t>
      </w:r>
      <w:r>
        <w:rPr>
          <w:rFonts w:ascii="Times New Roman" w:cs="Times New Roman" w:hAnsi="Times New Roman"/>
          <w:b w:val="0"/>
          <w:bCs w:val="0"/>
          <w:sz w:val="32"/>
          <w:szCs w:val="32"/>
          <w:lang w:eastAsia="zh-CN"/>
        </w:rPr>
        <w:t>17.51</w:t>
      </w:r>
      <w:r>
        <w:rPr>
          <w:rFonts w:ascii="Times New Roman" w:cs="Times New Roman" w:hAnsi="Times New Roman"/>
          <w:b w:val="0"/>
          <w:bCs w:val="0"/>
          <w:spacing w:val="4"/>
          <w:sz w:val="32"/>
          <w:szCs w:val="32"/>
          <w:lang w:eastAsia="zh-CN"/>
        </w:rPr>
        <w:t>万元，完成年初预算的</w:t>
      </w:r>
      <w:r>
        <w:rPr>
          <w:rFonts w:ascii="Times New Roman" w:cs="Times New Roman" w:hAnsi="Times New Roman"/>
          <w:b w:val="0"/>
          <w:bCs w:val="0"/>
          <w:sz w:val="32"/>
          <w:szCs w:val="32"/>
          <w:lang w:eastAsia="zh-CN"/>
        </w:rPr>
        <w:t>100%</w:t>
      </w:r>
      <w:r>
        <w:rPr>
          <w:rFonts w:ascii="Times New Roman" w:cs="Times New Roman" w:hAnsi="Times New Roman"/>
          <w:b w:val="0"/>
          <w:bCs w:val="0"/>
          <w:spacing w:val="4"/>
          <w:sz w:val="32"/>
          <w:szCs w:val="32"/>
          <w:lang w:eastAsia="zh-CN"/>
        </w:rPr>
        <w:t>。</w:t>
      </w:r>
    </w:p>
    <w:p>
      <w:pPr>
        <w:pStyle w:val="25"/>
        <w:spacing w:line="560" w:lineRule="exact"/>
        <w:ind w:left="0" w:firstLineChars="200" w:firstLine="640"/>
        <w:jc w:val="both"/>
        <w:outlineLvl w:val="1"/>
        <w:rPr>
          <w:rFonts w:ascii="Times New Roman" w:eastAsia="方正黑体_GBK" w:cs="Times New Roman" w:hAnsi="Times New Roman"/>
          <w:b w:val="0"/>
          <w:bCs w:val="0"/>
          <w:spacing w:val="29"/>
          <w:sz w:val="32"/>
          <w:szCs w:val="32"/>
          <w:lang w:eastAsia="zh-CN"/>
        </w:rPr>
      </w:pPr>
      <w:bookmarkStart w:id="24" w:name="_Toc21020"/>
      <w:r>
        <w:rPr>
          <w:rFonts w:ascii="Times New Roman" w:eastAsia="方正黑体_GBK" w:cs="Times New Roman" w:hAnsi="Times New Roman" w:hint="eastAsia"/>
          <w:b w:val="0"/>
          <w:bCs w:val="0"/>
          <w:sz w:val="32"/>
          <w:szCs w:val="32"/>
          <w:lang w:eastAsia="zh-CN"/>
        </w:rPr>
        <w:t>六、一般公共预算财政拨款基本支出决算情况说明</w:t>
      </w:r>
      <w:bookmarkEnd w:id="24"/>
    </w:p>
    <w:p>
      <w:pPr>
        <w:pStyle w:val="25"/>
        <w:spacing w:line="560" w:lineRule="exact"/>
        <w:ind w:left="0" w:firstLineChars="200" w:firstLine="640"/>
        <w:jc w:val="both"/>
        <w:rPr>
          <w:rFonts w:ascii="Times New Roman" w:cs="Times New Roman" w:hAnsi="Times New Roman"/>
          <w:b w:val="0"/>
          <w:sz w:val="32"/>
          <w:szCs w:val="32"/>
          <w:lang w:eastAsia="zh-CN"/>
        </w:rPr>
      </w:pPr>
      <w:r>
        <w:rPr>
          <w:rFonts w:ascii="Times New Roman" w:eastAsia="Times New Roman" w:cs="Times New Roman" w:hAnsi="Times New Roman"/>
          <w:b w:val="0"/>
          <w:sz w:val="32"/>
          <w:szCs w:val="32"/>
          <w:lang w:eastAsia="zh-CN"/>
        </w:rPr>
        <w:t>202</w:t>
      </w:r>
      <w:r>
        <w:rPr>
          <w:rFonts w:ascii="Times New Roman" w:eastAsia="宋体" w:cs="Times New Roman" w:hAnsi="Times New Roman"/>
          <w:b w:val="0"/>
          <w:sz w:val="32"/>
          <w:szCs w:val="32"/>
          <w:lang w:eastAsia="zh-CN"/>
        </w:rPr>
        <w:t>5</w:t>
      </w:r>
      <w:r>
        <w:rPr>
          <w:rFonts w:ascii="Times New Roman" w:cs="Times New Roman" w:hAnsi="Times New Roman" w:hint="eastAsia"/>
          <w:b w:val="0"/>
          <w:sz w:val="32"/>
          <w:szCs w:val="32"/>
          <w:lang w:eastAsia="zh-CN"/>
        </w:rPr>
        <w:t>年度财政拨款基本支出</w:t>
      </w:r>
      <w:r>
        <w:rPr>
          <w:rFonts w:ascii="Times New Roman" w:eastAsia="宋体" w:cs="Times New Roman" w:hAnsi="Times New Roman"/>
          <w:b w:val="0"/>
          <w:bCs w:val="0"/>
          <w:spacing w:val="4"/>
          <w:sz w:val="32"/>
          <w:szCs w:val="32"/>
          <w:lang w:eastAsia="zh-CN"/>
        </w:rPr>
        <w:t>160.71</w:t>
      </w:r>
      <w:r>
        <w:rPr>
          <w:rFonts w:ascii="Times New Roman" w:cs="Times New Roman" w:hAnsi="Times New Roman" w:hint="eastAsia"/>
          <w:b w:val="0"/>
          <w:sz w:val="32"/>
          <w:szCs w:val="32"/>
          <w:lang w:eastAsia="zh-CN"/>
        </w:rPr>
        <w:t>万元，其中：</w:t>
      </w:r>
    </w:p>
    <w:p>
      <w:pPr>
        <w:pStyle w:val="25"/>
        <w:spacing w:line="560" w:lineRule="exact"/>
        <w:ind w:left="0" w:firstLineChars="200" w:firstLine="640"/>
        <w:jc w:val="both"/>
        <w:rPr>
          <w:rFonts w:ascii="Times New Roman" w:cs="Times New Roman" w:hAnsi="Times New Roman"/>
          <w:b w:val="0"/>
          <w:spacing w:val="4"/>
          <w:sz w:val="32"/>
          <w:szCs w:val="32"/>
          <w:lang w:eastAsia="zh-CN"/>
        </w:rPr>
      </w:pPr>
      <w:r>
        <w:rPr>
          <w:rFonts w:ascii="Times New Roman" w:cs="Times New Roman" w:hAnsi="Times New Roman" w:hint="eastAsia"/>
          <w:b w:val="0"/>
          <w:bCs w:val="0"/>
          <w:sz w:val="32"/>
          <w:szCs w:val="32"/>
          <w:lang w:eastAsia="zh-CN"/>
        </w:rPr>
        <w:t>人员经费</w:t>
      </w:r>
      <w:r>
        <w:rPr>
          <w:rFonts w:ascii="Times New Roman" w:eastAsia="宋体" w:cs="Times New Roman" w:hAnsi="Times New Roman"/>
          <w:b w:val="0"/>
          <w:bCs w:val="0"/>
          <w:spacing w:val="4"/>
          <w:sz w:val="32"/>
          <w:szCs w:val="32"/>
          <w:lang w:eastAsia="zh-CN"/>
        </w:rPr>
        <w:t>113.03</w:t>
      </w:r>
      <w:r>
        <w:rPr>
          <w:rFonts w:ascii="Times New Roman" w:cs="Times New Roman" w:hAnsi="Times New Roman" w:hint="eastAsia"/>
          <w:bCs w:val="0"/>
          <w:spacing w:val="4"/>
          <w:sz w:val="32"/>
          <w:szCs w:val="32"/>
          <w:lang w:eastAsia="zh-CN"/>
        </w:rPr>
        <w:t>万元，</w:t>
      </w:r>
      <w:r>
        <w:rPr>
          <w:rFonts w:ascii="Times New Roman" w:cs="Times New Roman" w:hAnsi="Times New Roman" w:hint="eastAsia"/>
          <w:b w:val="0"/>
          <w:spacing w:val="4"/>
          <w:sz w:val="32"/>
          <w:szCs w:val="32"/>
          <w:lang w:eastAsia="zh-CN"/>
        </w:rPr>
        <w:t>主要包括基本工资、津贴补贴、住房公积金。</w:t>
      </w:r>
    </w:p>
    <w:p>
      <w:pPr>
        <w:pStyle w:val="25"/>
        <w:spacing w:line="560" w:lineRule="exact"/>
        <w:ind w:left="0" w:firstLineChars="200" w:firstLine="640"/>
        <w:jc w:val="both"/>
        <w:rPr>
          <w:rFonts w:ascii="Times New Roman" w:cs="Times New Roman" w:hAnsi="Times New Roman"/>
          <w:b w:val="0"/>
          <w:sz w:val="32"/>
          <w:szCs w:val="32"/>
          <w:lang w:eastAsia="zh-CN"/>
        </w:rPr>
      </w:pPr>
      <w:r>
        <w:rPr>
          <w:rFonts w:ascii="Times New Roman" w:cs="Times New Roman" w:hAnsi="Times New Roman"/>
          <w:b w:val="0"/>
          <w:bCs w:val="0"/>
          <w:sz w:val="32"/>
          <w:szCs w:val="32"/>
          <w:lang w:eastAsia="zh-CN"/>
        </w:rPr>
        <w:t>公用经费47.68万元，</w:t>
      </w:r>
      <w:r>
        <w:rPr>
          <w:rFonts w:ascii="Times New Roman" w:cs="Times New Roman" w:hAnsi="Times New Roman"/>
          <w:b w:val="0"/>
          <w:sz w:val="32"/>
          <w:szCs w:val="32"/>
          <w:lang w:eastAsia="zh-CN"/>
        </w:rPr>
        <w:t>主要包括办公费、印刷费、咨询费、水费、电费、邮电费、物业管理费、差旅费、维修（护）费、委托业务费、工会经费、福利费、办公设备购置。</w:t>
      </w:r>
    </w:p>
    <w:p>
      <w:pPr>
        <w:pStyle w:val="16"/>
        <w:spacing w:line="560" w:lineRule="exact"/>
        <w:ind w:left="0" w:firstLineChars="200" w:firstLine="640"/>
        <w:jc w:val="both"/>
        <w:outlineLvl w:val="1"/>
        <w:rPr>
          <w:rFonts w:ascii="Times New Roman" w:eastAsia="方正黑体_GBK" w:cs="Times New Roman" w:hAnsi="Times New Roman"/>
          <w:sz w:val="32"/>
          <w:szCs w:val="32"/>
          <w:lang w:eastAsia="zh-CN"/>
        </w:rPr>
      </w:pPr>
      <w:bookmarkStart w:id="25" w:name="_Toc1782"/>
      <w:r>
        <w:rPr>
          <w:rFonts w:ascii="Times New Roman" w:eastAsia="方正黑体_GBK" w:cs="Times New Roman" w:hAnsi="Times New Roman" w:hint="eastAsia"/>
          <w:sz w:val="32"/>
          <w:szCs w:val="32"/>
          <w:lang w:eastAsia="zh-CN"/>
        </w:rPr>
        <w:t>七、一般公共预算财政拨款</w:t>
      </w:r>
      <w:r>
        <w:rPr>
          <w:rFonts w:ascii="Times New Roman" w:eastAsia="方正黑体_GBK" w:cs="Times New Roman" w:hAnsi="Times New Roman"/>
          <w:sz w:val="32"/>
          <w:szCs w:val="32"/>
          <w:lang w:eastAsia="zh-CN"/>
        </w:rPr>
        <w:t>“</w:t>
      </w:r>
      <w:r>
        <w:rPr>
          <w:rFonts w:ascii="Times New Roman" w:eastAsia="方正黑体_GBK" w:cs="Times New Roman" w:hAnsi="Times New Roman" w:hint="eastAsia"/>
          <w:sz w:val="32"/>
          <w:szCs w:val="32"/>
          <w:lang w:eastAsia="zh-CN"/>
        </w:rPr>
        <w:t>三公</w:t>
      </w:r>
      <w:r>
        <w:rPr>
          <w:rFonts w:ascii="Times New Roman" w:eastAsia="方正黑体_GBK" w:cs="Times New Roman" w:hAnsi="Times New Roman"/>
          <w:sz w:val="32"/>
          <w:szCs w:val="32"/>
          <w:lang w:eastAsia="zh-CN"/>
        </w:rPr>
        <w:t>”</w:t>
      </w:r>
      <w:r>
        <w:rPr>
          <w:rFonts w:ascii="Times New Roman" w:eastAsia="方正黑体_GBK" w:cs="Times New Roman" w:hAnsi="Times New Roman" w:hint="eastAsia"/>
          <w:sz w:val="32"/>
          <w:szCs w:val="32"/>
          <w:lang w:eastAsia="zh-CN"/>
        </w:rPr>
        <w:t>经费支出决算情况说明</w:t>
      </w:r>
      <w:bookmarkEnd w:id="25"/>
    </w:p>
    <w:p>
      <w:pPr>
        <w:pStyle w:val="16"/>
        <w:spacing w:line="560" w:lineRule="exact"/>
        <w:ind w:left="0" w:firstLineChars="200" w:firstLine="680"/>
        <w:jc w:val="both"/>
        <w:rPr>
          <w:spacing w:val="10"/>
          <w:sz w:val="32"/>
          <w:szCs w:val="32"/>
          <w:lang w:eastAsia="zh-CN"/>
        </w:rPr>
      </w:pPr>
      <w:bookmarkStart w:id="26" w:name="_Toc26211"/>
      <w:r>
        <w:rPr>
          <w:rFonts w:hint="eastAsia"/>
          <w:spacing w:val="10"/>
          <w:sz w:val="32"/>
          <w:szCs w:val="32"/>
          <w:lang w:eastAsia="zh-CN"/>
        </w:rPr>
        <w:t>嵊泗海关综合技术服务中心无“三公”经费支出。</w:t>
      </w:r>
    </w:p>
    <w:p>
      <w:pPr>
        <w:pStyle w:val="16"/>
        <w:spacing w:line="560" w:lineRule="exact"/>
        <w:ind w:left="0" w:firstLineChars="200" w:firstLine="640"/>
        <w:jc w:val="both"/>
        <w:outlineLvl w:val="1"/>
        <w:rPr>
          <w:rFonts w:ascii="方正黑体_GBK" w:eastAsia="方正黑体_GBK" w:cs="方正黑体_GBK"/>
          <w:sz w:val="32"/>
          <w:szCs w:val="32"/>
          <w:lang w:eastAsia="zh-CN"/>
        </w:rPr>
      </w:pPr>
      <w:r>
        <w:rPr>
          <w:rFonts w:ascii="方正黑体_GBK" w:eastAsia="方正黑体_GBK" w:cs="方正黑体_GBK" w:hint="eastAsia"/>
          <w:sz w:val="32"/>
          <w:szCs w:val="32"/>
          <w:lang w:eastAsia="zh-CN"/>
        </w:rPr>
        <w:t>八、机关运行经费支出说明</w:t>
      </w:r>
      <w:bookmarkEnd w:id="26"/>
    </w:p>
    <w:p>
      <w:pPr>
        <w:pStyle w:val="16"/>
        <w:spacing w:line="560" w:lineRule="exact"/>
        <w:ind w:left="0" w:firstLineChars="200" w:firstLine="680"/>
        <w:jc w:val="both"/>
        <w:rPr>
          <w:sz w:val="32"/>
          <w:szCs w:val="32"/>
          <w:lang w:eastAsia="zh-CN"/>
        </w:rPr>
      </w:pPr>
      <w:bookmarkStart w:id="27" w:name="_Toc26589"/>
      <w:r>
        <w:rPr>
          <w:rFonts w:hint="eastAsia"/>
          <w:spacing w:val="10"/>
          <w:sz w:val="32"/>
          <w:szCs w:val="32"/>
          <w:lang w:eastAsia="zh-CN"/>
        </w:rPr>
        <w:t>嵊泗海关综合技术服务中心属事业单位，不涉及机关运行经费</w:t>
      </w:r>
      <w:r>
        <w:rPr>
          <w:rFonts w:hint="eastAsia"/>
          <w:sz w:val="32"/>
          <w:szCs w:val="32"/>
          <w:lang w:eastAsia="zh-CN"/>
        </w:rPr>
        <w:t>。</w:t>
      </w:r>
    </w:p>
    <w:p>
      <w:pPr>
        <w:pStyle w:val="16"/>
        <w:spacing w:line="560" w:lineRule="exact"/>
        <w:ind w:left="0" w:firstLineChars="200" w:firstLine="640"/>
        <w:jc w:val="both"/>
        <w:outlineLvl w:val="1"/>
        <w:rPr>
          <w:rFonts w:ascii="方正黑体_GBK" w:eastAsia="方正黑体_GBK" w:cs="方正黑体_GBK"/>
          <w:sz w:val="32"/>
          <w:szCs w:val="32"/>
          <w:lang w:eastAsia="zh-CN"/>
        </w:rPr>
      </w:pPr>
      <w:r>
        <w:rPr>
          <w:rFonts w:ascii="方正黑体_GBK" w:eastAsia="方正黑体_GBK" w:cs="方正黑体_GBK" w:hint="eastAsia"/>
          <w:sz w:val="32"/>
          <w:szCs w:val="32"/>
          <w:lang w:eastAsia="zh-CN"/>
        </w:rPr>
        <w:t>九、政府采购支出说明</w:t>
      </w:r>
      <w:bookmarkEnd w:id="27"/>
    </w:p>
    <w:p>
      <w:pPr>
        <w:pStyle w:val="16"/>
        <w:spacing w:line="560" w:lineRule="exact"/>
        <w:ind w:left="0" w:firstLineChars="200" w:firstLine="680"/>
        <w:jc w:val="both"/>
        <w:outlineLvl w:val="1"/>
        <w:rPr>
          <w:spacing w:val="10"/>
          <w:sz w:val="32"/>
          <w:szCs w:val="32"/>
          <w:lang w:eastAsia="zh-CN"/>
        </w:rPr>
      </w:pPr>
      <w:bookmarkStart w:id="28" w:name="_Toc30495"/>
      <w:r>
        <w:rPr>
          <w:rFonts w:ascii="Times New Roman" w:cs="Times New Roman" w:hAnsi="Times New Roman"/>
          <w:spacing w:val="10"/>
          <w:sz w:val="32"/>
          <w:szCs w:val="32"/>
          <w:lang w:eastAsia="zh-CN"/>
        </w:rPr>
        <w:t>2025</w:t>
      </w:r>
      <w:r>
        <w:rPr>
          <w:rFonts w:hint="eastAsia"/>
          <w:spacing w:val="10"/>
          <w:sz w:val="32"/>
          <w:szCs w:val="32"/>
          <w:lang w:eastAsia="zh-CN"/>
        </w:rPr>
        <w:t>年嵊泗海关综合技术服务中心无政府采购支出。</w:t>
      </w:r>
    </w:p>
    <w:p>
      <w:pPr>
        <w:pStyle w:val="16"/>
        <w:spacing w:line="560" w:lineRule="exact"/>
        <w:ind w:left="0" w:firstLineChars="200" w:firstLine="640"/>
        <w:jc w:val="both"/>
        <w:outlineLvl w:val="1"/>
        <w:rPr>
          <w:rFonts w:ascii="方正黑体_GBK" w:eastAsia="方正黑体_GBK" w:cs="方正黑体_GBK"/>
          <w:sz w:val="32"/>
          <w:szCs w:val="32"/>
          <w:lang w:eastAsia="zh-CN"/>
        </w:rPr>
      </w:pPr>
      <w:r>
        <w:rPr>
          <w:rFonts w:ascii="方正黑体_GBK" w:eastAsia="方正黑体_GBK" w:cs="方正黑体_GBK" w:hint="eastAsia"/>
          <w:sz w:val="32"/>
          <w:szCs w:val="32"/>
          <w:lang w:eastAsia="zh-CN"/>
        </w:rPr>
        <w:t>十、国有资产占用情况说明</w:t>
      </w:r>
      <w:bookmarkEnd w:id="28"/>
    </w:p>
    <w:p>
      <w:pPr>
        <w:pStyle w:val="104"/>
        <w:spacing w:line="560" w:lineRule="exact"/>
        <w:ind w:left="0" w:firstLineChars="200" w:firstLine="648"/>
        <w:jc w:val="both"/>
        <w:rPr>
          <w:rFonts w:ascii="Times New Roman" w:cs="Times New Roman" w:hAnsi="Times New Roman"/>
          <w:sz w:val="32"/>
          <w:szCs w:val="32"/>
          <w:lang w:eastAsia="zh-CN"/>
        </w:rPr>
      </w:pPr>
      <w:r>
        <w:rPr>
          <w:rFonts w:ascii="Times New Roman" w:cs="Times New Roman" w:hAnsi="Times New Roman" w:hint="eastAsia"/>
          <w:spacing w:val="2"/>
          <w:sz w:val="32"/>
          <w:szCs w:val="32"/>
          <w:lang w:eastAsia="zh-CN"/>
        </w:rPr>
        <w:t>截至</w:t>
      </w:r>
      <w:r>
        <w:rPr>
          <w:rFonts w:ascii="Times New Roman" w:eastAsia="Times New Roman" w:cs="Times New Roman" w:hAnsi="Times New Roman"/>
          <w:spacing w:val="9"/>
          <w:sz w:val="32"/>
          <w:szCs w:val="32"/>
          <w:lang w:eastAsia="zh-CN"/>
        </w:rPr>
        <w:t>202</w:t>
      </w:r>
      <w:r>
        <w:rPr>
          <w:rFonts w:ascii="Times New Roman" w:eastAsia="宋体" w:cs="Times New Roman" w:hAnsi="Times New Roman"/>
          <w:spacing w:val="9"/>
          <w:sz w:val="32"/>
          <w:szCs w:val="32"/>
          <w:lang w:eastAsia="zh-CN"/>
        </w:rPr>
        <w:t>5</w:t>
      </w:r>
      <w:r>
        <w:rPr>
          <w:rFonts w:ascii="Times New Roman" w:cs="Times New Roman" w:hAnsi="Times New Roman" w:hint="eastAsia"/>
          <w:spacing w:val="2"/>
          <w:sz w:val="32"/>
          <w:szCs w:val="32"/>
          <w:lang w:eastAsia="zh-CN"/>
        </w:rPr>
        <w:t>年</w:t>
      </w:r>
      <w:r>
        <w:rPr>
          <w:rFonts w:ascii="Times New Roman" w:eastAsia="Times New Roman" w:cs="Times New Roman" w:hAnsi="Times New Roman"/>
          <w:spacing w:val="9"/>
          <w:sz w:val="32"/>
          <w:szCs w:val="32"/>
          <w:lang w:eastAsia="zh-CN"/>
        </w:rPr>
        <w:t>12</w:t>
      </w:r>
      <w:r>
        <w:rPr>
          <w:rFonts w:ascii="Times New Roman" w:cs="Times New Roman" w:hAnsi="Times New Roman" w:hint="eastAsia"/>
          <w:spacing w:val="2"/>
          <w:sz w:val="32"/>
          <w:szCs w:val="32"/>
          <w:lang w:eastAsia="zh-CN"/>
        </w:rPr>
        <w:t>月</w:t>
      </w:r>
      <w:r>
        <w:rPr>
          <w:rFonts w:ascii="Times New Roman" w:eastAsia="Times New Roman" w:cs="Times New Roman" w:hAnsi="Times New Roman"/>
          <w:spacing w:val="9"/>
          <w:sz w:val="32"/>
          <w:szCs w:val="32"/>
          <w:lang w:eastAsia="zh-CN"/>
        </w:rPr>
        <w:t>31</w:t>
      </w:r>
      <w:r>
        <w:rPr>
          <w:rFonts w:ascii="Times New Roman" w:cs="Times New Roman" w:hAnsi="Times New Roman" w:hint="eastAsia"/>
          <w:spacing w:val="2"/>
          <w:sz w:val="32"/>
          <w:szCs w:val="32"/>
          <w:lang w:eastAsia="zh-CN"/>
        </w:rPr>
        <w:t>日，嵊泗海关综合技术服务中心无车辆，</w:t>
      </w:r>
      <w:r>
        <w:rPr>
          <w:rFonts w:ascii="Times New Roman" w:cs="Times New Roman" w:hAnsi="Times New Roman" w:hint="eastAsia"/>
          <w:spacing w:val="6"/>
          <w:sz w:val="32"/>
          <w:szCs w:val="32"/>
          <w:lang w:eastAsia="zh-CN"/>
        </w:rPr>
        <w:t>单价</w:t>
      </w:r>
      <w:r>
        <w:rPr>
          <w:rFonts w:ascii="Times New Roman" w:eastAsia="Times New Roman" w:cs="Times New Roman" w:hAnsi="Times New Roman"/>
          <w:spacing w:val="9"/>
          <w:sz w:val="32"/>
          <w:szCs w:val="32"/>
          <w:lang w:eastAsia="zh-CN"/>
        </w:rPr>
        <w:t>100</w:t>
      </w:r>
      <w:r>
        <w:rPr>
          <w:rFonts w:ascii="Times New Roman" w:cs="Times New Roman" w:hAnsi="Times New Roman" w:hint="eastAsia"/>
          <w:spacing w:val="6"/>
          <w:sz w:val="32"/>
          <w:szCs w:val="32"/>
          <w:lang w:eastAsia="zh-CN"/>
        </w:rPr>
        <w:t>万元（含）</w:t>
      </w:r>
      <w:r>
        <w:rPr>
          <w:rFonts w:ascii="Times New Roman" w:cs="Times New Roman" w:hAnsi="Times New Roman" w:hint="eastAsia"/>
          <w:sz w:val="32"/>
          <w:szCs w:val="32"/>
          <w:lang w:eastAsia="zh-CN"/>
        </w:rPr>
        <w:t>以上的设备</w:t>
      </w:r>
      <w:r>
        <w:rPr>
          <w:rFonts w:ascii="Times New Roman" w:cs="Times New Roman" w:hAnsi="Times New Roman"/>
          <w:sz w:val="32"/>
          <w:szCs w:val="32"/>
          <w:lang w:eastAsia="zh-CN"/>
        </w:rPr>
        <w:t>1台</w:t>
      </w:r>
      <w:r>
        <w:rPr>
          <w:rFonts w:ascii="Times New Roman" w:cs="Times New Roman" w:hAnsi="Times New Roman" w:hint="eastAsia"/>
          <w:sz w:val="32"/>
          <w:szCs w:val="32"/>
          <w:lang w:eastAsia="zh-CN"/>
        </w:rPr>
        <w:t>。</w:t>
      </w:r>
    </w:p>
    <w:p>
      <w:pPr>
        <w:pStyle w:val="180"/>
        <w:tabs>
          <w:tab w:val="right" w:leader="dot" w:pos="8613"/>
        </w:tabs>
        <w:ind w:leftChars="54" w:left="119" w:firstLineChars="200" w:firstLine="640"/>
        <w:rPr>
          <w:rFonts w:ascii="方正仿宋_GBK" w:eastAsia="方正仿宋_GBK"/>
        </w:rPr>
      </w:pPr>
      <w:bookmarkStart w:id="29" w:name="_Toc30074"/>
      <w:r>
        <w:rPr>
          <w:rFonts w:ascii="方正黑体_GBK" w:eastAsia="方正黑体_GBK" w:cs="方正黑体_GBK" w:hint="eastAsia"/>
        </w:rPr>
        <w:t>十一、</w:t>
      </w:r>
      <w:bookmarkEnd w:id="29"/>
      <w:r>
        <w:rPr>
          <w:rFonts w:ascii="方正黑体_GBK" w:eastAsia="方正黑体_GBK" w:cs="方正黑体_GBK" w:hint="eastAsia"/>
        </w:rPr>
        <w:t>关于</w:t>
      </w:r>
      <w:r>
        <w:rPr>
          <w:rFonts w:ascii="方正黑体_GBK" w:eastAsia="方正黑体_GBK" w:cs="方正黑体_GBK"/>
        </w:rPr>
        <w:t>2025</w:t>
      </w:r>
      <w:r>
        <w:rPr>
          <w:rFonts w:ascii="方正黑体_GBK" w:eastAsia="方正黑体_GBK" w:cs="方正黑体_GBK" w:hint="eastAsia"/>
        </w:rPr>
        <w:t>年度绩效评价情况的说明</w:t>
      </w:r>
    </w:p>
    <w:p>
      <w:pPr>
        <w:pStyle w:val="206"/>
        <w:snapToGrid w:val="0"/>
        <w:spacing w:line="560" w:lineRule="exact"/>
        <w:ind w:firstLineChars="200" w:firstLine="648"/>
        <w:rPr>
          <w:rFonts w:ascii="方正仿宋_GBK" w:eastAsia="方正仿宋_GBK" w:hint="eastAsia"/>
          <w:sz w:val="32"/>
          <w:szCs w:val="32"/>
        </w:rPr>
      </w:pPr>
      <w:r>
        <w:rPr>
          <w:rFonts w:eastAsia="方正仿宋_GBK" w:hint="eastAsia"/>
          <w:spacing w:val="2"/>
          <w:kern w:val="0"/>
          <w:sz w:val="32"/>
          <w:szCs w:val="32"/>
        </w:rPr>
        <w:t>2025年已全面完成项目绩效目标。</w:t>
      </w: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jc w:val="center"/>
        <w:outlineLvl w:val="0"/>
        <w:rPr>
          <w:lang w:eastAsia="zh-CN"/>
        </w:rPr>
      </w:pPr>
      <w:bookmarkStart w:id="30" w:name="_Toc120"/>
      <w:r>
        <w:rPr>
          <w:rFonts w:hint="eastAsia"/>
          <w:lang w:eastAsia="zh-CN"/>
        </w:rPr>
        <w:t>第四部分</w:t>
      </w:r>
      <w:r>
        <w:rPr>
          <w:lang w:eastAsia="zh-CN"/>
        </w:rPr>
        <w:t xml:space="preserve">  </w:t>
      </w:r>
      <w:r>
        <w:rPr>
          <w:rFonts w:hint="eastAsia"/>
          <w:lang w:eastAsia="zh-CN"/>
        </w:rPr>
        <w:t>名词解释</w:t>
      </w:r>
      <w:bookmarkEnd w:id="30"/>
    </w:p>
    <w:p>
      <w:pPr>
        <w:spacing w:line="560" w:lineRule="exact"/>
        <w:ind w:firstLineChars="200" w:firstLine="440"/>
        <w:jc w:val="both"/>
        <w:rPr>
          <w:lang w:eastAsia="zh-CN"/>
        </w:rPr>
        <w:sectPr>
          <w:headerReference w:type="default" r:id="rId21"/>
          <w:footerReference w:type="default" r:id="rId22"/>
          <w:pgSz w:w="11920" w:h="16850"/>
          <w:pgMar w:top="1440" w:right="1758" w:bottom="1440" w:left="1758" w:header="0" w:footer="765" w:gutter="0"/>
          <w:docGrid w:linePitch="312" w:charSpace="0"/>
        </w:sectPr>
      </w:pPr>
    </w:p>
    <w:p>
      <w:pPr>
        <w:spacing w:before="209" w:line="259" w:lineRule="auto"/>
        <w:ind w:left="24" w:right="310" w:firstLine="663"/>
        <w:rPr>
          <w:rFonts w:ascii="方正仿宋_GBK" w:eastAsia="方正仿宋_GBK" w:cs="方正仿宋_GBK"/>
          <w:sz w:val="32"/>
          <w:szCs w:val="32"/>
          <w:lang w:eastAsia="zh-CN"/>
        </w:rPr>
      </w:pPr>
      <w:r>
        <w:rPr>
          <w:lang w:eastAsia="zh-CN"/>
        </w:rPr>
        <w:drawing>
          <wp:anchor distT="0" distB="0" distL="0" distR="0" simplePos="0" relativeHeight="41"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55" name="IM 204"/>
            <wp:cNvGraphicFramePr>
              <a:graphicFrameLocks noChangeAspect="1"/>
            </wp:cNvGraphicFramePr>
            <a:graphic>
              <a:graphicData uri="http://schemas.openxmlformats.org/drawingml/2006/picture">
                <pic:pic>
                  <pic:nvPicPr>
                    <pic:cNvPr id="57" name="IM 204 57"/>
                    <pic:cNvPicPr/>
                  </pic:nvPicPr>
                  <pic:blipFill>
                    <a:blip r:embed="rId23"/>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hint="eastAsia"/>
          <w:b/>
          <w:bCs/>
          <w:spacing w:val="-3"/>
          <w:sz w:val="32"/>
          <w:szCs w:val="32"/>
          <w:lang w:eastAsia="zh-CN"/>
        </w:rPr>
        <w:t>一、一般公共预算财政拨款收入：</w:t>
      </w:r>
      <w:r>
        <w:rPr>
          <w:rFonts w:ascii="方正仿宋_GBK" w:eastAsia="方正仿宋_GBK" w:cs="方正仿宋_GBK" w:hint="eastAsia"/>
          <w:spacing w:val="-3"/>
          <w:sz w:val="32"/>
          <w:szCs w:val="32"/>
          <w:lang w:eastAsia="zh-CN"/>
        </w:rPr>
        <w:t>指中央财政当</w:t>
      </w:r>
      <w:r>
        <w:rPr>
          <w:rFonts w:ascii="方正仿宋_GBK" w:eastAsia="方正仿宋_GBK" w:cs="方正仿宋_GBK" w:hint="eastAsia"/>
          <w:spacing w:val="-4"/>
          <w:sz w:val="32"/>
          <w:szCs w:val="32"/>
          <w:lang w:eastAsia="zh-CN"/>
        </w:rPr>
        <w:t>年拨</w:t>
      </w:r>
      <w:r>
        <w:rPr>
          <w:rFonts w:ascii="方正仿宋_GBK" w:eastAsia="方正仿宋_GBK" w:cs="方正仿宋_GBK"/>
          <w:sz w:val="32"/>
          <w:szCs w:val="32"/>
          <w:lang w:eastAsia="zh-CN"/>
        </w:rPr>
        <w:t xml:space="preserve"> </w:t>
      </w:r>
      <w:r>
        <w:rPr>
          <w:rFonts w:ascii="方正仿宋_GBK" w:eastAsia="方正仿宋_GBK" w:cs="方正仿宋_GBK" w:hint="eastAsia"/>
          <w:spacing w:val="-3"/>
          <w:sz w:val="32"/>
          <w:szCs w:val="32"/>
          <w:lang w:eastAsia="zh-CN"/>
        </w:rPr>
        <w:t>付的资金。</w:t>
      </w:r>
    </w:p>
    <w:p>
      <w:pPr>
        <w:spacing w:before="109" w:line="259" w:lineRule="auto"/>
        <w:ind w:left="42" w:right="319" w:firstLine="640"/>
        <w:rPr>
          <w:rFonts w:ascii="方正仿宋_GBK" w:eastAsia="方正仿宋_GBK" w:cs="方正仿宋_GBK"/>
          <w:sz w:val="32"/>
          <w:szCs w:val="32"/>
          <w:lang w:eastAsia="zh-CN"/>
        </w:rPr>
      </w:pPr>
      <w:r>
        <w:rPr>
          <w:rFonts w:ascii="方正仿宋_GBK" w:eastAsia="方正仿宋_GBK" w:cs="方正仿宋_GBK" w:hint="eastAsia"/>
          <w:b/>
          <w:bCs/>
          <w:spacing w:val="-2"/>
          <w:sz w:val="32"/>
          <w:szCs w:val="32"/>
          <w:lang w:eastAsia="zh-CN"/>
        </w:rPr>
        <w:t>二、事业收入：</w:t>
      </w:r>
      <w:r>
        <w:rPr>
          <w:rFonts w:ascii="方正仿宋_GBK" w:eastAsia="方正仿宋_GBK" w:cs="方正仿宋_GBK" w:hint="eastAsia"/>
          <w:spacing w:val="-2"/>
          <w:sz w:val="32"/>
          <w:szCs w:val="32"/>
          <w:lang w:eastAsia="zh-CN"/>
        </w:rPr>
        <w:t>指事业单位开展专业业务活动</w:t>
      </w:r>
      <w:r>
        <w:rPr>
          <w:rFonts w:ascii="方正仿宋_GBK" w:eastAsia="方正仿宋_GBK" w:cs="方正仿宋_GBK" w:hint="eastAsia"/>
          <w:spacing w:val="-3"/>
          <w:sz w:val="32"/>
          <w:szCs w:val="32"/>
          <w:lang w:eastAsia="zh-CN"/>
        </w:rPr>
        <w:t>及辅助</w:t>
      </w:r>
      <w:r>
        <w:rPr>
          <w:rFonts w:ascii="方正仿宋_GBK" w:eastAsia="方正仿宋_GBK" w:cs="方正仿宋_GBK"/>
          <w:sz w:val="32"/>
          <w:szCs w:val="32"/>
          <w:lang w:eastAsia="zh-CN"/>
        </w:rPr>
        <w:t xml:space="preserve"> </w:t>
      </w:r>
      <w:r>
        <w:rPr>
          <w:rFonts w:ascii="方正仿宋_GBK" w:eastAsia="方正仿宋_GBK" w:cs="方正仿宋_GBK" w:hint="eastAsia"/>
          <w:spacing w:val="-4"/>
          <w:sz w:val="32"/>
          <w:szCs w:val="32"/>
          <w:lang w:eastAsia="zh-CN"/>
        </w:rPr>
        <w:t>活动所取得的收入。</w:t>
      </w:r>
    </w:p>
    <w:p>
      <w:pPr>
        <w:spacing w:before="104" w:line="259" w:lineRule="auto"/>
        <w:ind w:left="42" w:right="319" w:firstLine="645"/>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三、经营收入：</w:t>
      </w:r>
      <w:r>
        <w:rPr>
          <w:rFonts w:ascii="方正仿宋_GBK" w:eastAsia="方正仿宋_GBK" w:cs="方正仿宋_GBK" w:hint="eastAsia"/>
          <w:spacing w:val="-3"/>
          <w:sz w:val="32"/>
          <w:szCs w:val="32"/>
          <w:lang w:eastAsia="zh-CN"/>
        </w:rPr>
        <w:t>指事业单位在专业业务活动及其辅助</w:t>
      </w:r>
      <w:r>
        <w:rPr>
          <w:rFonts w:ascii="方正仿宋_GBK" w:eastAsia="方正仿宋_GBK" w:cs="方正仿宋_GBK"/>
          <w:spacing w:val="16"/>
          <w:sz w:val="32"/>
          <w:szCs w:val="32"/>
          <w:lang w:eastAsia="zh-CN"/>
        </w:rPr>
        <w:t xml:space="preserve"> </w:t>
      </w:r>
      <w:r>
        <w:rPr>
          <w:rFonts w:ascii="方正仿宋_GBK" w:eastAsia="方正仿宋_GBK" w:cs="方正仿宋_GBK" w:hint="eastAsia"/>
          <w:spacing w:val="-2"/>
          <w:sz w:val="32"/>
          <w:szCs w:val="32"/>
          <w:lang w:eastAsia="zh-CN"/>
        </w:rPr>
        <w:t>活动之外开展非独立核算经营活动取得的收入。</w:t>
      </w:r>
    </w:p>
    <w:p>
      <w:pPr>
        <w:spacing w:before="103" w:line="269" w:lineRule="auto"/>
        <w:ind w:left="28" w:right="329" w:firstLine="683"/>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四、其他收入：</w:t>
      </w:r>
      <w:r>
        <w:rPr>
          <w:rFonts w:ascii="方正仿宋_GBK" w:eastAsia="方正仿宋_GBK" w:cs="方正仿宋_GBK" w:hint="eastAsia"/>
          <w:spacing w:val="-4"/>
          <w:sz w:val="32"/>
          <w:szCs w:val="32"/>
          <w:lang w:eastAsia="zh-CN"/>
        </w:rPr>
        <w:t>指除上述一般公共预算财政拨款收</w:t>
      </w:r>
      <w:r>
        <w:rPr>
          <w:rFonts w:ascii="方正仿宋_GBK" w:eastAsia="方正仿宋_GBK" w:cs="方正仿宋_GBK"/>
          <w:spacing w:val="4"/>
          <w:sz w:val="32"/>
          <w:szCs w:val="32"/>
          <w:lang w:eastAsia="zh-CN"/>
        </w:rPr>
        <w:t xml:space="preserve">   </w:t>
      </w:r>
      <w:r>
        <w:rPr>
          <w:rFonts w:ascii="方正仿宋_GBK" w:eastAsia="方正仿宋_GBK" w:cs="方正仿宋_GBK" w:hint="eastAsia"/>
          <w:spacing w:val="-1"/>
          <w:sz w:val="32"/>
          <w:szCs w:val="32"/>
          <w:lang w:eastAsia="zh-CN"/>
        </w:rPr>
        <w:t>入、事业收入、事业单位经营收入等以外的收入。主要是</w:t>
      </w:r>
      <w:r>
        <w:rPr>
          <w:rFonts w:ascii="方正仿宋_GBK" w:eastAsia="方正仿宋_GBK" w:cs="方正仿宋_GBK"/>
          <w:spacing w:val="5"/>
          <w:sz w:val="32"/>
          <w:szCs w:val="32"/>
          <w:lang w:eastAsia="zh-CN"/>
        </w:rPr>
        <w:t xml:space="preserve"> </w:t>
      </w:r>
      <w:r>
        <w:rPr>
          <w:rFonts w:ascii="方正仿宋_GBK" w:eastAsia="方正仿宋_GBK" w:cs="方正仿宋_GBK" w:hint="eastAsia"/>
          <w:spacing w:val="-1"/>
          <w:sz w:val="32"/>
          <w:szCs w:val="32"/>
          <w:lang w:eastAsia="zh-CN"/>
        </w:rPr>
        <w:t>非同级财政拨款收入、存款利息收入等。</w:t>
      </w:r>
    </w:p>
    <w:p>
      <w:pPr>
        <w:spacing w:before="114" w:line="259" w:lineRule="auto"/>
        <w:ind w:left="35" w:right="310" w:firstLine="643"/>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五、使用非财政拨款结余：</w:t>
      </w:r>
      <w:r>
        <w:rPr>
          <w:rFonts w:ascii="方正仿宋_GBK" w:eastAsia="方正仿宋_GBK" w:cs="方正仿宋_GBK" w:hint="eastAsia"/>
          <w:spacing w:val="-3"/>
          <w:sz w:val="32"/>
          <w:szCs w:val="32"/>
          <w:lang w:eastAsia="zh-CN"/>
        </w:rPr>
        <w:t>指事业单位使用以前年度</w:t>
      </w:r>
      <w:r>
        <w:rPr>
          <w:rFonts w:ascii="方正仿宋_GBK" w:eastAsia="方正仿宋_GBK" w:cs="方正仿宋_GBK"/>
          <w:spacing w:val="17"/>
          <w:sz w:val="32"/>
          <w:szCs w:val="32"/>
          <w:lang w:eastAsia="zh-CN"/>
        </w:rPr>
        <w:t xml:space="preserve"> </w:t>
      </w:r>
      <w:r>
        <w:rPr>
          <w:rFonts w:ascii="方正仿宋_GBK" w:eastAsia="方正仿宋_GBK" w:cs="方正仿宋_GBK" w:hint="eastAsia"/>
          <w:spacing w:val="-1"/>
          <w:sz w:val="32"/>
          <w:szCs w:val="32"/>
          <w:lang w:eastAsia="zh-CN"/>
        </w:rPr>
        <w:t>积累的非财政拨款结余弥补当年收支差额的金</w:t>
      </w:r>
      <w:r>
        <w:rPr>
          <w:rFonts w:ascii="方正仿宋_GBK" w:eastAsia="方正仿宋_GBK" w:cs="方正仿宋_GBK" w:hint="eastAsia"/>
          <w:spacing w:val="-2"/>
          <w:sz w:val="32"/>
          <w:szCs w:val="32"/>
          <w:lang w:eastAsia="zh-CN"/>
        </w:rPr>
        <w:t>额。</w:t>
      </w:r>
    </w:p>
    <w:p>
      <w:pPr>
        <w:spacing w:before="118" w:line="281" w:lineRule="auto"/>
        <w:ind w:left="38" w:right="314" w:firstLine="648"/>
        <w:jc w:val="both"/>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六、年初结转和结余：</w:t>
      </w:r>
      <w:r>
        <w:rPr>
          <w:rFonts w:ascii="方正仿宋_GBK" w:eastAsia="方正仿宋_GBK" w:cs="方正仿宋_GBK" w:hint="eastAsia"/>
          <w:spacing w:val="-3"/>
          <w:sz w:val="32"/>
          <w:szCs w:val="32"/>
          <w:lang w:eastAsia="zh-CN"/>
        </w:rPr>
        <w:t>指单位以前年度尚未完成、结</w:t>
      </w:r>
      <w:r>
        <w:rPr>
          <w:rFonts w:ascii="方正仿宋_GBK" w:eastAsia="方正仿宋_GBK" w:cs="方正仿宋_GBK"/>
          <w:spacing w:val="12"/>
          <w:sz w:val="32"/>
          <w:szCs w:val="32"/>
          <w:lang w:eastAsia="zh-CN"/>
        </w:rPr>
        <w:t xml:space="preserve"> </w:t>
      </w:r>
      <w:r>
        <w:rPr>
          <w:rFonts w:ascii="方正仿宋_GBK" w:eastAsia="方正仿宋_GBK" w:cs="方正仿宋_GBK" w:hint="eastAsia"/>
          <w:spacing w:val="-4"/>
          <w:sz w:val="32"/>
          <w:szCs w:val="32"/>
          <w:lang w:eastAsia="zh-CN"/>
        </w:rPr>
        <w:t>转到本年仍按原规定用途继续使用的资金，或项目</w:t>
      </w:r>
      <w:r>
        <w:rPr>
          <w:rFonts w:ascii="方正仿宋_GBK" w:eastAsia="方正仿宋_GBK" w:cs="方正仿宋_GBK"/>
          <w:spacing w:val="-73"/>
          <w:sz w:val="32"/>
          <w:szCs w:val="32"/>
          <w:lang w:eastAsia="zh-CN"/>
        </w:rPr>
        <w:t xml:space="preserve"> </w:t>
      </w:r>
      <w:r>
        <w:rPr>
          <w:rFonts w:ascii="方正仿宋_GBK" w:eastAsia="方正仿宋_GBK" w:cs="方正仿宋_GBK" w:hint="eastAsia"/>
          <w:spacing w:val="-4"/>
          <w:sz w:val="32"/>
          <w:szCs w:val="32"/>
          <w:lang w:eastAsia="zh-CN"/>
        </w:rPr>
        <w:t>已完成</w:t>
      </w:r>
      <w:r>
        <w:rPr>
          <w:rFonts w:ascii="方正仿宋_GBK" w:eastAsia="方正仿宋_GBK" w:cs="方正仿宋_GBK"/>
          <w:sz w:val="32"/>
          <w:szCs w:val="32"/>
          <w:lang w:eastAsia="zh-CN"/>
        </w:rPr>
        <w:t xml:space="preserve"> </w:t>
      </w:r>
      <w:r>
        <w:rPr>
          <w:rFonts w:ascii="方正仿宋_GBK" w:eastAsia="方正仿宋_GBK" w:cs="方正仿宋_GBK" w:hint="eastAsia"/>
          <w:spacing w:val="-4"/>
          <w:sz w:val="32"/>
          <w:szCs w:val="32"/>
          <w:lang w:eastAsia="zh-CN"/>
        </w:rPr>
        <w:t>等产生的结余资金。</w:t>
      </w:r>
    </w:p>
    <w:p>
      <w:pPr>
        <w:spacing w:before="37" w:line="283" w:lineRule="auto"/>
        <w:ind w:left="29" w:right="305" w:firstLine="650"/>
        <w:jc w:val="both"/>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七、一般公共服务（类）海关事务（款</w:t>
      </w:r>
      <w:r>
        <w:rPr>
          <w:rFonts w:ascii="方正仿宋_GBK" w:eastAsia="方正仿宋_GBK" w:cs="方正仿宋_GBK" w:hint="eastAsia"/>
          <w:b/>
          <w:bCs/>
          <w:spacing w:val="7"/>
          <w:sz w:val="32"/>
          <w:szCs w:val="32"/>
          <w:lang w:eastAsia="zh-CN"/>
        </w:rPr>
        <w:t>）：</w:t>
      </w:r>
      <w:r>
        <w:rPr>
          <w:rFonts w:ascii="方正仿宋_GBK" w:eastAsia="方正仿宋_GBK" w:cs="方正仿宋_GBK" w:hint="eastAsia"/>
          <w:spacing w:val="-4"/>
          <w:sz w:val="32"/>
          <w:szCs w:val="32"/>
          <w:lang w:eastAsia="zh-CN"/>
        </w:rPr>
        <w:t>反映</w:t>
      </w:r>
      <w:r>
        <w:rPr>
          <w:rFonts w:ascii="方正仿宋_GBK" w:eastAsia="方正仿宋_GBK" w:cs="方正仿宋_GBK" w:hint="eastAsia"/>
          <w:spacing w:val="-5"/>
          <w:sz w:val="32"/>
          <w:szCs w:val="32"/>
          <w:lang w:eastAsia="zh-CN"/>
        </w:rPr>
        <w:t>海关</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用于系统行政和事业单位的基本支出及完成专项业务工作</w:t>
      </w:r>
      <w:r>
        <w:rPr>
          <w:rFonts w:ascii="方正仿宋_GBK" w:eastAsia="方正仿宋_GBK" w:cs="方正仿宋_GBK"/>
          <w:spacing w:val="4"/>
          <w:sz w:val="32"/>
          <w:szCs w:val="32"/>
          <w:lang w:eastAsia="zh-CN"/>
        </w:rPr>
        <w:t xml:space="preserve"> </w:t>
      </w:r>
      <w:r>
        <w:rPr>
          <w:rFonts w:ascii="方正仿宋_GBK" w:eastAsia="方正仿宋_GBK" w:cs="方正仿宋_GBK" w:hint="eastAsia"/>
          <w:spacing w:val="-4"/>
          <w:sz w:val="32"/>
          <w:szCs w:val="32"/>
          <w:lang w:eastAsia="zh-CN"/>
        </w:rPr>
        <w:t>的项目支出。</w:t>
      </w:r>
    </w:p>
    <w:p>
      <w:pPr>
        <w:spacing w:before="24" w:line="278" w:lineRule="auto"/>
        <w:ind w:left="25" w:right="319" w:firstLine="644"/>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行政运行（项</w:t>
      </w:r>
      <w:r>
        <w:rPr>
          <w:rFonts w:ascii="方正仿宋_GBK" w:eastAsia="方正仿宋_GBK" w:cs="方正仿宋_GBK" w:hint="eastAsia"/>
          <w:b/>
          <w:bCs/>
          <w:spacing w:val="12"/>
          <w:sz w:val="32"/>
          <w:szCs w:val="32"/>
          <w:lang w:eastAsia="zh-CN"/>
        </w:rPr>
        <w:t>）：</w:t>
      </w:r>
      <w:r>
        <w:rPr>
          <w:rFonts w:ascii="方正仿宋_GBK" w:eastAsia="方正仿宋_GBK" w:cs="方正仿宋_GBK" w:hint="eastAsia"/>
          <w:spacing w:val="-3"/>
          <w:sz w:val="32"/>
          <w:szCs w:val="32"/>
          <w:lang w:eastAsia="zh-CN"/>
        </w:rPr>
        <w:t>反映行政单位（包括参照公务员管</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理的事业单位）的基本支出。</w:t>
      </w:r>
    </w:p>
    <w:p>
      <w:pPr>
        <w:spacing w:before="30" w:line="283" w:lineRule="auto"/>
        <w:ind w:left="27" w:right="310" w:firstLine="660"/>
        <w:jc w:val="both"/>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一般行政管理事务（项</w:t>
      </w:r>
      <w:r>
        <w:rPr>
          <w:rFonts w:ascii="方正仿宋_GBK" w:eastAsia="方正仿宋_GBK" w:cs="方正仿宋_GBK" w:hint="eastAsia"/>
          <w:b/>
          <w:bCs/>
          <w:spacing w:val="11"/>
          <w:sz w:val="32"/>
          <w:szCs w:val="32"/>
          <w:lang w:eastAsia="zh-CN"/>
        </w:rPr>
        <w:t>）：</w:t>
      </w:r>
      <w:r>
        <w:rPr>
          <w:rFonts w:ascii="方正仿宋_GBK" w:eastAsia="方正仿宋_GBK" w:cs="方正仿宋_GBK" w:hint="eastAsia"/>
          <w:spacing w:val="-4"/>
          <w:sz w:val="32"/>
          <w:szCs w:val="32"/>
          <w:lang w:eastAsia="zh-CN"/>
        </w:rPr>
        <w:t>反映行政单位（包括参照</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4"/>
          <w:sz w:val="32"/>
          <w:szCs w:val="32"/>
          <w:lang w:eastAsia="zh-CN"/>
        </w:rPr>
        <w:t>公务员管理的事业单位）未单独设置项级科</w:t>
      </w:r>
      <w:r>
        <w:rPr>
          <w:rFonts w:ascii="方正仿宋_GBK" w:eastAsia="方正仿宋_GBK" w:cs="方正仿宋_GBK"/>
          <w:spacing w:val="-58"/>
          <w:sz w:val="32"/>
          <w:szCs w:val="32"/>
          <w:lang w:eastAsia="zh-CN"/>
        </w:rPr>
        <w:t xml:space="preserve"> </w:t>
      </w:r>
      <w:r>
        <w:rPr>
          <w:rFonts w:ascii="方正仿宋_GBK" w:eastAsia="方正仿宋_GBK" w:cs="方正仿宋_GBK" w:hint="eastAsia"/>
          <w:spacing w:val="-4"/>
          <w:sz w:val="32"/>
          <w:szCs w:val="32"/>
          <w:lang w:eastAsia="zh-CN"/>
        </w:rPr>
        <w:t>目的其</w:t>
      </w:r>
      <w:r>
        <w:rPr>
          <w:rFonts w:ascii="方正仿宋_GBK" w:eastAsia="方正仿宋_GBK" w:cs="方正仿宋_GBK" w:hint="eastAsia"/>
          <w:spacing w:val="-5"/>
          <w:sz w:val="32"/>
          <w:szCs w:val="32"/>
          <w:lang w:eastAsia="zh-CN"/>
        </w:rPr>
        <w:t>他项目</w:t>
      </w:r>
      <w:r>
        <w:rPr>
          <w:rFonts w:ascii="方正仿宋_GBK" w:eastAsia="方正仿宋_GBK" w:cs="方正仿宋_GBK"/>
          <w:sz w:val="32"/>
          <w:szCs w:val="32"/>
          <w:lang w:eastAsia="zh-CN"/>
        </w:rPr>
        <w:t xml:space="preserve"> </w:t>
      </w:r>
      <w:r>
        <w:rPr>
          <w:rFonts w:ascii="方正仿宋_GBK" w:eastAsia="方正仿宋_GBK" w:cs="方正仿宋_GBK" w:hint="eastAsia"/>
          <w:spacing w:val="-6"/>
          <w:sz w:val="32"/>
          <w:szCs w:val="32"/>
          <w:lang w:eastAsia="zh-CN"/>
        </w:rPr>
        <w:t>支出。</w:t>
      </w:r>
    </w:p>
    <w:p>
      <w:pPr>
        <w:spacing w:before="21" w:line="281" w:lineRule="auto"/>
        <w:ind w:left="48" w:right="319" w:firstLine="619"/>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机关服务（项</w:t>
      </w:r>
      <w:r>
        <w:rPr>
          <w:rFonts w:ascii="方正仿宋_GBK" w:eastAsia="方正仿宋_GBK" w:cs="方正仿宋_GBK" w:hint="eastAsia"/>
          <w:b/>
          <w:bCs/>
          <w:spacing w:val="13"/>
          <w:sz w:val="32"/>
          <w:szCs w:val="32"/>
          <w:lang w:eastAsia="zh-CN"/>
        </w:rPr>
        <w:t>）：</w:t>
      </w:r>
      <w:r>
        <w:rPr>
          <w:rFonts w:ascii="方正仿宋_GBK" w:eastAsia="方正仿宋_GBK" w:cs="方正仿宋_GBK" w:hint="eastAsia"/>
          <w:spacing w:val="-3"/>
          <w:sz w:val="32"/>
          <w:szCs w:val="32"/>
          <w:lang w:eastAsia="zh-CN"/>
        </w:rPr>
        <w:t>反映海关系统为行政单位（包括参</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照公务员管理的事业单位）提供后勤服务的各类后勤服务</w:t>
      </w:r>
    </w:p>
    <w:p>
      <w:pPr>
        <w:spacing w:line="281" w:lineRule="auto"/>
        <w:rPr>
          <w:rFonts w:ascii="方正仿宋_GBK" w:eastAsia="方正仿宋_GBK" w:cs="方正仿宋_GBK"/>
          <w:sz w:val="32"/>
          <w:szCs w:val="32"/>
          <w:lang w:eastAsia="zh-CN"/>
        </w:rPr>
        <w:sectPr>
          <w:pgSz w:w="11913" w:h="16443"/>
          <w:pgMar w:top="1397" w:right="1786" w:bottom="0" w:left="1786" w:header="0" w:footer="0" w:gutter="0"/>
          <w:docGrid w:linePitch="312" w:charSpace="0"/>
        </w:sectPr>
      </w:pPr>
    </w:p>
    <w:p>
      <w:pPr>
        <w:spacing w:before="212" w:line="230" w:lineRule="auto"/>
        <w:ind w:left="69"/>
        <w:rPr>
          <w:rFonts w:ascii="方正仿宋_GBK" w:eastAsia="方正仿宋_GBK" w:cs="方正仿宋_GBK"/>
          <w:sz w:val="32"/>
          <w:szCs w:val="32"/>
          <w:lang w:eastAsia="zh-CN"/>
        </w:rPr>
      </w:pPr>
      <w:r>
        <w:rPr>
          <w:lang w:eastAsia="zh-CN"/>
        </w:rPr>
        <w:drawing>
          <wp:anchor distT="0" distB="0" distL="0" distR="0" simplePos="0" relativeHeight="42"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58" name="IM 206"/>
            <wp:cNvGraphicFramePr>
              <a:graphicFrameLocks noChangeAspect="1"/>
            </wp:cNvGraphicFramePr>
            <a:graphic>
              <a:graphicData uri="http://schemas.openxmlformats.org/drawingml/2006/picture">
                <pic:pic>
                  <pic:nvPicPr>
                    <pic:cNvPr id="60" name="IM 206 60"/>
                    <pic:cNvPicPr/>
                  </pic:nvPicPr>
                  <pic:blipFill>
                    <a:blip r:embed="rId24"/>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hint="eastAsia"/>
          <w:spacing w:val="-5"/>
          <w:sz w:val="32"/>
          <w:szCs w:val="32"/>
          <w:lang w:eastAsia="zh-CN"/>
        </w:rPr>
        <w:t>中心等附属事业单位的支出。</w:t>
      </w:r>
    </w:p>
    <w:p>
      <w:pPr>
        <w:spacing w:before="111" w:line="271" w:lineRule="auto"/>
        <w:ind w:left="67" w:right="636" w:firstLine="615"/>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缉私办案（项</w:t>
      </w:r>
      <w:r>
        <w:rPr>
          <w:rFonts w:ascii="方正仿宋_GBK" w:eastAsia="方正仿宋_GBK" w:cs="方正仿宋_GBK" w:hint="eastAsia"/>
          <w:b/>
          <w:bCs/>
          <w:spacing w:val="15"/>
          <w:sz w:val="32"/>
          <w:szCs w:val="32"/>
          <w:lang w:eastAsia="zh-CN"/>
        </w:rPr>
        <w:t>）：</w:t>
      </w:r>
      <w:r>
        <w:rPr>
          <w:rFonts w:ascii="方正仿宋_GBK" w:eastAsia="方正仿宋_GBK" w:cs="方正仿宋_GBK" w:hint="eastAsia"/>
          <w:spacing w:val="-4"/>
          <w:sz w:val="32"/>
          <w:szCs w:val="32"/>
          <w:lang w:eastAsia="zh-CN"/>
        </w:rPr>
        <w:t>反映海关用于缉私办案方面的支</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29"/>
          <w:sz w:val="32"/>
          <w:szCs w:val="32"/>
          <w:lang w:eastAsia="zh-CN"/>
        </w:rPr>
        <w:t>出。</w:t>
      </w:r>
    </w:p>
    <w:p>
      <w:pPr>
        <w:spacing w:before="57" w:line="283" w:lineRule="auto"/>
        <w:ind w:left="25" w:right="636" w:firstLine="703"/>
        <w:rPr>
          <w:rFonts w:ascii="方正仿宋_GBK" w:eastAsia="方正仿宋_GBK" w:cs="方正仿宋_GBK"/>
          <w:sz w:val="32"/>
          <w:szCs w:val="32"/>
          <w:lang w:eastAsia="zh-CN"/>
        </w:rPr>
      </w:pPr>
      <w:r>
        <w:rPr>
          <w:rFonts w:ascii="方正仿宋_GBK" w:eastAsia="方正仿宋_GBK" w:cs="方正仿宋_GBK" w:hint="eastAsia"/>
          <w:b/>
          <w:bCs/>
          <w:spacing w:val="-13"/>
          <w:sz w:val="32"/>
          <w:szCs w:val="32"/>
          <w:lang w:eastAsia="zh-CN"/>
        </w:rPr>
        <w:t>口岸管理（项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13"/>
          <w:sz w:val="32"/>
          <w:szCs w:val="32"/>
          <w:lang w:eastAsia="zh-CN"/>
        </w:rPr>
        <w:t>反映</w:t>
      </w:r>
      <w:r>
        <w:rPr>
          <w:rFonts w:ascii="方正仿宋_GBK" w:eastAsia="方正仿宋_GBK" w:cs="方正仿宋_GBK"/>
          <w:spacing w:val="-69"/>
          <w:sz w:val="32"/>
          <w:szCs w:val="32"/>
          <w:lang w:eastAsia="zh-CN"/>
        </w:rPr>
        <w:t xml:space="preserve"> </w:t>
      </w:r>
      <w:r>
        <w:rPr>
          <w:rFonts w:ascii="方正仿宋_GBK" w:eastAsia="方正仿宋_GBK" w:cs="方正仿宋_GBK" w:hint="eastAsia"/>
          <w:spacing w:val="-13"/>
          <w:sz w:val="32"/>
          <w:szCs w:val="32"/>
          <w:lang w:eastAsia="zh-CN"/>
        </w:rPr>
        <w:t>口岸业务管理及电子</w:t>
      </w:r>
      <w:r>
        <w:rPr>
          <w:rFonts w:ascii="方正仿宋_GBK" w:eastAsia="方正仿宋_GBK" w:cs="方正仿宋_GBK"/>
          <w:spacing w:val="-69"/>
          <w:sz w:val="32"/>
          <w:szCs w:val="32"/>
          <w:lang w:eastAsia="zh-CN"/>
        </w:rPr>
        <w:t xml:space="preserve"> </w:t>
      </w:r>
      <w:r>
        <w:rPr>
          <w:rFonts w:ascii="方正仿宋_GBK" w:eastAsia="方正仿宋_GBK" w:cs="方正仿宋_GBK" w:hint="eastAsia"/>
          <w:spacing w:val="-13"/>
          <w:sz w:val="32"/>
          <w:szCs w:val="32"/>
          <w:lang w:eastAsia="zh-CN"/>
        </w:rPr>
        <w:t>口岸建</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设、运行维护方面的支出。</w:t>
      </w:r>
    </w:p>
    <w:p>
      <w:pPr>
        <w:spacing w:before="25" w:line="278" w:lineRule="auto"/>
        <w:ind w:left="24" w:right="314" w:firstLine="647"/>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信息化建设（项</w:t>
      </w:r>
      <w:r>
        <w:rPr>
          <w:rFonts w:ascii="方正仿宋_GBK" w:eastAsia="方正仿宋_GBK" w:cs="方正仿宋_GBK" w:hint="eastAsia"/>
          <w:b/>
          <w:bCs/>
          <w:spacing w:val="12"/>
          <w:sz w:val="32"/>
          <w:szCs w:val="32"/>
          <w:lang w:eastAsia="zh-CN"/>
        </w:rPr>
        <w:t>）：</w:t>
      </w:r>
      <w:r>
        <w:rPr>
          <w:rFonts w:ascii="方正仿宋_GBK" w:eastAsia="方正仿宋_GBK" w:cs="方正仿宋_GBK" w:hint="eastAsia"/>
          <w:spacing w:val="-3"/>
          <w:sz w:val="32"/>
          <w:szCs w:val="32"/>
          <w:lang w:eastAsia="zh-CN"/>
        </w:rPr>
        <w:t>反映海关系统用于信息化建设及</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运行维护方面的支出。</w:t>
      </w:r>
    </w:p>
    <w:p>
      <w:pPr>
        <w:spacing w:before="26" w:line="276" w:lineRule="auto"/>
        <w:ind w:left="33" w:right="350" w:firstLine="647"/>
        <w:jc w:val="both"/>
        <w:rPr>
          <w:rFonts w:ascii="方正仿宋_GBK" w:eastAsia="方正仿宋_GBK" w:cs="方正仿宋_GBK"/>
          <w:sz w:val="32"/>
          <w:szCs w:val="32"/>
          <w:lang w:eastAsia="zh-CN"/>
        </w:rPr>
      </w:pPr>
      <w:r>
        <w:rPr>
          <w:rFonts w:ascii="方正仿宋_GBK" w:eastAsia="方正仿宋_GBK" w:cs="方正仿宋_GBK" w:hint="eastAsia"/>
          <w:b/>
          <w:bCs/>
          <w:spacing w:val="-5"/>
          <w:sz w:val="32"/>
          <w:szCs w:val="32"/>
          <w:lang w:eastAsia="zh-CN"/>
        </w:rPr>
        <w:t>海关关务（项</w:t>
      </w:r>
      <w:r>
        <w:rPr>
          <w:rFonts w:ascii="方正仿宋_GBK" w:eastAsia="方正仿宋_GBK" w:cs="方正仿宋_GBK" w:hint="eastAsia"/>
          <w:b/>
          <w:bCs/>
          <w:spacing w:val="12"/>
          <w:sz w:val="32"/>
          <w:szCs w:val="32"/>
          <w:lang w:eastAsia="zh-CN"/>
        </w:rPr>
        <w:t>）：</w:t>
      </w:r>
      <w:r>
        <w:rPr>
          <w:rFonts w:ascii="方正仿宋_GBK" w:eastAsia="方正仿宋_GBK" w:cs="方正仿宋_GBK" w:hint="eastAsia"/>
          <w:spacing w:val="-5"/>
          <w:sz w:val="32"/>
          <w:szCs w:val="32"/>
          <w:lang w:eastAsia="zh-CN"/>
        </w:rPr>
        <w:t>反映海关行政执法提供业务保障、</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1"/>
          <w:sz w:val="32"/>
          <w:szCs w:val="32"/>
          <w:lang w:eastAsia="zh-CN"/>
        </w:rPr>
        <w:t>支持能力以及基础设施建设、设备设施运维等方面的支</w:t>
      </w:r>
      <w:r>
        <w:rPr>
          <w:rFonts w:ascii="方正仿宋_GBK" w:eastAsia="方正仿宋_GBK" w:cs="方正仿宋_GBK"/>
          <w:sz w:val="32"/>
          <w:szCs w:val="32"/>
          <w:lang w:eastAsia="zh-CN"/>
        </w:rPr>
        <w:t xml:space="preserve">   </w:t>
      </w:r>
      <w:r>
        <w:rPr>
          <w:rFonts w:ascii="方正仿宋_GBK" w:eastAsia="方正仿宋_GBK" w:cs="方正仿宋_GBK" w:hint="eastAsia"/>
          <w:spacing w:val="-12"/>
          <w:sz w:val="32"/>
          <w:szCs w:val="32"/>
          <w:lang w:eastAsia="zh-CN"/>
        </w:rPr>
        <w:t>出。</w:t>
      </w:r>
    </w:p>
    <w:p>
      <w:pPr>
        <w:spacing w:before="73" w:line="283" w:lineRule="auto"/>
        <w:ind w:left="35" w:right="319" w:firstLine="643"/>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关税征管（项</w:t>
      </w:r>
      <w:r>
        <w:rPr>
          <w:rFonts w:ascii="方正仿宋_GBK" w:eastAsia="方正仿宋_GBK" w:cs="方正仿宋_GBK" w:hint="eastAsia"/>
          <w:b/>
          <w:bCs/>
          <w:spacing w:val="18"/>
          <w:sz w:val="32"/>
          <w:szCs w:val="32"/>
          <w:lang w:eastAsia="zh-CN"/>
        </w:rPr>
        <w:t>）：</w:t>
      </w:r>
      <w:r>
        <w:rPr>
          <w:rFonts w:ascii="方正仿宋_GBK" w:eastAsia="方正仿宋_GBK" w:cs="方正仿宋_GBK" w:hint="eastAsia"/>
          <w:spacing w:val="-4"/>
          <w:sz w:val="32"/>
          <w:szCs w:val="32"/>
          <w:lang w:eastAsia="zh-CN"/>
        </w:rPr>
        <w:t>反映海关用于关税及其他税费征管</w:t>
      </w:r>
      <w:r>
        <w:rPr>
          <w:rFonts w:ascii="方正仿宋_GBK" w:eastAsia="方正仿宋_GBK" w:cs="方正仿宋_GBK"/>
          <w:sz w:val="32"/>
          <w:szCs w:val="32"/>
          <w:lang w:eastAsia="zh-CN"/>
        </w:rPr>
        <w:t xml:space="preserve"> </w:t>
      </w:r>
      <w:r>
        <w:rPr>
          <w:rFonts w:ascii="方正仿宋_GBK" w:eastAsia="方正仿宋_GBK" w:cs="方正仿宋_GBK" w:hint="eastAsia"/>
          <w:spacing w:val="-5"/>
          <w:sz w:val="32"/>
          <w:szCs w:val="32"/>
          <w:lang w:eastAsia="zh-CN"/>
        </w:rPr>
        <w:t>方面的支出。</w:t>
      </w:r>
    </w:p>
    <w:p>
      <w:pPr>
        <w:spacing w:before="13" w:line="281" w:lineRule="auto"/>
        <w:ind w:left="23" w:right="319" w:firstLine="657"/>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海关监管（项</w:t>
      </w:r>
      <w:r>
        <w:rPr>
          <w:rFonts w:ascii="方正仿宋_GBK" w:eastAsia="方正仿宋_GBK" w:cs="方正仿宋_GBK" w:hint="eastAsia"/>
          <w:b/>
          <w:bCs/>
          <w:spacing w:val="17"/>
          <w:sz w:val="32"/>
          <w:szCs w:val="32"/>
          <w:lang w:eastAsia="zh-CN"/>
        </w:rPr>
        <w:t>）：</w:t>
      </w:r>
      <w:r>
        <w:rPr>
          <w:rFonts w:ascii="方正仿宋_GBK" w:eastAsia="方正仿宋_GBK" w:cs="方正仿宋_GBK" w:hint="eastAsia"/>
          <w:spacing w:val="-4"/>
          <w:sz w:val="32"/>
          <w:szCs w:val="32"/>
          <w:lang w:eastAsia="zh-CN"/>
        </w:rPr>
        <w:t>反映海关用于监管执法、业务管理</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1"/>
          <w:sz w:val="32"/>
          <w:szCs w:val="32"/>
          <w:lang w:eastAsia="zh-CN"/>
        </w:rPr>
        <w:t>及相关技术支持方面的支出。</w:t>
      </w:r>
    </w:p>
    <w:p>
      <w:pPr>
        <w:spacing w:before="30" w:line="278" w:lineRule="auto"/>
        <w:ind w:left="27" w:right="319" w:firstLine="641"/>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检验检疫（项</w:t>
      </w:r>
      <w:r>
        <w:rPr>
          <w:rFonts w:ascii="方正仿宋_GBK" w:eastAsia="方正仿宋_GBK" w:cs="方正仿宋_GBK" w:hint="eastAsia"/>
          <w:b/>
          <w:bCs/>
          <w:spacing w:val="12"/>
          <w:sz w:val="32"/>
          <w:szCs w:val="32"/>
          <w:lang w:eastAsia="zh-CN"/>
        </w:rPr>
        <w:t>）：</w:t>
      </w:r>
      <w:r>
        <w:rPr>
          <w:rFonts w:ascii="方正仿宋_GBK" w:eastAsia="方正仿宋_GBK" w:cs="方正仿宋_GBK" w:hint="eastAsia"/>
          <w:spacing w:val="-3"/>
          <w:sz w:val="32"/>
          <w:szCs w:val="32"/>
          <w:lang w:eastAsia="zh-CN"/>
        </w:rPr>
        <w:t>反映海关用于出入境检验检疫行政</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1"/>
          <w:sz w:val="32"/>
          <w:szCs w:val="32"/>
          <w:lang w:eastAsia="zh-CN"/>
        </w:rPr>
        <w:t>执法、业务管理及相关技术支持方面的支出。</w:t>
      </w:r>
    </w:p>
    <w:p>
      <w:pPr>
        <w:spacing w:before="34" w:line="283" w:lineRule="auto"/>
        <w:ind w:left="22" w:right="319" w:firstLine="654"/>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事业运行（项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3"/>
          <w:sz w:val="32"/>
          <w:szCs w:val="32"/>
          <w:lang w:eastAsia="zh-CN"/>
        </w:rPr>
        <w:t>反映海关事业单位的基本支出，不</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包括行政单位（包括参照公务员管理的事业单位）后勤服</w:t>
      </w:r>
      <w:r>
        <w:rPr>
          <w:rFonts w:ascii="方正仿宋_GBK" w:eastAsia="方正仿宋_GBK" w:cs="方正仿宋_GBK"/>
          <w:spacing w:val="11"/>
          <w:sz w:val="32"/>
          <w:szCs w:val="32"/>
          <w:lang w:eastAsia="zh-CN"/>
        </w:rPr>
        <w:t xml:space="preserve"> </w:t>
      </w:r>
      <w:r>
        <w:rPr>
          <w:rFonts w:ascii="方正仿宋_GBK" w:eastAsia="方正仿宋_GBK" w:cs="方正仿宋_GBK" w:hint="eastAsia"/>
          <w:spacing w:val="-2"/>
          <w:sz w:val="32"/>
          <w:szCs w:val="32"/>
          <w:lang w:eastAsia="zh-CN"/>
        </w:rPr>
        <w:t>务中心等附属事业单位。</w:t>
      </w:r>
    </w:p>
    <w:p>
      <w:pPr>
        <w:spacing w:before="29" w:line="283" w:lineRule="auto"/>
        <w:ind w:left="35" w:right="314" w:firstLine="636"/>
        <w:rPr>
          <w:rFonts w:ascii="方正仿宋_GBK" w:eastAsia="方正仿宋_GBK" w:cs="方正仿宋_GBK"/>
          <w:sz w:val="32"/>
          <w:szCs w:val="32"/>
          <w:lang w:eastAsia="zh-CN"/>
        </w:rPr>
      </w:pPr>
      <w:r>
        <w:rPr>
          <w:rFonts w:ascii="方正仿宋_GBK" w:eastAsia="方正仿宋_GBK" w:cs="方正仿宋_GBK" w:hint="eastAsia"/>
          <w:b/>
          <w:bCs/>
          <w:spacing w:val="-6"/>
          <w:sz w:val="32"/>
          <w:szCs w:val="32"/>
          <w:lang w:eastAsia="zh-CN"/>
        </w:rPr>
        <w:t>其他海关事务支出（项）</w:t>
      </w:r>
      <w:r>
        <w:rPr>
          <w:rFonts w:ascii="方正仿宋_GBK" w:eastAsia="方正仿宋_GBK" w:cs="方正仿宋_GBK" w:hint="eastAsia"/>
          <w:spacing w:val="-6"/>
          <w:sz w:val="32"/>
          <w:szCs w:val="32"/>
          <w:lang w:eastAsia="zh-CN"/>
        </w:rPr>
        <w:t>反映除上述项</w:t>
      </w:r>
      <w:r>
        <w:rPr>
          <w:rFonts w:ascii="方正仿宋_GBK" w:eastAsia="方正仿宋_GBK" w:cs="方正仿宋_GBK"/>
          <w:spacing w:val="-51"/>
          <w:sz w:val="32"/>
          <w:szCs w:val="32"/>
          <w:lang w:eastAsia="zh-CN"/>
        </w:rPr>
        <w:t xml:space="preserve"> </w:t>
      </w:r>
      <w:r>
        <w:rPr>
          <w:rFonts w:ascii="方正仿宋_GBK" w:eastAsia="方正仿宋_GBK" w:cs="方正仿宋_GBK" w:hint="eastAsia"/>
          <w:spacing w:val="-6"/>
          <w:sz w:val="32"/>
          <w:szCs w:val="32"/>
          <w:lang w:eastAsia="zh-CN"/>
        </w:rPr>
        <w:t>目以外其他海</w:t>
      </w:r>
      <w:r>
        <w:rPr>
          <w:rFonts w:ascii="方正仿宋_GBK" w:eastAsia="方正仿宋_GBK" w:cs="方正仿宋_GBK"/>
          <w:sz w:val="32"/>
          <w:szCs w:val="32"/>
          <w:lang w:eastAsia="zh-CN"/>
        </w:rPr>
        <w:t xml:space="preserve"> </w:t>
      </w:r>
      <w:r>
        <w:rPr>
          <w:rFonts w:ascii="方正仿宋_GBK" w:eastAsia="方正仿宋_GBK" w:cs="方正仿宋_GBK" w:hint="eastAsia"/>
          <w:spacing w:val="-3"/>
          <w:sz w:val="32"/>
          <w:szCs w:val="32"/>
          <w:lang w:eastAsia="zh-CN"/>
        </w:rPr>
        <w:t>关事务方面的支出。</w:t>
      </w:r>
    </w:p>
    <w:p>
      <w:pPr>
        <w:spacing w:before="21" w:line="283" w:lineRule="auto"/>
        <w:ind w:left="33" w:right="300" w:firstLine="635"/>
        <w:jc w:val="both"/>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八、一般公共服务（类）纪检监察事务（款）派驻派</w:t>
      </w:r>
      <w:r>
        <w:rPr>
          <w:rFonts w:ascii="方正仿宋_GBK" w:eastAsia="方正仿宋_GBK" w:cs="方正仿宋_GBK"/>
          <w:sz w:val="32"/>
          <w:szCs w:val="32"/>
          <w:lang w:eastAsia="zh-CN"/>
        </w:rPr>
        <w:t xml:space="preserve"> </w:t>
      </w:r>
      <w:r>
        <w:rPr>
          <w:rFonts w:ascii="方正仿宋_GBK" w:eastAsia="方正仿宋_GBK" w:cs="方正仿宋_GBK" w:hint="eastAsia"/>
          <w:b/>
          <w:bCs/>
          <w:spacing w:val="-3"/>
          <w:sz w:val="32"/>
          <w:szCs w:val="32"/>
          <w:lang w:eastAsia="zh-CN"/>
        </w:rPr>
        <w:t>出机构（项</w:t>
      </w:r>
      <w:r>
        <w:rPr>
          <w:rFonts w:ascii="方正仿宋_GBK" w:eastAsia="方正仿宋_GBK" w:cs="方正仿宋_GBK" w:hint="eastAsia"/>
          <w:b/>
          <w:bCs/>
          <w:spacing w:val="15"/>
          <w:sz w:val="32"/>
          <w:szCs w:val="32"/>
          <w:lang w:eastAsia="zh-CN"/>
        </w:rPr>
        <w:t>）：</w:t>
      </w:r>
      <w:r>
        <w:rPr>
          <w:rFonts w:ascii="方正仿宋_GBK" w:eastAsia="方正仿宋_GBK" w:cs="方正仿宋_GBK" w:hint="eastAsia"/>
          <w:spacing w:val="-3"/>
          <w:sz w:val="32"/>
          <w:szCs w:val="32"/>
          <w:lang w:eastAsia="zh-CN"/>
        </w:rPr>
        <w:t>反映由纪检监察部门负担的派驻各部门和</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单位的纪检监察人员的专项业务支出。</w:t>
      </w:r>
    </w:p>
    <w:p>
      <w:pPr>
        <w:spacing w:line="283" w:lineRule="auto"/>
        <w:rPr>
          <w:rFonts w:ascii="方正仿宋_GBK" w:eastAsia="方正仿宋_GBK" w:cs="方正仿宋_GBK"/>
          <w:sz w:val="32"/>
          <w:szCs w:val="32"/>
          <w:lang w:eastAsia="zh-CN"/>
        </w:rPr>
        <w:sectPr>
          <w:pgSz w:w="11913" w:h="16443"/>
          <w:pgMar w:top="1397" w:right="1786" w:bottom="0" w:left="1786" w:header="0" w:footer="0" w:gutter="0"/>
          <w:docGrid w:linePitch="312" w:charSpace="0"/>
        </w:sectPr>
      </w:pPr>
    </w:p>
    <w:p>
      <w:pPr>
        <w:spacing w:before="211" w:line="230" w:lineRule="auto"/>
        <w:ind w:left="681"/>
        <w:rPr>
          <w:rFonts w:ascii="方正仿宋_GBK" w:eastAsia="方正仿宋_GBK" w:cs="方正仿宋_GBK"/>
          <w:sz w:val="32"/>
          <w:szCs w:val="32"/>
          <w:lang w:eastAsia="zh-CN"/>
        </w:rPr>
      </w:pPr>
      <w:r>
        <w:rPr>
          <w:lang w:eastAsia="zh-CN"/>
        </w:rPr>
        <w:drawing>
          <wp:anchor distT="0" distB="0" distL="0" distR="0" simplePos="0" relativeHeight="43"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61" name="IM 208"/>
            <wp:cNvGraphicFramePr>
              <a:graphicFrameLocks noChangeAspect="1"/>
            </wp:cNvGraphicFramePr>
            <a:graphic>
              <a:graphicData uri="http://schemas.openxmlformats.org/drawingml/2006/picture">
                <pic:pic>
                  <pic:nvPicPr>
                    <pic:cNvPr id="63" name="IM 208 63"/>
                    <pic:cNvPicPr/>
                  </pic:nvPicPr>
                  <pic:blipFill>
                    <a:blip r:embed="rId25"/>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hint="eastAsia"/>
          <w:b/>
          <w:bCs/>
          <w:spacing w:val="-4"/>
          <w:sz w:val="32"/>
          <w:szCs w:val="32"/>
          <w:lang w:eastAsia="zh-CN"/>
        </w:rPr>
        <w:t>九、外交支出（类）对外援助（款）对外援助</w:t>
      </w:r>
    </w:p>
    <w:p>
      <w:pPr>
        <w:spacing w:before="111" w:line="283" w:lineRule="auto"/>
        <w:ind w:left="32" w:right="324" w:hanging="32"/>
        <w:rPr>
          <w:rFonts w:ascii="方正仿宋_GBK" w:eastAsia="方正仿宋_GBK" w:cs="方正仿宋_GBK"/>
          <w:sz w:val="32"/>
          <w:szCs w:val="32"/>
          <w:lang w:eastAsia="zh-CN"/>
        </w:rPr>
      </w:pPr>
      <w:r>
        <w:rPr>
          <w:rFonts w:ascii="方正仿宋_GBK" w:eastAsia="方正仿宋_GBK" w:cs="方正仿宋_GBK" w:hint="eastAsia"/>
          <w:b/>
          <w:bCs/>
          <w:spacing w:val="-1"/>
          <w:sz w:val="32"/>
          <w:szCs w:val="32"/>
          <w:lang w:eastAsia="zh-CN"/>
        </w:rPr>
        <w:t>（项</w:t>
      </w:r>
      <w:r>
        <w:rPr>
          <w:rFonts w:ascii="方正仿宋_GBK" w:eastAsia="方正仿宋_GBK" w:cs="方正仿宋_GBK" w:hint="eastAsia"/>
          <w:b/>
          <w:bCs/>
          <w:spacing w:val="13"/>
          <w:sz w:val="32"/>
          <w:szCs w:val="32"/>
          <w:lang w:eastAsia="zh-CN"/>
        </w:rPr>
        <w:t>）：</w:t>
      </w:r>
      <w:r>
        <w:rPr>
          <w:rFonts w:ascii="方正仿宋_GBK" w:eastAsia="方正仿宋_GBK" w:cs="方正仿宋_GBK" w:hint="eastAsia"/>
          <w:spacing w:val="-1"/>
          <w:sz w:val="32"/>
          <w:szCs w:val="32"/>
          <w:lang w:eastAsia="zh-CN"/>
        </w:rPr>
        <w:t>反映海关对外国政府（地区）提供的各种援助和</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3"/>
          <w:sz w:val="32"/>
          <w:szCs w:val="32"/>
          <w:lang w:eastAsia="zh-CN"/>
        </w:rPr>
        <w:t>技术合作支出。</w:t>
      </w:r>
    </w:p>
    <w:p>
      <w:pPr>
        <w:spacing w:before="17" w:line="269" w:lineRule="auto"/>
        <w:ind w:right="324" w:firstLine="685"/>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十、外交支出（类）国际组织（款）国际组织会费</w:t>
      </w:r>
      <w:r>
        <w:rPr>
          <w:rFonts w:ascii="方正仿宋_GBK" w:eastAsia="方正仿宋_GBK" w:cs="方正仿宋_GBK"/>
          <w:spacing w:val="3"/>
          <w:sz w:val="32"/>
          <w:szCs w:val="32"/>
          <w:lang w:eastAsia="zh-CN"/>
        </w:rPr>
        <w:t xml:space="preserve">   </w:t>
      </w:r>
      <w:r>
        <w:rPr>
          <w:rFonts w:ascii="方正仿宋_GBK" w:eastAsia="方正仿宋_GBK" w:cs="方正仿宋_GBK" w:hint="eastAsia"/>
          <w:b/>
          <w:bCs/>
          <w:spacing w:val="-1"/>
          <w:sz w:val="32"/>
          <w:szCs w:val="32"/>
          <w:lang w:eastAsia="zh-CN"/>
        </w:rPr>
        <w:t>（项</w:t>
      </w:r>
      <w:r>
        <w:rPr>
          <w:rFonts w:ascii="方正仿宋_GBK" w:eastAsia="方正仿宋_GBK" w:cs="方正仿宋_GBK" w:hint="eastAsia"/>
          <w:b/>
          <w:bCs/>
          <w:spacing w:val="13"/>
          <w:sz w:val="32"/>
          <w:szCs w:val="32"/>
          <w:lang w:eastAsia="zh-CN"/>
        </w:rPr>
        <w:t>）：</w:t>
      </w:r>
      <w:r>
        <w:rPr>
          <w:rFonts w:ascii="方正仿宋_GBK" w:eastAsia="方正仿宋_GBK" w:cs="方正仿宋_GBK" w:hint="eastAsia"/>
          <w:spacing w:val="-1"/>
          <w:sz w:val="32"/>
          <w:szCs w:val="32"/>
          <w:lang w:eastAsia="zh-CN"/>
        </w:rPr>
        <w:t>反映海关经批准参加国际组织，按国际组织规定</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2"/>
          <w:sz w:val="32"/>
          <w:szCs w:val="32"/>
          <w:lang w:eastAsia="zh-CN"/>
        </w:rPr>
        <w:t>缴纳的会费。</w:t>
      </w:r>
    </w:p>
    <w:p>
      <w:pPr>
        <w:spacing w:before="105" w:line="269" w:lineRule="auto"/>
        <w:ind w:right="300" w:firstLine="685"/>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十一、外交支出（类）国际组织（款）国际组织捐赠</w:t>
      </w:r>
      <w:r>
        <w:rPr>
          <w:rFonts w:ascii="方正仿宋_GBK" w:eastAsia="方正仿宋_GBK" w:cs="方正仿宋_GBK"/>
          <w:spacing w:val="11"/>
          <w:sz w:val="32"/>
          <w:szCs w:val="32"/>
          <w:lang w:eastAsia="zh-CN"/>
        </w:rPr>
        <w:t xml:space="preserve"> </w:t>
      </w:r>
      <w:r>
        <w:rPr>
          <w:rFonts w:ascii="方正仿宋_GBK" w:eastAsia="方正仿宋_GBK" w:cs="方正仿宋_GBK" w:hint="eastAsia"/>
          <w:b/>
          <w:bCs/>
          <w:spacing w:val="-4"/>
          <w:sz w:val="32"/>
          <w:szCs w:val="32"/>
          <w:lang w:eastAsia="zh-CN"/>
        </w:rPr>
        <w:t>（项</w:t>
      </w:r>
      <w:r>
        <w:rPr>
          <w:rFonts w:ascii="方正仿宋_GBK" w:eastAsia="方正仿宋_GBK" w:cs="方正仿宋_GBK" w:hint="eastAsia"/>
          <w:b/>
          <w:bCs/>
          <w:spacing w:val="6"/>
          <w:sz w:val="32"/>
          <w:szCs w:val="32"/>
          <w:lang w:eastAsia="zh-CN"/>
        </w:rPr>
        <w:t>）：</w:t>
      </w:r>
      <w:r>
        <w:rPr>
          <w:rFonts w:ascii="方正仿宋_GBK" w:eastAsia="方正仿宋_GBK" w:cs="方正仿宋_GBK" w:hint="eastAsia"/>
          <w:spacing w:val="-4"/>
          <w:sz w:val="32"/>
          <w:szCs w:val="32"/>
          <w:lang w:eastAsia="zh-CN"/>
        </w:rPr>
        <w:t>反映以我国政府（包括国务院主管部门</w:t>
      </w:r>
      <w:r>
        <w:rPr>
          <w:rFonts w:ascii="方正仿宋_GBK" w:eastAsia="方正仿宋_GBK" w:cs="方正仿宋_GBK" w:hint="eastAsia"/>
          <w:spacing w:val="6"/>
          <w:sz w:val="32"/>
          <w:szCs w:val="32"/>
          <w:lang w:eastAsia="zh-CN"/>
        </w:rPr>
        <w:t>），</w:t>
      </w:r>
      <w:r>
        <w:rPr>
          <w:rFonts w:ascii="方正仿宋_GBK" w:eastAsia="方正仿宋_GBK" w:cs="方正仿宋_GBK"/>
          <w:spacing w:val="-78"/>
          <w:sz w:val="32"/>
          <w:szCs w:val="32"/>
          <w:lang w:eastAsia="zh-CN"/>
        </w:rPr>
        <w:t xml:space="preserve"> </w:t>
      </w:r>
      <w:r>
        <w:rPr>
          <w:rFonts w:ascii="方正仿宋_GBK" w:eastAsia="方正仿宋_GBK" w:cs="方正仿宋_GBK" w:hint="eastAsia"/>
          <w:spacing w:val="-4"/>
          <w:sz w:val="32"/>
          <w:szCs w:val="32"/>
          <w:lang w:eastAsia="zh-CN"/>
        </w:rPr>
        <w:t>向国</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际组织的认捐、救灾、馈赠等支出。</w:t>
      </w:r>
    </w:p>
    <w:p>
      <w:pPr>
        <w:spacing w:before="115" w:line="262" w:lineRule="auto"/>
        <w:ind w:left="38" w:right="300" w:firstLine="647"/>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十二、外交支出（类）其他外交支出（款）其他外交</w:t>
      </w:r>
      <w:r>
        <w:rPr>
          <w:rFonts w:ascii="方正仿宋_GBK" w:eastAsia="方正仿宋_GBK" w:cs="方正仿宋_GBK"/>
          <w:spacing w:val="11"/>
          <w:sz w:val="32"/>
          <w:szCs w:val="32"/>
          <w:lang w:eastAsia="zh-CN"/>
        </w:rPr>
        <w:t xml:space="preserve"> </w:t>
      </w:r>
      <w:r>
        <w:rPr>
          <w:rFonts w:ascii="方正仿宋_GBK" w:eastAsia="方正仿宋_GBK" w:cs="方正仿宋_GBK" w:hint="eastAsia"/>
          <w:b/>
          <w:bCs/>
          <w:spacing w:val="-6"/>
          <w:sz w:val="32"/>
          <w:szCs w:val="32"/>
          <w:lang w:eastAsia="zh-CN"/>
        </w:rPr>
        <w:t>支出（项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6"/>
          <w:sz w:val="32"/>
          <w:szCs w:val="32"/>
          <w:lang w:eastAsia="zh-CN"/>
        </w:rPr>
        <w:t>反映除上述项</w:t>
      </w:r>
      <w:r>
        <w:rPr>
          <w:rFonts w:ascii="方正仿宋_GBK" w:eastAsia="方正仿宋_GBK" w:cs="方正仿宋_GBK"/>
          <w:spacing w:val="-58"/>
          <w:sz w:val="32"/>
          <w:szCs w:val="32"/>
          <w:lang w:eastAsia="zh-CN"/>
        </w:rPr>
        <w:t xml:space="preserve"> </w:t>
      </w:r>
      <w:r>
        <w:rPr>
          <w:rFonts w:ascii="方正仿宋_GBK" w:eastAsia="方正仿宋_GBK" w:cs="方正仿宋_GBK" w:hint="eastAsia"/>
          <w:spacing w:val="-6"/>
          <w:sz w:val="32"/>
          <w:szCs w:val="32"/>
          <w:lang w:eastAsia="zh-CN"/>
        </w:rPr>
        <w:t>目以外其他用于外交方面的支</w:t>
      </w:r>
      <w:r>
        <w:rPr>
          <w:rFonts w:ascii="方正仿宋_GBK" w:eastAsia="方正仿宋_GBK" w:cs="方正仿宋_GBK"/>
          <w:sz w:val="32"/>
          <w:szCs w:val="32"/>
          <w:lang w:eastAsia="zh-CN"/>
        </w:rPr>
        <w:t xml:space="preserve"> </w:t>
      </w:r>
      <w:r>
        <w:rPr>
          <w:rFonts w:ascii="方正仿宋_GBK" w:eastAsia="方正仿宋_GBK" w:cs="方正仿宋_GBK" w:hint="eastAsia"/>
          <w:spacing w:val="-12"/>
          <w:sz w:val="32"/>
          <w:szCs w:val="32"/>
          <w:lang w:eastAsia="zh-CN"/>
        </w:rPr>
        <w:t>出。</w:t>
      </w:r>
    </w:p>
    <w:p>
      <w:pPr>
        <w:spacing w:before="144" w:line="259" w:lineRule="auto"/>
        <w:ind w:left="40" w:right="300" w:firstLine="644"/>
        <w:rPr>
          <w:rFonts w:ascii="方正仿宋_GBK" w:eastAsia="方正仿宋_GBK" w:cs="方正仿宋_GBK"/>
          <w:sz w:val="32"/>
          <w:szCs w:val="32"/>
          <w:lang w:eastAsia="zh-CN"/>
        </w:rPr>
      </w:pPr>
      <w:r>
        <w:rPr>
          <w:rFonts w:ascii="方正仿宋_GBK" w:eastAsia="方正仿宋_GBK" w:cs="方正仿宋_GBK" w:hint="eastAsia"/>
          <w:b/>
          <w:bCs/>
          <w:spacing w:val="-5"/>
          <w:sz w:val="32"/>
          <w:szCs w:val="32"/>
          <w:lang w:eastAsia="zh-CN"/>
        </w:rPr>
        <w:t>十三、公共安全支出（类）缉私警察（款</w:t>
      </w:r>
      <w:r>
        <w:rPr>
          <w:rFonts w:ascii="方正仿宋_GBK" w:eastAsia="方正仿宋_GBK" w:cs="方正仿宋_GBK" w:hint="eastAsia"/>
          <w:b/>
          <w:bCs/>
          <w:spacing w:val="17"/>
          <w:sz w:val="32"/>
          <w:szCs w:val="32"/>
          <w:lang w:eastAsia="zh-CN"/>
        </w:rPr>
        <w:t>）：</w:t>
      </w:r>
      <w:r>
        <w:rPr>
          <w:rFonts w:ascii="方正仿宋_GBK" w:eastAsia="方正仿宋_GBK" w:cs="方正仿宋_GBK" w:hint="eastAsia"/>
          <w:spacing w:val="-5"/>
          <w:sz w:val="32"/>
          <w:szCs w:val="32"/>
          <w:lang w:eastAsia="zh-CN"/>
        </w:rPr>
        <w:t>反映海</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3"/>
          <w:sz w:val="32"/>
          <w:szCs w:val="32"/>
          <w:lang w:eastAsia="zh-CN"/>
        </w:rPr>
        <w:t>关缉私警察的支出。</w:t>
      </w:r>
    </w:p>
    <w:p>
      <w:pPr>
        <w:spacing w:before="112" w:line="278" w:lineRule="auto"/>
        <w:ind w:left="30" w:right="319" w:firstLine="644"/>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行政运行（项</w:t>
      </w:r>
      <w:r>
        <w:rPr>
          <w:rFonts w:ascii="方正仿宋_GBK" w:eastAsia="方正仿宋_GBK" w:cs="方正仿宋_GBK" w:hint="eastAsia"/>
          <w:b/>
          <w:bCs/>
          <w:spacing w:val="12"/>
          <w:sz w:val="32"/>
          <w:szCs w:val="32"/>
          <w:lang w:eastAsia="zh-CN"/>
        </w:rPr>
        <w:t>）：</w:t>
      </w:r>
      <w:r>
        <w:rPr>
          <w:rFonts w:ascii="方正仿宋_GBK" w:eastAsia="方正仿宋_GBK" w:cs="方正仿宋_GBK" w:hint="eastAsia"/>
          <w:spacing w:val="-3"/>
          <w:sz w:val="32"/>
          <w:szCs w:val="32"/>
          <w:lang w:eastAsia="zh-CN"/>
        </w:rPr>
        <w:t>反映行政单位（包括参照公务员管</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理的事业单位）的基本支出。</w:t>
      </w:r>
    </w:p>
    <w:p>
      <w:pPr>
        <w:spacing w:before="30" w:line="283" w:lineRule="auto"/>
        <w:ind w:left="32" w:right="310" w:firstLine="660"/>
        <w:jc w:val="both"/>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一般行政管理事务（项</w:t>
      </w:r>
      <w:r>
        <w:rPr>
          <w:rFonts w:ascii="方正仿宋_GBK" w:eastAsia="方正仿宋_GBK" w:cs="方正仿宋_GBK" w:hint="eastAsia"/>
          <w:b/>
          <w:bCs/>
          <w:spacing w:val="11"/>
          <w:sz w:val="32"/>
          <w:szCs w:val="32"/>
          <w:lang w:eastAsia="zh-CN"/>
        </w:rPr>
        <w:t>）：</w:t>
      </w:r>
      <w:r>
        <w:rPr>
          <w:rFonts w:ascii="方正仿宋_GBK" w:eastAsia="方正仿宋_GBK" w:cs="方正仿宋_GBK" w:hint="eastAsia"/>
          <w:spacing w:val="-4"/>
          <w:sz w:val="32"/>
          <w:szCs w:val="32"/>
          <w:lang w:eastAsia="zh-CN"/>
        </w:rPr>
        <w:t>反映行政单位（包括参照</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4"/>
          <w:sz w:val="32"/>
          <w:szCs w:val="32"/>
          <w:lang w:eastAsia="zh-CN"/>
        </w:rPr>
        <w:t>公务员管理的事业单位）未单独设置项级科</w:t>
      </w:r>
      <w:r>
        <w:rPr>
          <w:rFonts w:ascii="方正仿宋_GBK" w:eastAsia="方正仿宋_GBK" w:cs="方正仿宋_GBK"/>
          <w:spacing w:val="-58"/>
          <w:sz w:val="32"/>
          <w:szCs w:val="32"/>
          <w:lang w:eastAsia="zh-CN"/>
        </w:rPr>
        <w:t xml:space="preserve"> </w:t>
      </w:r>
      <w:r>
        <w:rPr>
          <w:rFonts w:ascii="方正仿宋_GBK" w:eastAsia="方正仿宋_GBK" w:cs="方正仿宋_GBK" w:hint="eastAsia"/>
          <w:spacing w:val="-4"/>
          <w:sz w:val="32"/>
          <w:szCs w:val="32"/>
          <w:lang w:eastAsia="zh-CN"/>
        </w:rPr>
        <w:t>目的其</w:t>
      </w:r>
      <w:r>
        <w:rPr>
          <w:rFonts w:ascii="方正仿宋_GBK" w:eastAsia="方正仿宋_GBK" w:cs="方正仿宋_GBK" w:hint="eastAsia"/>
          <w:spacing w:val="-5"/>
          <w:sz w:val="32"/>
          <w:szCs w:val="32"/>
          <w:lang w:eastAsia="zh-CN"/>
        </w:rPr>
        <w:t>他项目</w:t>
      </w:r>
      <w:r>
        <w:rPr>
          <w:rFonts w:ascii="方正仿宋_GBK" w:eastAsia="方正仿宋_GBK" w:cs="方正仿宋_GBK"/>
          <w:sz w:val="32"/>
          <w:szCs w:val="32"/>
          <w:lang w:eastAsia="zh-CN"/>
        </w:rPr>
        <w:t xml:space="preserve"> </w:t>
      </w:r>
      <w:r>
        <w:rPr>
          <w:rFonts w:ascii="方正仿宋_GBK" w:eastAsia="方正仿宋_GBK" w:cs="方正仿宋_GBK" w:hint="eastAsia"/>
          <w:spacing w:val="-6"/>
          <w:sz w:val="32"/>
          <w:szCs w:val="32"/>
          <w:lang w:eastAsia="zh-CN"/>
        </w:rPr>
        <w:t>支出。</w:t>
      </w:r>
    </w:p>
    <w:p>
      <w:pPr>
        <w:spacing w:before="21" w:line="283" w:lineRule="auto"/>
        <w:ind w:left="32" w:right="314" w:firstLine="644"/>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信息化建设（项</w:t>
      </w:r>
      <w:r>
        <w:rPr>
          <w:rFonts w:ascii="方正仿宋_GBK" w:eastAsia="方正仿宋_GBK" w:cs="方正仿宋_GBK" w:hint="eastAsia"/>
          <w:b/>
          <w:bCs/>
          <w:spacing w:val="12"/>
          <w:sz w:val="32"/>
          <w:szCs w:val="32"/>
          <w:lang w:eastAsia="zh-CN"/>
        </w:rPr>
        <w:t>）：</w:t>
      </w:r>
      <w:r>
        <w:rPr>
          <w:rFonts w:ascii="方正仿宋_GBK" w:eastAsia="方正仿宋_GBK" w:cs="方正仿宋_GBK" w:hint="eastAsia"/>
          <w:spacing w:val="-3"/>
          <w:sz w:val="32"/>
          <w:szCs w:val="32"/>
          <w:lang w:eastAsia="zh-CN"/>
        </w:rPr>
        <w:t>反映缉私警察于信息化建设和运</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行维护方面的支出。</w:t>
      </w:r>
    </w:p>
    <w:p>
      <w:pPr>
        <w:spacing w:before="21" w:line="283" w:lineRule="auto"/>
        <w:ind w:left="35" w:right="319" w:firstLine="652"/>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缉私业务（项</w:t>
      </w:r>
      <w:r>
        <w:rPr>
          <w:rFonts w:ascii="方正仿宋_GBK" w:eastAsia="方正仿宋_GBK" w:cs="方正仿宋_GBK" w:hint="eastAsia"/>
          <w:b/>
          <w:bCs/>
          <w:spacing w:val="16"/>
          <w:sz w:val="32"/>
          <w:szCs w:val="32"/>
          <w:lang w:eastAsia="zh-CN"/>
        </w:rPr>
        <w:t>）：</w:t>
      </w:r>
      <w:r>
        <w:rPr>
          <w:rFonts w:ascii="方正仿宋_GBK" w:eastAsia="方正仿宋_GBK" w:cs="方正仿宋_GBK" w:hint="eastAsia"/>
          <w:spacing w:val="-4"/>
          <w:sz w:val="32"/>
          <w:szCs w:val="32"/>
          <w:lang w:eastAsia="zh-CN"/>
        </w:rPr>
        <w:t>反映缉私警察开展执法工作，打击</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走私犯罪活动的支出。</w:t>
      </w:r>
    </w:p>
    <w:p>
      <w:pPr>
        <w:spacing w:before="22" w:line="230" w:lineRule="auto"/>
        <w:ind w:left="677"/>
        <w:rPr>
          <w:rFonts w:ascii="方正仿宋_GBK" w:eastAsia="方正仿宋_GBK" w:cs="方正仿宋_GBK"/>
          <w:sz w:val="32"/>
          <w:szCs w:val="32"/>
          <w:lang w:eastAsia="zh-CN"/>
        </w:rPr>
      </w:pPr>
      <w:r>
        <w:rPr>
          <w:rFonts w:ascii="方正仿宋_GBK" w:eastAsia="方正仿宋_GBK" w:cs="方正仿宋_GBK" w:hint="eastAsia"/>
          <w:b/>
          <w:bCs/>
          <w:spacing w:val="-7"/>
          <w:sz w:val="32"/>
          <w:szCs w:val="32"/>
          <w:lang w:eastAsia="zh-CN"/>
        </w:rPr>
        <w:t>其他缉私警察支出（项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7"/>
          <w:sz w:val="32"/>
          <w:szCs w:val="32"/>
          <w:lang w:eastAsia="zh-CN"/>
        </w:rPr>
        <w:t>反映除上述项</w:t>
      </w:r>
      <w:r>
        <w:rPr>
          <w:rFonts w:ascii="方正仿宋_GBK" w:eastAsia="方正仿宋_GBK" w:cs="方正仿宋_GBK"/>
          <w:spacing w:val="-57"/>
          <w:sz w:val="32"/>
          <w:szCs w:val="32"/>
          <w:lang w:eastAsia="zh-CN"/>
        </w:rPr>
        <w:t xml:space="preserve"> </w:t>
      </w:r>
      <w:r>
        <w:rPr>
          <w:rFonts w:ascii="方正仿宋_GBK" w:eastAsia="方正仿宋_GBK" w:cs="方正仿宋_GBK" w:hint="eastAsia"/>
          <w:spacing w:val="-7"/>
          <w:sz w:val="32"/>
          <w:szCs w:val="32"/>
          <w:lang w:eastAsia="zh-CN"/>
        </w:rPr>
        <w:t>目以外</w:t>
      </w:r>
      <w:r>
        <w:rPr>
          <w:rFonts w:ascii="方正仿宋_GBK" w:eastAsia="方正仿宋_GBK" w:cs="方正仿宋_GBK" w:hint="eastAsia"/>
          <w:spacing w:val="-8"/>
          <w:sz w:val="32"/>
          <w:szCs w:val="32"/>
          <w:lang w:eastAsia="zh-CN"/>
        </w:rPr>
        <w:t>其他</w:t>
      </w:r>
    </w:p>
    <w:p>
      <w:pPr>
        <w:spacing w:line="230" w:lineRule="auto"/>
        <w:rPr>
          <w:rFonts w:ascii="方正仿宋_GBK" w:eastAsia="方正仿宋_GBK" w:cs="方正仿宋_GBK"/>
          <w:sz w:val="32"/>
          <w:szCs w:val="32"/>
          <w:lang w:eastAsia="zh-CN"/>
        </w:rPr>
        <w:sectPr>
          <w:pgSz w:w="11913" w:h="16443"/>
          <w:pgMar w:top="1397" w:right="1786" w:bottom="0" w:left="1782" w:header="0" w:footer="0" w:gutter="0"/>
          <w:docGrid w:linePitch="312" w:charSpace="0"/>
        </w:sectPr>
      </w:pPr>
    </w:p>
    <w:p>
      <w:pPr>
        <w:spacing w:before="211" w:line="230" w:lineRule="auto"/>
        <w:ind w:left="44"/>
        <w:rPr>
          <w:rFonts w:ascii="方正仿宋_GBK" w:eastAsia="方正仿宋_GBK" w:cs="方正仿宋_GBK"/>
          <w:sz w:val="32"/>
          <w:szCs w:val="32"/>
          <w:lang w:eastAsia="zh-CN"/>
        </w:rPr>
      </w:pPr>
      <w:r>
        <w:rPr>
          <w:lang w:eastAsia="zh-CN"/>
        </w:rPr>
        <w:drawing>
          <wp:anchor distT="0" distB="0" distL="0" distR="0" simplePos="0" relativeHeight="44"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64" name="IM 210"/>
            <wp:cNvGraphicFramePr>
              <a:graphicFrameLocks noChangeAspect="1"/>
            </wp:cNvGraphicFramePr>
            <a:graphic>
              <a:graphicData uri="http://schemas.openxmlformats.org/drawingml/2006/picture">
                <pic:pic>
                  <pic:nvPicPr>
                    <pic:cNvPr id="66" name="IM 210 66"/>
                    <pic:cNvPicPr/>
                  </pic:nvPicPr>
                  <pic:blipFill>
                    <a:blip r:embed="rId26"/>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hint="eastAsia"/>
          <w:spacing w:val="-3"/>
          <w:sz w:val="32"/>
          <w:szCs w:val="32"/>
          <w:lang w:eastAsia="zh-CN"/>
        </w:rPr>
        <w:t>缉私警察方面的支出。</w:t>
      </w:r>
    </w:p>
    <w:p>
      <w:pPr>
        <w:spacing w:before="111" w:line="228" w:lineRule="auto"/>
        <w:ind w:left="685"/>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十四、教育支出（类）普通教育（款）高等教育</w:t>
      </w:r>
    </w:p>
    <w:p>
      <w:pPr>
        <w:spacing w:before="115" w:line="259" w:lineRule="auto"/>
        <w:ind w:left="38" w:right="324" w:hanging="38"/>
        <w:rPr>
          <w:rFonts w:ascii="方正仿宋_GBK" w:eastAsia="方正仿宋_GBK" w:cs="方正仿宋_GBK"/>
          <w:sz w:val="32"/>
          <w:szCs w:val="32"/>
          <w:lang w:eastAsia="zh-CN"/>
        </w:rPr>
      </w:pPr>
      <w:r>
        <w:rPr>
          <w:rFonts w:ascii="方正仿宋_GBK" w:eastAsia="方正仿宋_GBK" w:cs="方正仿宋_GBK" w:hint="eastAsia"/>
          <w:b/>
          <w:bCs/>
          <w:spacing w:val="-1"/>
          <w:sz w:val="32"/>
          <w:szCs w:val="32"/>
          <w:lang w:eastAsia="zh-CN"/>
        </w:rPr>
        <w:t>（项</w:t>
      </w:r>
      <w:r>
        <w:rPr>
          <w:rFonts w:ascii="方正仿宋_GBK" w:eastAsia="方正仿宋_GBK" w:cs="方正仿宋_GBK" w:hint="eastAsia"/>
          <w:b/>
          <w:bCs/>
          <w:spacing w:val="13"/>
          <w:sz w:val="32"/>
          <w:szCs w:val="32"/>
          <w:lang w:eastAsia="zh-CN"/>
        </w:rPr>
        <w:t>）：</w:t>
      </w:r>
      <w:r>
        <w:rPr>
          <w:rFonts w:ascii="方正仿宋_GBK" w:eastAsia="方正仿宋_GBK" w:cs="方正仿宋_GBK" w:hint="eastAsia"/>
          <w:spacing w:val="-1"/>
          <w:sz w:val="32"/>
          <w:szCs w:val="32"/>
          <w:lang w:eastAsia="zh-CN"/>
        </w:rPr>
        <w:t>反映各部门举办的普通本科（包括研究生）教育</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8"/>
          <w:sz w:val="32"/>
          <w:szCs w:val="32"/>
          <w:lang w:eastAsia="zh-CN"/>
        </w:rPr>
        <w:t>支出。</w:t>
      </w:r>
    </w:p>
    <w:p>
      <w:pPr>
        <w:spacing w:before="103" w:line="269" w:lineRule="auto"/>
        <w:ind w:left="29" w:right="300" w:firstLine="655"/>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十五、社会保障和就业支出（类）人力资源和社会保</w:t>
      </w:r>
      <w:r>
        <w:rPr>
          <w:rFonts w:ascii="方正仿宋_GBK" w:eastAsia="方正仿宋_GBK" w:cs="方正仿宋_GBK"/>
          <w:spacing w:val="11"/>
          <w:sz w:val="32"/>
          <w:szCs w:val="32"/>
          <w:lang w:eastAsia="zh-CN"/>
        </w:rPr>
        <w:t xml:space="preserve"> </w:t>
      </w:r>
      <w:r>
        <w:rPr>
          <w:rFonts w:ascii="方正仿宋_GBK" w:eastAsia="方正仿宋_GBK" w:cs="方正仿宋_GBK" w:hint="eastAsia"/>
          <w:b/>
          <w:bCs/>
          <w:spacing w:val="-3"/>
          <w:sz w:val="32"/>
          <w:szCs w:val="32"/>
          <w:lang w:eastAsia="zh-CN"/>
        </w:rPr>
        <w:t>障管理事务（款）政府特殊津贴（项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3"/>
          <w:sz w:val="32"/>
          <w:szCs w:val="32"/>
          <w:lang w:eastAsia="zh-CN"/>
        </w:rPr>
        <w:t>反映海关</w:t>
      </w:r>
      <w:r>
        <w:rPr>
          <w:rFonts w:ascii="方正仿宋_GBK" w:eastAsia="方正仿宋_GBK" w:cs="方正仿宋_GBK" w:hint="eastAsia"/>
          <w:spacing w:val="-4"/>
          <w:sz w:val="32"/>
          <w:szCs w:val="32"/>
          <w:lang w:eastAsia="zh-CN"/>
        </w:rPr>
        <w:t>与政府</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2"/>
          <w:sz w:val="32"/>
          <w:szCs w:val="32"/>
          <w:lang w:eastAsia="zh-CN"/>
        </w:rPr>
        <w:t>特殊津贴相关的支出。</w:t>
      </w:r>
    </w:p>
    <w:p>
      <w:pPr>
        <w:spacing w:before="109" w:line="262" w:lineRule="auto"/>
        <w:ind w:left="38" w:right="300" w:firstLine="647"/>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十六、社会保障和就业支出（类）行政事业单位养老</w:t>
      </w:r>
      <w:r>
        <w:rPr>
          <w:rFonts w:ascii="方正仿宋_GBK" w:eastAsia="方正仿宋_GBK" w:cs="方正仿宋_GBK"/>
          <w:spacing w:val="11"/>
          <w:sz w:val="32"/>
          <w:szCs w:val="32"/>
          <w:lang w:eastAsia="zh-CN"/>
        </w:rPr>
        <w:t xml:space="preserve"> </w:t>
      </w:r>
      <w:r>
        <w:rPr>
          <w:rFonts w:ascii="方正仿宋_GBK" w:eastAsia="方正仿宋_GBK" w:cs="方正仿宋_GBK" w:hint="eastAsia"/>
          <w:b/>
          <w:bCs/>
          <w:spacing w:val="-3"/>
          <w:sz w:val="32"/>
          <w:szCs w:val="32"/>
          <w:lang w:eastAsia="zh-CN"/>
        </w:rPr>
        <w:t>支出（款</w:t>
      </w:r>
      <w:r>
        <w:rPr>
          <w:rFonts w:ascii="方正仿宋_GBK" w:eastAsia="方正仿宋_GBK" w:cs="方正仿宋_GBK" w:hint="eastAsia"/>
          <w:b/>
          <w:bCs/>
          <w:spacing w:val="16"/>
          <w:sz w:val="32"/>
          <w:szCs w:val="32"/>
          <w:lang w:eastAsia="zh-CN"/>
        </w:rPr>
        <w:t>）：</w:t>
      </w:r>
      <w:r>
        <w:rPr>
          <w:rFonts w:ascii="方正仿宋_GBK" w:eastAsia="方正仿宋_GBK" w:cs="方正仿宋_GBK" w:hint="eastAsia"/>
          <w:spacing w:val="-3"/>
          <w:sz w:val="32"/>
          <w:szCs w:val="32"/>
          <w:lang w:eastAsia="zh-CN"/>
        </w:rPr>
        <w:t>反映用于海关行政事业单位离退休方面的支</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12"/>
          <w:sz w:val="32"/>
          <w:szCs w:val="32"/>
          <w:lang w:eastAsia="zh-CN"/>
        </w:rPr>
        <w:t>出。</w:t>
      </w:r>
    </w:p>
    <w:p>
      <w:pPr>
        <w:spacing w:before="148" w:line="281" w:lineRule="auto"/>
        <w:ind w:left="33" w:right="314" w:firstLine="641"/>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行政单位离退休（项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3"/>
          <w:sz w:val="32"/>
          <w:szCs w:val="32"/>
          <w:lang w:eastAsia="zh-CN"/>
        </w:rPr>
        <w:t>反映海关系统行政单位（包</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括参照公务员管理的事业单位）开支的离退休支出。</w:t>
      </w:r>
    </w:p>
    <w:p>
      <w:pPr>
        <w:spacing w:before="23" w:line="281" w:lineRule="auto"/>
        <w:ind w:left="60" w:right="314" w:firstLine="620"/>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事业单位离退休（项</w:t>
      </w:r>
      <w:r>
        <w:rPr>
          <w:rFonts w:ascii="方正仿宋_GBK" w:eastAsia="方正仿宋_GBK" w:cs="方正仿宋_GBK" w:hint="eastAsia"/>
          <w:b/>
          <w:bCs/>
          <w:spacing w:val="16"/>
          <w:sz w:val="32"/>
          <w:szCs w:val="32"/>
          <w:lang w:eastAsia="zh-CN"/>
        </w:rPr>
        <w:t>）：</w:t>
      </w:r>
      <w:r>
        <w:rPr>
          <w:rFonts w:ascii="方正仿宋_GBK" w:eastAsia="方正仿宋_GBK" w:cs="方正仿宋_GBK" w:hint="eastAsia"/>
          <w:spacing w:val="-4"/>
          <w:sz w:val="32"/>
          <w:szCs w:val="32"/>
          <w:lang w:eastAsia="zh-CN"/>
        </w:rPr>
        <w:t>反映海关系统事业单位开支</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7"/>
          <w:sz w:val="32"/>
          <w:szCs w:val="32"/>
          <w:lang w:eastAsia="zh-CN"/>
        </w:rPr>
        <w:t>的离退休经费。</w:t>
      </w:r>
    </w:p>
    <w:p>
      <w:pPr>
        <w:spacing w:before="29" w:line="278" w:lineRule="auto"/>
        <w:ind w:left="34" w:right="310" w:firstLine="660"/>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离退休人员管理机构（项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4"/>
          <w:sz w:val="32"/>
          <w:szCs w:val="32"/>
          <w:lang w:eastAsia="zh-CN"/>
        </w:rPr>
        <w:t>反映海关系统为离退休</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人员提供管理服务的离退休管理机构的支出。</w:t>
      </w:r>
    </w:p>
    <w:p>
      <w:pPr>
        <w:spacing w:before="32" w:line="283" w:lineRule="auto"/>
        <w:ind w:left="40" w:right="300" w:firstLine="631"/>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机关事业单位基本养老保险缴费支出（项</w:t>
      </w:r>
      <w:r>
        <w:rPr>
          <w:rFonts w:ascii="方正仿宋_GBK" w:eastAsia="方正仿宋_GBK" w:cs="方正仿宋_GBK" w:hint="eastAsia"/>
          <w:b/>
          <w:bCs/>
          <w:spacing w:val="13"/>
          <w:sz w:val="32"/>
          <w:szCs w:val="32"/>
          <w:lang w:eastAsia="zh-CN"/>
        </w:rPr>
        <w:t>）：</w:t>
      </w:r>
      <w:r>
        <w:rPr>
          <w:rFonts w:ascii="方正仿宋_GBK" w:eastAsia="方正仿宋_GBK" w:cs="方正仿宋_GBK" w:hint="eastAsia"/>
          <w:spacing w:val="-4"/>
          <w:sz w:val="32"/>
          <w:szCs w:val="32"/>
          <w:lang w:eastAsia="zh-CN"/>
        </w:rPr>
        <w:t>反映机</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关事业单位实施养老保险制度由单位缴纳的基本养</w:t>
      </w:r>
      <w:r>
        <w:rPr>
          <w:rFonts w:ascii="方正仿宋_GBK" w:eastAsia="方正仿宋_GBK" w:cs="方正仿宋_GBK" w:hint="eastAsia"/>
          <w:spacing w:val="-2"/>
          <w:sz w:val="32"/>
          <w:szCs w:val="32"/>
          <w:lang w:eastAsia="zh-CN"/>
        </w:rPr>
        <w:t>老保险</w:t>
      </w:r>
      <w:r>
        <w:rPr>
          <w:rFonts w:ascii="方正仿宋_GBK" w:eastAsia="方正仿宋_GBK" w:cs="方正仿宋_GBK"/>
          <w:sz w:val="32"/>
          <w:szCs w:val="32"/>
          <w:lang w:eastAsia="zh-CN"/>
        </w:rPr>
        <w:t xml:space="preserve"> </w:t>
      </w:r>
      <w:r>
        <w:rPr>
          <w:rFonts w:ascii="方正仿宋_GBK" w:eastAsia="方正仿宋_GBK" w:cs="方正仿宋_GBK" w:hint="eastAsia"/>
          <w:spacing w:val="-6"/>
          <w:sz w:val="32"/>
          <w:szCs w:val="32"/>
          <w:lang w:eastAsia="zh-CN"/>
        </w:rPr>
        <w:t>费支出。</w:t>
      </w:r>
    </w:p>
    <w:p>
      <w:pPr>
        <w:spacing w:before="26" w:line="281" w:lineRule="auto"/>
        <w:ind w:left="44" w:right="305" w:firstLine="628"/>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机关事业单位职业年金缴费支出（项</w:t>
      </w:r>
      <w:r>
        <w:rPr>
          <w:rFonts w:ascii="方正仿宋_GBK" w:eastAsia="方正仿宋_GBK" w:cs="方正仿宋_GBK" w:hint="eastAsia"/>
          <w:b/>
          <w:bCs/>
          <w:spacing w:val="14"/>
          <w:sz w:val="32"/>
          <w:szCs w:val="32"/>
          <w:lang w:eastAsia="zh-CN"/>
        </w:rPr>
        <w:t>）：</w:t>
      </w:r>
      <w:r>
        <w:rPr>
          <w:rFonts w:ascii="方正仿宋_GBK" w:eastAsia="方正仿宋_GBK" w:cs="方正仿宋_GBK" w:hint="eastAsia"/>
          <w:spacing w:val="-4"/>
          <w:sz w:val="32"/>
          <w:szCs w:val="32"/>
          <w:lang w:eastAsia="zh-CN"/>
        </w:rPr>
        <w:t>反映机关事</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业单位实施养老保险制度由单位实际缴纳的职</w:t>
      </w:r>
      <w:r>
        <w:rPr>
          <w:rFonts w:ascii="方正仿宋_GBK" w:eastAsia="方正仿宋_GBK" w:cs="方正仿宋_GBK" w:hint="eastAsia"/>
          <w:spacing w:val="-2"/>
          <w:sz w:val="32"/>
          <w:szCs w:val="32"/>
          <w:lang w:eastAsia="zh-CN"/>
        </w:rPr>
        <w:t>业年金支</w:t>
      </w:r>
    </w:p>
    <w:p>
      <w:pPr>
        <w:spacing w:before="34" w:line="204" w:lineRule="auto"/>
        <w:ind w:left="72"/>
        <w:rPr>
          <w:rFonts w:ascii="方正仿宋_GBK" w:eastAsia="方正仿宋_GBK" w:cs="方正仿宋_GBK"/>
          <w:sz w:val="32"/>
          <w:szCs w:val="32"/>
          <w:lang w:eastAsia="zh-CN"/>
        </w:rPr>
      </w:pPr>
      <w:r>
        <w:rPr>
          <w:rFonts w:ascii="方正仿宋_GBK" w:eastAsia="方正仿宋_GBK" w:cs="方正仿宋_GBK" w:hint="eastAsia"/>
          <w:spacing w:val="-29"/>
          <w:sz w:val="32"/>
          <w:szCs w:val="32"/>
          <w:lang w:eastAsia="zh-CN"/>
        </w:rPr>
        <w:t>出。</w:t>
      </w:r>
    </w:p>
    <w:p>
      <w:pPr>
        <w:spacing w:before="150" w:line="281" w:lineRule="auto"/>
        <w:ind w:right="1265" w:firstLine="685"/>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十七、卫生健康支出（类）行政事业单位医疗</w:t>
      </w:r>
      <w:r>
        <w:rPr>
          <w:rFonts w:ascii="方正仿宋_GBK" w:eastAsia="方正仿宋_GBK" w:cs="方正仿宋_GBK"/>
          <w:spacing w:val="5"/>
          <w:sz w:val="32"/>
          <w:szCs w:val="32"/>
          <w:lang w:eastAsia="zh-CN"/>
        </w:rPr>
        <w:t xml:space="preserve"> </w:t>
      </w:r>
      <w:r>
        <w:rPr>
          <w:rFonts w:ascii="方正仿宋_GBK" w:eastAsia="方正仿宋_GBK" w:cs="方正仿宋_GBK" w:hint="eastAsia"/>
          <w:b/>
          <w:bCs/>
          <w:spacing w:val="-1"/>
          <w:sz w:val="32"/>
          <w:szCs w:val="32"/>
          <w:lang w:eastAsia="zh-CN"/>
        </w:rPr>
        <w:t>（款</w:t>
      </w:r>
      <w:r>
        <w:rPr>
          <w:rFonts w:ascii="方正仿宋_GBK" w:eastAsia="方正仿宋_GBK" w:cs="方正仿宋_GBK" w:hint="eastAsia"/>
          <w:b/>
          <w:bCs/>
          <w:spacing w:val="11"/>
          <w:sz w:val="32"/>
          <w:szCs w:val="32"/>
          <w:lang w:eastAsia="zh-CN"/>
        </w:rPr>
        <w:t>）：</w:t>
      </w:r>
      <w:r>
        <w:rPr>
          <w:rFonts w:ascii="方正仿宋_GBK" w:eastAsia="方正仿宋_GBK" w:cs="方正仿宋_GBK" w:hint="eastAsia"/>
          <w:spacing w:val="-1"/>
          <w:sz w:val="32"/>
          <w:szCs w:val="32"/>
          <w:lang w:eastAsia="zh-CN"/>
        </w:rPr>
        <w:t>反映行政事业单位医疗方面的支出。</w:t>
      </w:r>
    </w:p>
    <w:p>
      <w:pPr>
        <w:spacing w:line="281" w:lineRule="auto"/>
        <w:rPr>
          <w:rFonts w:ascii="方正仿宋_GBK" w:eastAsia="方正仿宋_GBK" w:cs="方正仿宋_GBK"/>
          <w:sz w:val="32"/>
          <w:szCs w:val="32"/>
          <w:lang w:eastAsia="zh-CN"/>
        </w:rPr>
        <w:sectPr>
          <w:pgSz w:w="11913" w:h="16443"/>
          <w:pgMar w:top="1397" w:right="1786" w:bottom="0" w:left="1782" w:header="0" w:footer="0" w:gutter="0"/>
          <w:docGrid w:linePitch="312" w:charSpace="0"/>
        </w:sectPr>
      </w:pPr>
    </w:p>
    <w:p>
      <w:pPr>
        <w:spacing w:before="214" w:line="283" w:lineRule="auto"/>
        <w:ind w:right="314" w:firstLine="675"/>
        <w:jc w:val="both"/>
        <w:rPr>
          <w:rFonts w:ascii="方正仿宋_GBK" w:eastAsia="方正仿宋_GBK" w:cs="方正仿宋_GBK"/>
          <w:sz w:val="32"/>
          <w:szCs w:val="32"/>
          <w:lang w:eastAsia="zh-CN"/>
        </w:rPr>
      </w:pPr>
      <w:r>
        <w:rPr>
          <w:lang w:eastAsia="zh-CN"/>
        </w:rPr>
        <w:drawing>
          <wp:anchor distT="0" distB="0" distL="0" distR="0" simplePos="0" relativeHeight="45"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67" name="IM 212"/>
            <wp:cNvGraphicFramePr>
              <a:graphicFrameLocks noChangeAspect="1"/>
            </wp:cNvGraphicFramePr>
            <a:graphic>
              <a:graphicData uri="http://schemas.openxmlformats.org/drawingml/2006/picture">
                <pic:pic>
                  <pic:nvPicPr>
                    <pic:cNvPr id="69" name="IM 212 69"/>
                    <pic:cNvPicPr/>
                  </pic:nvPicPr>
                  <pic:blipFill>
                    <a:blip r:embed="rId27"/>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hint="eastAsia"/>
          <w:b/>
          <w:bCs/>
          <w:spacing w:val="-3"/>
          <w:sz w:val="32"/>
          <w:szCs w:val="32"/>
          <w:lang w:eastAsia="zh-CN"/>
        </w:rPr>
        <w:t>行政单位医疗（项</w:t>
      </w:r>
      <w:r>
        <w:rPr>
          <w:rFonts w:ascii="方正仿宋_GBK" w:eastAsia="方正仿宋_GBK" w:cs="方正仿宋_GBK" w:hint="eastAsia"/>
          <w:b/>
          <w:bCs/>
          <w:spacing w:val="11"/>
          <w:sz w:val="32"/>
          <w:szCs w:val="32"/>
          <w:lang w:eastAsia="zh-CN"/>
        </w:rPr>
        <w:t>）：</w:t>
      </w:r>
      <w:r>
        <w:rPr>
          <w:rFonts w:ascii="方正仿宋_GBK" w:eastAsia="方正仿宋_GBK" w:cs="方正仿宋_GBK" w:hint="eastAsia"/>
          <w:spacing w:val="-3"/>
          <w:sz w:val="32"/>
          <w:szCs w:val="32"/>
          <w:lang w:eastAsia="zh-CN"/>
        </w:rPr>
        <w:t>反映财政部门安排的行政单位</w:t>
      </w:r>
      <w:r>
        <w:rPr>
          <w:rFonts w:ascii="方正仿宋_GBK" w:eastAsia="方正仿宋_GBK" w:cs="方正仿宋_GBK"/>
          <w:sz w:val="32"/>
          <w:szCs w:val="32"/>
          <w:lang w:eastAsia="zh-CN"/>
        </w:rPr>
        <w:t xml:space="preserve"> </w:t>
      </w:r>
      <w:r>
        <w:rPr>
          <w:rFonts w:ascii="方正仿宋_GBK" w:eastAsia="方正仿宋_GBK" w:cs="方正仿宋_GBK" w:hint="eastAsia"/>
          <w:sz w:val="32"/>
          <w:szCs w:val="32"/>
          <w:lang w:eastAsia="zh-CN"/>
        </w:rPr>
        <w:t>（包括参照公务员管理的事业单位）基本医疗保险缴费经</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费，未参加医疗保险的行政单位的公费医疗经费，按国家</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规定享受离休人员、红军老战士待遇人员的医疗经费。</w:t>
      </w:r>
    </w:p>
    <w:p>
      <w:pPr>
        <w:spacing w:before="28" w:line="283" w:lineRule="auto"/>
        <w:ind w:left="33" w:right="314" w:firstLine="648"/>
        <w:jc w:val="both"/>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事业单位医疗（项</w:t>
      </w:r>
      <w:r>
        <w:rPr>
          <w:rFonts w:ascii="方正仿宋_GBK" w:eastAsia="方正仿宋_GBK" w:cs="方正仿宋_GBK" w:hint="eastAsia"/>
          <w:b/>
          <w:bCs/>
          <w:spacing w:val="18"/>
          <w:sz w:val="32"/>
          <w:szCs w:val="32"/>
          <w:lang w:eastAsia="zh-CN"/>
        </w:rPr>
        <w:t>）：</w:t>
      </w:r>
      <w:r>
        <w:rPr>
          <w:rFonts w:ascii="方正仿宋_GBK" w:eastAsia="方正仿宋_GBK" w:cs="方正仿宋_GBK" w:hint="eastAsia"/>
          <w:spacing w:val="-4"/>
          <w:sz w:val="32"/>
          <w:szCs w:val="32"/>
          <w:lang w:eastAsia="zh-CN"/>
        </w:rPr>
        <w:t>反映财政部门安排的事业单位</w:t>
      </w:r>
      <w:r>
        <w:rPr>
          <w:rFonts w:ascii="方正仿宋_GBK" w:eastAsia="方正仿宋_GBK" w:cs="方正仿宋_GBK"/>
          <w:spacing w:val="1"/>
          <w:sz w:val="32"/>
          <w:szCs w:val="32"/>
          <w:lang w:eastAsia="zh-CN"/>
        </w:rPr>
        <w:t xml:space="preserve"> </w:t>
      </w:r>
      <w:r>
        <w:rPr>
          <w:rFonts w:ascii="方正仿宋_GBK" w:eastAsia="方正仿宋_GBK" w:cs="方正仿宋_GBK" w:hint="eastAsia"/>
          <w:spacing w:val="-1"/>
          <w:sz w:val="32"/>
          <w:szCs w:val="32"/>
          <w:lang w:eastAsia="zh-CN"/>
        </w:rPr>
        <w:t>基本医疗保险缴费经费，未参加医疗保险的事业单位的公</w:t>
      </w:r>
      <w:r>
        <w:rPr>
          <w:rFonts w:ascii="方正仿宋_GBK" w:eastAsia="方正仿宋_GBK" w:cs="方正仿宋_GBK"/>
          <w:spacing w:val="5"/>
          <w:sz w:val="32"/>
          <w:szCs w:val="32"/>
          <w:lang w:eastAsia="zh-CN"/>
        </w:rPr>
        <w:t xml:space="preserve"> </w:t>
      </w:r>
      <w:r>
        <w:rPr>
          <w:rFonts w:ascii="方正仿宋_GBK" w:eastAsia="方正仿宋_GBK" w:cs="方正仿宋_GBK" w:hint="eastAsia"/>
          <w:spacing w:val="-1"/>
          <w:sz w:val="32"/>
          <w:szCs w:val="32"/>
          <w:lang w:eastAsia="zh-CN"/>
        </w:rPr>
        <w:t>费医疗经费，按国家规定享受离休人员待遇的医疗经费。</w:t>
      </w:r>
    </w:p>
    <w:p>
      <w:pPr>
        <w:spacing w:before="33" w:line="281" w:lineRule="auto"/>
        <w:ind w:left="67" w:right="314" w:firstLine="608"/>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公务员医疗补助（项</w:t>
      </w:r>
      <w:r>
        <w:rPr>
          <w:rFonts w:ascii="方正仿宋_GBK" w:eastAsia="方正仿宋_GBK" w:cs="方正仿宋_GBK" w:hint="eastAsia"/>
          <w:b/>
          <w:bCs/>
          <w:spacing w:val="9"/>
          <w:sz w:val="32"/>
          <w:szCs w:val="32"/>
          <w:lang w:eastAsia="zh-CN"/>
        </w:rPr>
        <w:t>）：</w:t>
      </w:r>
      <w:r>
        <w:rPr>
          <w:rFonts w:ascii="方正仿宋_GBK" w:eastAsia="方正仿宋_GBK" w:cs="方正仿宋_GBK" w:hint="eastAsia"/>
          <w:spacing w:val="-3"/>
          <w:sz w:val="32"/>
          <w:szCs w:val="32"/>
          <w:lang w:eastAsia="zh-CN"/>
        </w:rPr>
        <w:t>反映财政部门安排的公务员</w:t>
      </w:r>
      <w:r>
        <w:rPr>
          <w:rFonts w:ascii="方正仿宋_GBK" w:eastAsia="方正仿宋_GBK" w:cs="方正仿宋_GBK"/>
          <w:sz w:val="32"/>
          <w:szCs w:val="32"/>
          <w:lang w:eastAsia="zh-CN"/>
        </w:rPr>
        <w:t xml:space="preserve"> </w:t>
      </w:r>
      <w:r>
        <w:rPr>
          <w:rFonts w:ascii="方正仿宋_GBK" w:eastAsia="方正仿宋_GBK" w:cs="方正仿宋_GBK" w:hint="eastAsia"/>
          <w:spacing w:val="-8"/>
          <w:sz w:val="32"/>
          <w:szCs w:val="32"/>
          <w:lang w:eastAsia="zh-CN"/>
        </w:rPr>
        <w:t>医疗补助经费。</w:t>
      </w:r>
    </w:p>
    <w:p>
      <w:pPr>
        <w:spacing w:before="23" w:line="283" w:lineRule="auto"/>
        <w:ind w:left="53" w:right="300" w:firstLine="631"/>
        <w:jc w:val="both"/>
        <w:rPr>
          <w:rFonts w:ascii="方正仿宋_GBK" w:eastAsia="方正仿宋_GBK" w:cs="方正仿宋_GBK"/>
          <w:sz w:val="32"/>
          <w:szCs w:val="32"/>
          <w:lang w:eastAsia="zh-CN"/>
        </w:rPr>
      </w:pPr>
      <w:r>
        <w:rPr>
          <w:rFonts w:ascii="方正仿宋_GBK" w:eastAsia="方正仿宋_GBK" w:cs="方正仿宋_GBK" w:hint="eastAsia"/>
          <w:b/>
          <w:bCs/>
          <w:spacing w:val="-5"/>
          <w:sz w:val="32"/>
          <w:szCs w:val="32"/>
          <w:lang w:eastAsia="zh-CN"/>
        </w:rPr>
        <w:t>十八、住房保障支出（类）住房改革支出（款</w:t>
      </w:r>
      <w:r>
        <w:rPr>
          <w:rFonts w:ascii="方正仿宋_GBK" w:eastAsia="方正仿宋_GBK" w:cs="方正仿宋_GBK" w:hint="eastAsia"/>
          <w:b/>
          <w:bCs/>
          <w:spacing w:val="14"/>
          <w:sz w:val="32"/>
          <w:szCs w:val="32"/>
          <w:lang w:eastAsia="zh-CN"/>
        </w:rPr>
        <w:t>）：</w:t>
      </w:r>
      <w:r>
        <w:rPr>
          <w:rFonts w:ascii="方正仿宋_GBK" w:eastAsia="方正仿宋_GBK" w:cs="方正仿宋_GBK" w:hint="eastAsia"/>
          <w:spacing w:val="-5"/>
          <w:sz w:val="32"/>
          <w:szCs w:val="32"/>
          <w:lang w:eastAsia="zh-CN"/>
        </w:rPr>
        <w:t>反</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映行政事业单位用财政拨款资金和其他资金等安排的住房</w:t>
      </w:r>
      <w:r>
        <w:rPr>
          <w:rFonts w:ascii="方正仿宋_GBK" w:eastAsia="方正仿宋_GBK" w:cs="方正仿宋_GBK"/>
          <w:spacing w:val="10"/>
          <w:sz w:val="32"/>
          <w:szCs w:val="32"/>
          <w:lang w:eastAsia="zh-CN"/>
        </w:rPr>
        <w:t xml:space="preserve"> </w:t>
      </w:r>
      <w:r>
        <w:rPr>
          <w:rFonts w:ascii="方正仿宋_GBK" w:eastAsia="方正仿宋_GBK" w:cs="方正仿宋_GBK" w:hint="eastAsia"/>
          <w:spacing w:val="-8"/>
          <w:sz w:val="32"/>
          <w:szCs w:val="32"/>
          <w:lang w:eastAsia="zh-CN"/>
        </w:rPr>
        <w:t>改革支出。</w:t>
      </w:r>
    </w:p>
    <w:p>
      <w:pPr>
        <w:spacing w:before="24" w:line="283" w:lineRule="auto"/>
        <w:ind w:left="34" w:right="314" w:firstLine="642"/>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住房公积金（项</w:t>
      </w:r>
      <w:r>
        <w:rPr>
          <w:rFonts w:ascii="方正仿宋_GBK" w:eastAsia="方正仿宋_GBK" w:cs="方正仿宋_GBK" w:hint="eastAsia"/>
          <w:b/>
          <w:bCs/>
          <w:spacing w:val="12"/>
          <w:sz w:val="32"/>
          <w:szCs w:val="32"/>
          <w:lang w:eastAsia="zh-CN"/>
        </w:rPr>
        <w:t>）：</w:t>
      </w:r>
      <w:r>
        <w:rPr>
          <w:rFonts w:ascii="方正仿宋_GBK" w:eastAsia="方正仿宋_GBK" w:cs="方正仿宋_GBK" w:hint="eastAsia"/>
          <w:spacing w:val="-3"/>
          <w:sz w:val="32"/>
          <w:szCs w:val="32"/>
          <w:lang w:eastAsia="zh-CN"/>
        </w:rPr>
        <w:t>反映行政事业单位按人力资源和</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社会保障部、财政部规定的基本工资和津贴补贴以及规定</w:t>
      </w:r>
      <w:r>
        <w:rPr>
          <w:rFonts w:ascii="方正仿宋_GBK" w:eastAsia="方正仿宋_GBK" w:cs="方正仿宋_GBK"/>
          <w:spacing w:val="4"/>
          <w:sz w:val="32"/>
          <w:szCs w:val="32"/>
          <w:lang w:eastAsia="zh-CN"/>
        </w:rPr>
        <w:t xml:space="preserve"> </w:t>
      </w:r>
      <w:r>
        <w:rPr>
          <w:rFonts w:ascii="方正仿宋_GBK" w:eastAsia="方正仿宋_GBK" w:cs="方正仿宋_GBK" w:hint="eastAsia"/>
          <w:spacing w:val="-2"/>
          <w:sz w:val="32"/>
          <w:szCs w:val="32"/>
          <w:lang w:eastAsia="zh-CN"/>
        </w:rPr>
        <w:t>比例为职工缴纳的住房公积金。</w:t>
      </w:r>
    </w:p>
    <w:p>
      <w:pPr>
        <w:spacing w:before="21" w:line="281" w:lineRule="auto"/>
        <w:ind w:left="38" w:right="319" w:firstLine="634"/>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提租补贴（项</w:t>
      </w:r>
      <w:r>
        <w:rPr>
          <w:rFonts w:ascii="方正仿宋_GBK" w:eastAsia="方正仿宋_GBK" w:cs="方正仿宋_GBK" w:hint="eastAsia"/>
          <w:b/>
          <w:bCs/>
          <w:spacing w:val="13"/>
          <w:sz w:val="32"/>
          <w:szCs w:val="32"/>
          <w:lang w:eastAsia="zh-CN"/>
        </w:rPr>
        <w:t>）：</w:t>
      </w:r>
      <w:r>
        <w:rPr>
          <w:rFonts w:ascii="方正仿宋_GBK" w:eastAsia="方正仿宋_GBK" w:cs="方正仿宋_GBK" w:hint="eastAsia"/>
          <w:spacing w:val="-3"/>
          <w:sz w:val="32"/>
          <w:szCs w:val="32"/>
          <w:lang w:eastAsia="zh-CN"/>
        </w:rPr>
        <w:t>反映按房改政策规定的标准，行政</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事业单位向职工（含离退休人员）发放的租金补</w:t>
      </w:r>
      <w:r>
        <w:rPr>
          <w:rFonts w:ascii="方正仿宋_GBK" w:eastAsia="方正仿宋_GBK" w:cs="方正仿宋_GBK" w:hint="eastAsia"/>
          <w:spacing w:val="-2"/>
          <w:sz w:val="32"/>
          <w:szCs w:val="32"/>
          <w:lang w:eastAsia="zh-CN"/>
        </w:rPr>
        <w:t>贴。</w:t>
      </w:r>
    </w:p>
    <w:p>
      <w:pPr>
        <w:spacing w:before="29" w:line="283" w:lineRule="auto"/>
        <w:ind w:left="30" w:right="319" w:firstLine="648"/>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购房补贴（项</w:t>
      </w:r>
      <w:r>
        <w:rPr>
          <w:rFonts w:ascii="方正仿宋_GBK" w:eastAsia="方正仿宋_GBK" w:cs="方正仿宋_GBK" w:hint="eastAsia"/>
          <w:b/>
          <w:bCs/>
          <w:spacing w:val="10"/>
          <w:sz w:val="32"/>
          <w:szCs w:val="32"/>
          <w:lang w:eastAsia="zh-CN"/>
        </w:rPr>
        <w:t>）：</w:t>
      </w:r>
      <w:r>
        <w:rPr>
          <w:rFonts w:ascii="方正仿宋_GBK" w:eastAsia="方正仿宋_GBK" w:cs="方正仿宋_GBK" w:hint="eastAsia"/>
          <w:spacing w:val="-3"/>
          <w:sz w:val="32"/>
          <w:szCs w:val="32"/>
          <w:lang w:eastAsia="zh-CN"/>
        </w:rPr>
        <w:t>反映按房改政策规定，行政事业单</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位向符合条件的职工（含离退休人员）发放的用于购买住</w:t>
      </w:r>
      <w:r>
        <w:rPr>
          <w:rFonts w:ascii="方正仿宋_GBK" w:eastAsia="方正仿宋_GBK" w:cs="方正仿宋_GBK"/>
          <w:spacing w:val="7"/>
          <w:sz w:val="32"/>
          <w:szCs w:val="32"/>
          <w:lang w:eastAsia="zh-CN"/>
        </w:rPr>
        <w:t xml:space="preserve"> </w:t>
      </w:r>
      <w:r>
        <w:rPr>
          <w:rFonts w:ascii="方正仿宋_GBK" w:eastAsia="方正仿宋_GBK" w:cs="方正仿宋_GBK" w:hint="eastAsia"/>
          <w:spacing w:val="-4"/>
          <w:sz w:val="32"/>
          <w:szCs w:val="32"/>
          <w:lang w:eastAsia="zh-CN"/>
        </w:rPr>
        <w:t>房的补贴。</w:t>
      </w:r>
    </w:p>
    <w:p>
      <w:pPr>
        <w:spacing w:before="28" w:line="283" w:lineRule="auto"/>
        <w:ind w:left="30" w:right="319" w:firstLine="654"/>
        <w:jc w:val="both"/>
        <w:rPr>
          <w:rFonts w:ascii="方正仿宋_GBK" w:eastAsia="方正仿宋_GBK" w:cs="方正仿宋_GBK"/>
          <w:sz w:val="32"/>
          <w:szCs w:val="32"/>
          <w:lang w:eastAsia="zh-CN"/>
        </w:rPr>
      </w:pPr>
      <w:r>
        <w:rPr>
          <w:rFonts w:ascii="方正仿宋_GBK" w:eastAsia="方正仿宋_GBK" w:cs="方正仿宋_GBK" w:hint="eastAsia"/>
          <w:b/>
          <w:bCs/>
          <w:spacing w:val="-2"/>
          <w:sz w:val="32"/>
          <w:szCs w:val="32"/>
          <w:lang w:eastAsia="zh-CN"/>
        </w:rPr>
        <w:t>十九、结余分配：</w:t>
      </w:r>
      <w:r>
        <w:rPr>
          <w:rFonts w:ascii="方正仿宋_GBK" w:eastAsia="方正仿宋_GBK" w:cs="方正仿宋_GBK" w:hint="eastAsia"/>
          <w:spacing w:val="-2"/>
          <w:sz w:val="32"/>
          <w:szCs w:val="32"/>
          <w:lang w:eastAsia="zh-CN"/>
        </w:rPr>
        <w:t>指事业单位按照政府会计制</w:t>
      </w:r>
      <w:r>
        <w:rPr>
          <w:rFonts w:ascii="方正仿宋_GBK" w:eastAsia="方正仿宋_GBK" w:cs="方正仿宋_GBK" w:hint="eastAsia"/>
          <w:spacing w:val="-3"/>
          <w:sz w:val="32"/>
          <w:szCs w:val="32"/>
          <w:lang w:eastAsia="zh-CN"/>
        </w:rPr>
        <w:t>度的规</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定缴纳的所得税、提取的专用结余以及转入非财政拨款结</w:t>
      </w:r>
      <w:r>
        <w:rPr>
          <w:rFonts w:ascii="方正仿宋_GBK" w:eastAsia="方正仿宋_GBK" w:cs="方正仿宋_GBK"/>
          <w:spacing w:val="7"/>
          <w:sz w:val="32"/>
          <w:szCs w:val="32"/>
          <w:lang w:eastAsia="zh-CN"/>
        </w:rPr>
        <w:t xml:space="preserve"> </w:t>
      </w:r>
      <w:r>
        <w:rPr>
          <w:rFonts w:ascii="方正仿宋_GBK" w:eastAsia="方正仿宋_GBK" w:cs="方正仿宋_GBK" w:hint="eastAsia"/>
          <w:spacing w:val="-3"/>
          <w:sz w:val="32"/>
          <w:szCs w:val="32"/>
          <w:lang w:eastAsia="zh-CN"/>
        </w:rPr>
        <w:t>余的金额等。</w:t>
      </w:r>
    </w:p>
    <w:p>
      <w:pPr>
        <w:spacing w:before="26" w:line="228" w:lineRule="auto"/>
        <w:ind w:left="687"/>
        <w:rPr>
          <w:rFonts w:ascii="方正仿宋_GBK" w:eastAsia="方正仿宋_GBK" w:cs="方正仿宋_GBK"/>
          <w:sz w:val="32"/>
          <w:szCs w:val="32"/>
          <w:lang w:eastAsia="zh-CN"/>
        </w:rPr>
      </w:pPr>
      <w:r>
        <w:rPr>
          <w:rFonts w:ascii="方正仿宋_GBK" w:eastAsia="方正仿宋_GBK" w:cs="方正仿宋_GBK" w:hint="eastAsia"/>
          <w:b/>
          <w:bCs/>
          <w:spacing w:val="-3"/>
          <w:sz w:val="32"/>
          <w:szCs w:val="32"/>
          <w:lang w:eastAsia="zh-CN"/>
        </w:rPr>
        <w:t>二十、年末结转和结余：</w:t>
      </w:r>
      <w:r>
        <w:rPr>
          <w:rFonts w:ascii="方正仿宋_GBK" w:eastAsia="方正仿宋_GBK" w:cs="方正仿宋_GBK" w:hint="eastAsia"/>
          <w:spacing w:val="-3"/>
          <w:sz w:val="32"/>
          <w:szCs w:val="32"/>
          <w:lang w:eastAsia="zh-CN"/>
        </w:rPr>
        <w:t>指单位按有关规定结转到下</w:t>
      </w:r>
    </w:p>
    <w:p>
      <w:pPr>
        <w:spacing w:line="228" w:lineRule="auto"/>
        <w:rPr>
          <w:rFonts w:ascii="方正仿宋_GBK" w:eastAsia="方正仿宋_GBK" w:cs="方正仿宋_GBK"/>
          <w:sz w:val="32"/>
          <w:szCs w:val="32"/>
          <w:lang w:eastAsia="zh-CN"/>
        </w:rPr>
        <w:sectPr>
          <w:pgSz w:w="11913" w:h="16443"/>
          <w:pgMar w:top="1397" w:right="1786" w:bottom="0" w:left="1782" w:header="0" w:footer="0" w:gutter="0"/>
          <w:docGrid w:linePitch="312" w:charSpace="0"/>
        </w:sectPr>
      </w:pPr>
    </w:p>
    <w:p>
      <w:pPr>
        <w:spacing w:before="211" w:line="281" w:lineRule="auto"/>
        <w:ind w:left="78" w:right="329"/>
        <w:rPr>
          <w:rFonts w:ascii="方正仿宋_GBK" w:eastAsia="方正仿宋_GBK" w:cs="方正仿宋_GBK"/>
          <w:sz w:val="32"/>
          <w:szCs w:val="32"/>
          <w:lang w:eastAsia="zh-CN"/>
        </w:rPr>
      </w:pPr>
      <w:r>
        <w:rPr>
          <w:lang w:eastAsia="zh-CN"/>
        </w:rPr>
        <w:drawing>
          <wp:anchor distT="0" distB="0" distL="0" distR="0" simplePos="0" relativeHeight="46"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77" name="IM 214"/>
            <wp:cNvGraphicFramePr>
              <a:graphicFrameLocks noChangeAspect="1"/>
            </wp:cNvGraphicFramePr>
            <a:graphic>
              <a:graphicData uri="http://schemas.openxmlformats.org/drawingml/2006/picture">
                <pic:pic>
                  <pic:nvPicPr>
                    <pic:cNvPr id="79" name="IM 214 79"/>
                    <pic:cNvPicPr/>
                  </pic:nvPicPr>
                  <pic:blipFill>
                    <a:blip r:embed="rId30"/>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hint="eastAsia"/>
          <w:spacing w:val="-7"/>
          <w:sz w:val="32"/>
          <w:szCs w:val="32"/>
          <w:lang w:eastAsia="zh-CN"/>
        </w:rPr>
        <w:t>年或以后年度继续使用的资金，或项</w:t>
      </w:r>
      <w:r>
        <w:rPr>
          <w:rFonts w:ascii="方正仿宋_GBK" w:eastAsia="方正仿宋_GBK" w:cs="方正仿宋_GBK"/>
          <w:spacing w:val="-56"/>
          <w:sz w:val="32"/>
          <w:szCs w:val="32"/>
          <w:lang w:eastAsia="zh-CN"/>
        </w:rPr>
        <w:t xml:space="preserve"> </w:t>
      </w:r>
      <w:r>
        <w:rPr>
          <w:rFonts w:ascii="方正仿宋_GBK" w:eastAsia="方正仿宋_GBK" w:cs="方正仿宋_GBK" w:hint="eastAsia"/>
          <w:spacing w:val="-7"/>
          <w:sz w:val="32"/>
          <w:szCs w:val="32"/>
          <w:lang w:eastAsia="zh-CN"/>
        </w:rPr>
        <w:t>目</w:t>
      </w:r>
      <w:r>
        <w:rPr>
          <w:rFonts w:ascii="方正仿宋_GBK" w:eastAsia="方正仿宋_GBK" w:cs="方正仿宋_GBK"/>
          <w:spacing w:val="-72"/>
          <w:sz w:val="32"/>
          <w:szCs w:val="32"/>
          <w:lang w:eastAsia="zh-CN"/>
        </w:rPr>
        <w:t xml:space="preserve"> </w:t>
      </w:r>
      <w:r>
        <w:rPr>
          <w:rFonts w:ascii="方正仿宋_GBK" w:eastAsia="方正仿宋_GBK" w:cs="方正仿宋_GBK" w:hint="eastAsia"/>
          <w:spacing w:val="-7"/>
          <w:sz w:val="32"/>
          <w:szCs w:val="32"/>
          <w:lang w:eastAsia="zh-CN"/>
        </w:rPr>
        <w:t>已完成等产生的结</w:t>
      </w:r>
      <w:r>
        <w:rPr>
          <w:rFonts w:ascii="方正仿宋_GBK" w:eastAsia="方正仿宋_GBK" w:cs="方正仿宋_GBK"/>
          <w:sz w:val="32"/>
          <w:szCs w:val="32"/>
          <w:lang w:eastAsia="zh-CN"/>
        </w:rPr>
        <w:t xml:space="preserve"> </w:t>
      </w:r>
      <w:r>
        <w:rPr>
          <w:rFonts w:ascii="方正仿宋_GBK" w:eastAsia="方正仿宋_GBK" w:cs="方正仿宋_GBK" w:hint="eastAsia"/>
          <w:spacing w:val="-4"/>
          <w:sz w:val="32"/>
          <w:szCs w:val="32"/>
          <w:lang w:eastAsia="zh-CN"/>
        </w:rPr>
        <w:t>余资金。</w:t>
      </w:r>
    </w:p>
    <w:p>
      <w:pPr>
        <w:spacing w:before="26" w:line="259" w:lineRule="auto"/>
        <w:ind w:left="98" w:right="314" w:firstLine="637"/>
        <w:rPr>
          <w:rFonts w:ascii="方正仿宋_GBK" w:eastAsia="方正仿宋_GBK" w:cs="方正仿宋_GBK"/>
          <w:sz w:val="32"/>
          <w:szCs w:val="32"/>
          <w:lang w:eastAsia="zh-CN"/>
        </w:rPr>
      </w:pPr>
      <w:r>
        <w:rPr>
          <w:rFonts w:ascii="方正仿宋_GBK" w:eastAsia="方正仿宋_GBK" w:cs="方正仿宋_GBK" w:hint="eastAsia"/>
          <w:b/>
          <w:bCs/>
          <w:spacing w:val="-6"/>
          <w:sz w:val="32"/>
          <w:szCs w:val="32"/>
          <w:lang w:eastAsia="zh-CN"/>
        </w:rPr>
        <w:t>二十一、基本支出：</w:t>
      </w:r>
      <w:r>
        <w:rPr>
          <w:rFonts w:ascii="方正仿宋_GBK" w:eastAsia="方正仿宋_GBK" w:cs="方正仿宋_GBK" w:hint="eastAsia"/>
          <w:spacing w:val="-6"/>
          <w:sz w:val="32"/>
          <w:szCs w:val="32"/>
          <w:lang w:eastAsia="zh-CN"/>
        </w:rPr>
        <w:t>指为保障机构正常运转</w:t>
      </w:r>
      <w:r>
        <w:rPr>
          <w:rFonts w:ascii="方正仿宋_GBK" w:eastAsia="方正仿宋_GBK" w:cs="方正仿宋_GBK" w:hint="eastAsia"/>
          <w:spacing w:val="-7"/>
          <w:sz w:val="32"/>
          <w:szCs w:val="32"/>
          <w:lang w:eastAsia="zh-CN"/>
        </w:rPr>
        <w:t>、完成</w:t>
      </w:r>
      <w:r>
        <w:rPr>
          <w:rFonts w:ascii="方正仿宋_GBK" w:eastAsia="方正仿宋_GBK" w:cs="方正仿宋_GBK"/>
          <w:spacing w:val="-51"/>
          <w:sz w:val="32"/>
          <w:szCs w:val="32"/>
          <w:lang w:eastAsia="zh-CN"/>
        </w:rPr>
        <w:t xml:space="preserve"> </w:t>
      </w:r>
      <w:r>
        <w:rPr>
          <w:rFonts w:ascii="方正仿宋_GBK" w:eastAsia="方正仿宋_GBK" w:cs="方正仿宋_GBK" w:hint="eastAsia"/>
          <w:spacing w:val="-7"/>
          <w:sz w:val="32"/>
          <w:szCs w:val="32"/>
          <w:lang w:eastAsia="zh-CN"/>
        </w:rPr>
        <w:t>日</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常工作任务而发生的人员支出和公用支出。</w:t>
      </w:r>
    </w:p>
    <w:p>
      <w:pPr>
        <w:spacing w:before="111" w:line="259" w:lineRule="auto"/>
        <w:ind w:left="79" w:right="314" w:firstLine="655"/>
        <w:rPr>
          <w:rFonts w:ascii="方正仿宋_GBK" w:eastAsia="方正仿宋_GBK" w:cs="方正仿宋_GBK"/>
          <w:sz w:val="32"/>
          <w:szCs w:val="32"/>
          <w:lang w:eastAsia="zh-CN"/>
        </w:rPr>
      </w:pPr>
      <w:r>
        <w:rPr>
          <w:rFonts w:ascii="方正仿宋_GBK" w:eastAsia="方正仿宋_GBK" w:cs="方正仿宋_GBK" w:hint="eastAsia"/>
          <w:b/>
          <w:bCs/>
          <w:spacing w:val="-6"/>
          <w:sz w:val="32"/>
          <w:szCs w:val="32"/>
          <w:lang w:eastAsia="zh-CN"/>
        </w:rPr>
        <w:t>二十二、项</w:t>
      </w:r>
      <w:r>
        <w:rPr>
          <w:rFonts w:ascii="方正仿宋_GBK" w:eastAsia="方正仿宋_GBK" w:cs="方正仿宋_GBK"/>
          <w:spacing w:val="-55"/>
          <w:sz w:val="32"/>
          <w:szCs w:val="32"/>
          <w:lang w:eastAsia="zh-CN"/>
        </w:rPr>
        <w:t xml:space="preserve"> </w:t>
      </w:r>
      <w:r>
        <w:rPr>
          <w:rFonts w:ascii="方正仿宋_GBK" w:eastAsia="方正仿宋_GBK" w:cs="方正仿宋_GBK" w:hint="eastAsia"/>
          <w:b/>
          <w:bCs/>
          <w:spacing w:val="-6"/>
          <w:sz w:val="32"/>
          <w:szCs w:val="32"/>
          <w:lang w:eastAsia="zh-CN"/>
        </w:rPr>
        <w:t>目支出：</w:t>
      </w:r>
      <w:r>
        <w:rPr>
          <w:rFonts w:ascii="方正仿宋_GBK" w:eastAsia="方正仿宋_GBK" w:cs="方正仿宋_GBK" w:hint="eastAsia"/>
          <w:spacing w:val="-6"/>
          <w:sz w:val="32"/>
          <w:szCs w:val="32"/>
          <w:lang w:eastAsia="zh-CN"/>
        </w:rPr>
        <w:t>指在基本支出之外为完成特定行</w:t>
      </w:r>
      <w:r>
        <w:rPr>
          <w:rFonts w:ascii="方正仿宋_GBK" w:eastAsia="方正仿宋_GBK" w:cs="方正仿宋_GBK"/>
          <w:sz w:val="32"/>
          <w:szCs w:val="32"/>
          <w:lang w:eastAsia="zh-CN"/>
        </w:rPr>
        <w:t xml:space="preserve"> </w:t>
      </w:r>
      <w:r>
        <w:rPr>
          <w:rFonts w:ascii="方正仿宋_GBK" w:eastAsia="方正仿宋_GBK" w:cs="方正仿宋_GBK" w:hint="eastAsia"/>
          <w:spacing w:val="-2"/>
          <w:sz w:val="32"/>
          <w:szCs w:val="32"/>
          <w:lang w:eastAsia="zh-CN"/>
        </w:rPr>
        <w:t>政任务或事业发展目标所发生的支出。</w:t>
      </w:r>
    </w:p>
    <w:p>
      <w:pPr>
        <w:spacing w:before="103" w:line="259" w:lineRule="auto"/>
        <w:ind w:left="82" w:right="314" w:firstLine="652"/>
        <w:rPr>
          <w:rFonts w:ascii="方正仿宋_GBK" w:eastAsia="方正仿宋_GBK" w:cs="方正仿宋_GBK"/>
          <w:sz w:val="32"/>
          <w:szCs w:val="32"/>
          <w:lang w:eastAsia="zh-CN"/>
        </w:rPr>
      </w:pPr>
      <w:r>
        <w:rPr>
          <w:rFonts w:ascii="方正仿宋_GBK" w:eastAsia="方正仿宋_GBK" w:cs="方正仿宋_GBK" w:hint="eastAsia"/>
          <w:b/>
          <w:bCs/>
          <w:spacing w:val="-2"/>
          <w:sz w:val="32"/>
          <w:szCs w:val="32"/>
          <w:lang w:eastAsia="zh-CN"/>
        </w:rPr>
        <w:t>二十三、经营支出：</w:t>
      </w:r>
      <w:r>
        <w:rPr>
          <w:rFonts w:ascii="方正仿宋_GBK" w:eastAsia="方正仿宋_GBK" w:cs="方正仿宋_GBK" w:hint="eastAsia"/>
          <w:spacing w:val="-2"/>
          <w:sz w:val="32"/>
          <w:szCs w:val="32"/>
          <w:lang w:eastAsia="zh-CN"/>
        </w:rPr>
        <w:t>指事业单位在专业业务</w:t>
      </w:r>
      <w:r>
        <w:rPr>
          <w:rFonts w:ascii="方正仿宋_GBK" w:eastAsia="方正仿宋_GBK" w:cs="方正仿宋_GBK" w:hint="eastAsia"/>
          <w:spacing w:val="-3"/>
          <w:sz w:val="32"/>
          <w:szCs w:val="32"/>
          <w:lang w:eastAsia="zh-CN"/>
        </w:rPr>
        <w:t>活动及其</w:t>
      </w:r>
      <w:r>
        <w:rPr>
          <w:rFonts w:ascii="方正仿宋_GBK" w:eastAsia="方正仿宋_GBK" w:cs="方正仿宋_GBK"/>
          <w:sz w:val="32"/>
          <w:szCs w:val="32"/>
          <w:lang w:eastAsia="zh-CN"/>
        </w:rPr>
        <w:t xml:space="preserve"> </w:t>
      </w:r>
      <w:r>
        <w:rPr>
          <w:rFonts w:ascii="方正仿宋_GBK" w:eastAsia="方正仿宋_GBK" w:cs="方正仿宋_GBK" w:hint="eastAsia"/>
          <w:spacing w:val="-1"/>
          <w:sz w:val="32"/>
          <w:szCs w:val="32"/>
          <w:lang w:eastAsia="zh-CN"/>
        </w:rPr>
        <w:t>辅助活动之外开展非独立核算经营活动发生的支出。</w:t>
      </w:r>
    </w:p>
    <w:p>
      <w:pPr>
        <w:spacing w:before="112" w:line="257" w:lineRule="auto"/>
        <w:ind w:right="314" w:firstLine="735"/>
        <w:rPr>
          <w:rFonts w:ascii="方正仿宋_GBK" w:eastAsia="方正仿宋_GBK" w:cs="方正仿宋_GBK"/>
          <w:sz w:val="32"/>
          <w:szCs w:val="32"/>
          <w:lang w:eastAsia="zh-CN"/>
        </w:rPr>
      </w:pPr>
      <w:r>
        <w:rPr>
          <w:rFonts w:ascii="方正仿宋_GBK" w:eastAsia="方正仿宋_GBK" w:cs="方正仿宋_GBK" w:hint="eastAsia"/>
          <w:b/>
          <w:bCs/>
          <w:spacing w:val="-4"/>
          <w:sz w:val="32"/>
          <w:szCs w:val="32"/>
          <w:lang w:eastAsia="zh-CN"/>
        </w:rPr>
        <w:t>二十四、“</w:t>
      </w:r>
      <w:r>
        <w:rPr>
          <w:rFonts w:ascii="方正仿宋_GBK" w:eastAsia="方正仿宋_GBK" w:cs="方正仿宋_GBK"/>
          <w:spacing w:val="-106"/>
          <w:sz w:val="32"/>
          <w:szCs w:val="32"/>
          <w:lang w:eastAsia="zh-CN"/>
        </w:rPr>
        <w:t xml:space="preserve"> </w:t>
      </w:r>
      <w:r>
        <w:rPr>
          <w:rFonts w:ascii="方正仿宋_GBK" w:eastAsia="方正仿宋_GBK" w:cs="方正仿宋_GBK" w:hint="eastAsia"/>
          <w:b/>
          <w:bCs/>
          <w:spacing w:val="-4"/>
          <w:sz w:val="32"/>
          <w:szCs w:val="32"/>
          <w:lang w:eastAsia="zh-CN"/>
        </w:rPr>
        <w:t>三公经费”：</w:t>
      </w:r>
      <w:r>
        <w:rPr>
          <w:rFonts w:ascii="方正仿宋_GBK" w:eastAsia="方正仿宋_GBK" w:cs="方正仿宋_GBK" w:hint="eastAsia"/>
          <w:spacing w:val="-4"/>
          <w:sz w:val="32"/>
          <w:szCs w:val="32"/>
          <w:lang w:eastAsia="zh-CN"/>
        </w:rPr>
        <w:t>纳入中央财政预决算管</w:t>
      </w:r>
      <w:r>
        <w:rPr>
          <w:rFonts w:ascii="方正仿宋_GBK" w:eastAsia="方正仿宋_GBK" w:cs="方正仿宋_GBK" w:hint="eastAsia"/>
          <w:spacing w:val="-5"/>
          <w:sz w:val="32"/>
          <w:szCs w:val="32"/>
          <w:lang w:eastAsia="zh-CN"/>
        </w:rPr>
        <w:t>理的</w:t>
      </w:r>
      <w:r>
        <w:rPr>
          <w:rFonts w:ascii="方正仿宋_GBK" w:eastAsia="方正仿宋_GBK" w:cs="方正仿宋_GBK"/>
          <w:sz w:val="32"/>
          <w:szCs w:val="32"/>
          <w:lang w:eastAsia="zh-CN"/>
        </w:rPr>
        <w:t xml:space="preserve"> </w:t>
      </w:r>
      <w:r>
        <w:rPr>
          <w:rFonts w:cs="Times New Roman"/>
          <w:sz w:val="32"/>
          <w:szCs w:val="32"/>
          <w:lang w:eastAsia="zh-CN"/>
        </w:rPr>
        <w:t>“</w:t>
      </w:r>
      <w:r>
        <w:rPr>
          <w:rFonts w:cs="Times New Roman"/>
          <w:spacing w:val="-38"/>
          <w:sz w:val="32"/>
          <w:szCs w:val="32"/>
          <w:lang w:eastAsia="zh-CN"/>
        </w:rPr>
        <w:t xml:space="preserve"> </w:t>
      </w:r>
      <w:r>
        <w:rPr>
          <w:rFonts w:ascii="方正仿宋_GBK" w:eastAsia="方正仿宋_GBK" w:cs="方正仿宋_GBK" w:hint="eastAsia"/>
          <w:sz w:val="32"/>
          <w:szCs w:val="32"/>
          <w:lang w:eastAsia="zh-CN"/>
        </w:rPr>
        <w:t>三公</w:t>
      </w:r>
      <w:r>
        <w:rPr>
          <w:rFonts w:cs="Times New Roman"/>
          <w:sz w:val="32"/>
          <w:szCs w:val="32"/>
          <w:lang w:eastAsia="zh-CN"/>
        </w:rPr>
        <w:t>”</w:t>
      </w:r>
      <w:r>
        <w:rPr>
          <w:rFonts w:cs="Times New Roman"/>
          <w:spacing w:val="-58"/>
          <w:sz w:val="32"/>
          <w:szCs w:val="32"/>
          <w:lang w:eastAsia="zh-CN"/>
        </w:rPr>
        <w:t xml:space="preserve"> </w:t>
      </w:r>
      <w:r>
        <w:rPr>
          <w:rFonts w:ascii="方正仿宋_GBK" w:eastAsia="方正仿宋_GBK" w:cs="方正仿宋_GBK" w:hint="eastAsia"/>
          <w:sz w:val="32"/>
          <w:szCs w:val="32"/>
          <w:lang w:eastAsia="zh-CN"/>
        </w:rPr>
        <w:t>经费，是指中央部门用财政拨款安排的因公出国</w:t>
      </w:r>
    </w:p>
    <w:p>
      <w:pPr>
        <w:spacing w:before="122" w:line="281" w:lineRule="auto"/>
        <w:ind w:left="47" w:right="329"/>
        <w:rPr>
          <w:rFonts w:ascii="方正仿宋_GBK" w:eastAsia="方正仿宋_GBK" w:cs="方正仿宋_GBK"/>
          <w:sz w:val="32"/>
          <w:szCs w:val="32"/>
          <w:lang w:eastAsia="zh-CN"/>
        </w:rPr>
      </w:pPr>
      <w:r>
        <w:rPr>
          <w:rFonts w:ascii="方正仿宋_GBK" w:eastAsia="方正仿宋_GBK" w:cs="方正仿宋_GBK" w:hint="eastAsia"/>
          <w:sz w:val="32"/>
          <w:szCs w:val="32"/>
          <w:lang w:eastAsia="zh-CN"/>
        </w:rPr>
        <w:t>（境）费、公务用车购置及运行费和公务接待费。其中，</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因公出国（境）费反映单位公务出国（境）的国际旅费、</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国外城市间交通费、住宿费、伙食费、培训费、公杂费等</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支出；公务用车购置及运行费反映单位公务用车购置支出</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（含车辆购置税）及按规定保留的公务用车车辆燃料费、</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维修费、过桥过路费、保险费、安全奖励费用等支出；公</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z w:val="32"/>
          <w:szCs w:val="32"/>
          <w:lang w:eastAsia="zh-CN"/>
        </w:rPr>
        <w:t>务接待费反映单位按规定开支的各类公务接待（含外宾接</w:t>
      </w:r>
      <w:r>
        <w:rPr>
          <w:rFonts w:ascii="方正仿宋_GBK" w:eastAsia="方正仿宋_GBK" w:cs="方正仿宋_GBK"/>
          <w:spacing w:val="13"/>
          <w:sz w:val="32"/>
          <w:szCs w:val="32"/>
          <w:lang w:eastAsia="zh-CN"/>
        </w:rPr>
        <w:t xml:space="preserve"> </w:t>
      </w:r>
      <w:r>
        <w:rPr>
          <w:rFonts w:ascii="方正仿宋_GBK" w:eastAsia="方正仿宋_GBK" w:cs="方正仿宋_GBK" w:hint="eastAsia"/>
          <w:spacing w:val="2"/>
          <w:sz w:val="32"/>
          <w:szCs w:val="32"/>
          <w:lang w:eastAsia="zh-CN"/>
        </w:rPr>
        <w:t>待）支出。</w:t>
      </w:r>
    </w:p>
    <w:p>
      <w:pPr>
        <w:pStyle w:val="16"/>
        <w:spacing w:line="560" w:lineRule="exact"/>
        <w:ind w:left="0" w:firstLineChars="200" w:firstLine="628"/>
        <w:jc w:val="both"/>
        <w:rPr>
          <w:sz w:val="32"/>
          <w:szCs w:val="32"/>
          <w:lang w:eastAsia="zh-CN"/>
        </w:rPr>
      </w:pPr>
      <w:r>
        <w:rPr>
          <w:rFonts w:cs="方正仿宋_GBK" w:hint="eastAsia"/>
          <w:b/>
          <w:bCs/>
          <w:spacing w:val="-3"/>
          <w:sz w:val="32"/>
          <w:szCs w:val="32"/>
          <w:lang w:eastAsia="zh-CN"/>
        </w:rPr>
        <w:t>二十五、机关运行经费：</w:t>
      </w:r>
      <w:r>
        <w:rPr>
          <w:rFonts w:cs="方正仿宋_GBK" w:hint="eastAsia"/>
          <w:spacing w:val="-3"/>
          <w:sz w:val="32"/>
          <w:szCs w:val="32"/>
          <w:lang w:eastAsia="zh-CN"/>
        </w:rPr>
        <w:t>为保障行政单位（包括参照</w:t>
      </w:r>
      <w:r>
        <w:rPr>
          <w:rFonts w:cs="方正仿宋_GBK"/>
          <w:spacing w:val="12"/>
          <w:sz w:val="32"/>
          <w:szCs w:val="32"/>
          <w:lang w:eastAsia="zh-CN"/>
        </w:rPr>
        <w:t xml:space="preserve"> </w:t>
      </w:r>
      <w:r>
        <w:rPr>
          <w:rFonts w:cs="方正仿宋_GBK" w:hint="eastAsia"/>
          <w:spacing w:val="-1"/>
          <w:sz w:val="32"/>
          <w:szCs w:val="32"/>
          <w:lang w:eastAsia="zh-CN"/>
        </w:rPr>
        <w:t>公务员法管理的事业单位）运行用于购买货物和服务的各</w:t>
      </w:r>
      <w:r>
        <w:rPr>
          <w:rFonts w:cs="方正仿宋_GBK"/>
          <w:spacing w:val="6"/>
          <w:sz w:val="32"/>
          <w:szCs w:val="32"/>
          <w:lang w:eastAsia="zh-CN"/>
        </w:rPr>
        <w:t xml:space="preserve"> </w:t>
      </w:r>
      <w:r>
        <w:rPr>
          <w:rFonts w:cs="方正仿宋_GBK" w:hint="eastAsia"/>
          <w:sz w:val="32"/>
          <w:szCs w:val="32"/>
          <w:lang w:eastAsia="zh-CN"/>
        </w:rPr>
        <w:t>项资金，包括办公及印刷费、邮电费、差旅费、</w:t>
      </w:r>
      <w:r>
        <w:rPr>
          <w:rFonts w:cs="方正仿宋_GBK" w:hint="eastAsia"/>
          <w:spacing w:val="-1"/>
          <w:sz w:val="32"/>
          <w:szCs w:val="32"/>
          <w:lang w:eastAsia="zh-CN"/>
        </w:rPr>
        <w:t>会议费、</w:t>
      </w:r>
      <w:r>
        <w:rPr>
          <w:rFonts w:cs="方正仿宋_GBK"/>
          <w:sz w:val="32"/>
          <w:szCs w:val="32"/>
          <w:lang w:eastAsia="zh-CN"/>
        </w:rPr>
        <w:t xml:space="preserve"> </w:t>
      </w:r>
      <w:r>
        <w:rPr>
          <w:rFonts w:cs="方正仿宋_GBK" w:hint="eastAsia"/>
          <w:spacing w:val="-5"/>
          <w:sz w:val="32"/>
          <w:szCs w:val="32"/>
          <w:lang w:eastAsia="zh-CN"/>
        </w:rPr>
        <w:t>福利费、</w:t>
      </w:r>
      <w:r>
        <w:rPr>
          <w:rFonts w:cs="方正仿宋_GBK"/>
          <w:spacing w:val="-36"/>
          <w:sz w:val="32"/>
          <w:szCs w:val="32"/>
          <w:lang w:eastAsia="zh-CN"/>
        </w:rPr>
        <w:t xml:space="preserve"> </w:t>
      </w:r>
      <w:r>
        <w:rPr>
          <w:rFonts w:cs="方正仿宋_GBK" w:hint="eastAsia"/>
          <w:spacing w:val="-5"/>
          <w:sz w:val="32"/>
          <w:szCs w:val="32"/>
          <w:lang w:eastAsia="zh-CN"/>
        </w:rPr>
        <w:t>日常维修费、专用材料及一般设备购置费、办公</w:t>
      </w:r>
      <w:r>
        <w:rPr>
          <w:rFonts w:cs="方正仿宋_GBK"/>
          <w:sz w:val="32"/>
          <w:szCs w:val="32"/>
          <w:lang w:eastAsia="zh-CN"/>
        </w:rPr>
        <w:t xml:space="preserve"> </w:t>
      </w:r>
      <w:r>
        <w:rPr>
          <w:rFonts w:cs="方正仿宋_GBK" w:hint="eastAsia"/>
          <w:spacing w:val="-1"/>
          <w:sz w:val="32"/>
          <w:szCs w:val="32"/>
          <w:lang w:eastAsia="zh-CN"/>
        </w:rPr>
        <w:t>用房水电费、办公用房取暖费、办公用房物业管理费、公</w:t>
      </w:r>
      <w:r>
        <w:rPr>
          <w:rFonts w:cs="方正仿宋_GBK"/>
          <w:spacing w:val="6"/>
          <w:sz w:val="32"/>
          <w:szCs w:val="32"/>
          <w:lang w:eastAsia="zh-CN"/>
        </w:rPr>
        <w:t xml:space="preserve"> </w:t>
      </w:r>
      <w:r>
        <w:rPr>
          <w:rFonts w:cs="方正仿宋_GBK" w:hint="eastAsia"/>
          <w:spacing w:val="-2"/>
          <w:sz w:val="32"/>
          <w:szCs w:val="32"/>
          <w:lang w:eastAsia="zh-CN"/>
        </w:rPr>
        <w:t>务用车运行维护费以及其他费用。</w:t>
      </w:r>
    </w:p>
    <w:sectPr>
      <w:headerReference w:type="default" r:id="rId28"/>
      <w:footerReference w:type="default" r:id="rId29"/>
      <w:pgSz w:w="11920" w:h="16850"/>
      <w:pgMar w:top="1440" w:right="1758" w:bottom="1440" w:left="1758" w:header="0" w:footer="765"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隶书">
    <w:panose1 w:val="02010509060101010101"/>
    <w:charset w:val="86"/>
    <w:family w:val="modern"/>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仿宋_GBK">
    <w:altName w:val="Arial Unicode MS"/>
    <w:panose1 w:val="00000000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altName w:val="Arial Unicode MS"/>
    <w:panose1 w:val="00000000000000000000"/>
    <w:charset w:val="86"/>
    <w:family w:val="script"/>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方正楷体_GBK">
    <w:altName w:val="Arial Unicode MS"/>
    <w:panose1 w:val="00000000000000000000"/>
    <w:charset w:val="86"/>
    <w:family w:val="script"/>
    <w:pitch w:val="variable"/>
    <w:sig w:usb0="00000001" w:usb1="080E0000" w:usb2="00000010" w:usb3="00000000" w:csb0="00040000" w:csb1="00000000"/>
  </w:font>
  <w:font w:name="方正小标宋_GBK">
    <w:panose1 w:val="00000000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pPr>
  </w:p>
  <w:p>
    <w:pPr>
      <w:spacing w:line="14" w:lineRule="auto"/>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pPr>
    <w:r>
      <w:rPr>
        <w:lang w:eastAsia="zh-CN"/>
      </w:rPr>
      <mc:AlternateContent>
        <mc:Choice Requires="wps">
          <w:drawing>
            <wp:anchor distT="0" distB="0" distL="114297" distR="114297" simplePos="0" relativeHeight="58"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9" name="文本框 1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10">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1</w:t>
                          </w:r>
                          <w:r>
                            <w:rPr>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11 11" o:spid="_x0000_s11" filled="f" stroked="f" style="position:absolute;margin-left:0.0pt;margin-top:0.0pt;width:4.5pt;height:10.350001pt;z-index:58;mso-position-horizontal:center;mso-position-horizontal-relative:margin;mso-position-vertical:absolute;mso-wrap-distance-left:8.99983pt;mso-wrap-distance-right:8.99983pt;mso-wrap-style:none;">
              <v:stroke color="#000000"/>
              <v:textbox id="867" inset="0mm,0mm,0mm,0mm" o:insetmode="custom" style="layout-flow:horizontal;v-text-anchor:top;mso-fit-shape-to-text:t;">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1</w:t>
                    </w:r>
                    <w:r>
                      <w:rPr>
                        <w:lang w:eastAsia="zh-CN"/>
                      </w:rPr>
                      <w:fldChar w:fldCharType="end"/>
                    </w:r>
                  </w:p>
                </w:txbxContent>
              </v:textbox>
            </v:shape>
          </w:pict>
        </mc:Fallback>
      </mc:AlternateContent>
    </w:r>
  </w:p>
  <w:p>
    <w:pPr>
      <w:spacing w:line="14" w:lineRule="auto"/>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18"/>
        <w:szCs w:val="18"/>
      </w:rPr>
    </w:pPr>
    <w:r>
      <w:rPr>
        <w:lang w:eastAsia="zh-CN"/>
      </w:rPr>
      <mc:AlternateContent>
        <mc:Choice Requires="wps">
          <w:drawing>
            <wp:anchor distT="0" distB="0" distL="114297" distR="114297" simplePos="0" relativeHeight="53"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6" name="文本框 18"/>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17">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4</w:t>
                          </w:r>
                          <w:r>
                            <w:rPr>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18 18" o:spid="_x0000_s18" filled="f" stroked="f" style="position:absolute;margin-left:0.0pt;margin-top:0.0pt;width:4.5pt;height:10.350001pt;z-index:53;mso-position-horizontal:center;mso-position-horizontal-relative:margin;mso-position-vertical:absolute;mso-wrap-distance-left:8.99983pt;mso-wrap-distance-right:8.99983pt;mso-wrap-style:none;">
              <v:stroke color="#000000"/>
              <v:textbox id="868" inset="0mm,0mm,0mm,0mm" o:insetmode="custom" style="layout-flow:horizontal;v-text-anchor:top;mso-fit-shape-to-text:t;">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4</w:t>
                    </w:r>
                    <w:r>
                      <w:rPr>
                        <w:lang w:eastAsia="zh-CN"/>
                      </w:rPr>
                      <w:fldChar w:fldCharType="end"/>
                    </w:r>
                  </w:p>
                </w:txbxContent>
              </v:textbox>
            </v:shape>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lang w:eastAsia="zh-CN"/>
      </w:rPr>
      <mc:AlternateContent>
        <mc:Choice Requires="wps">
          <w:drawing>
            <wp:anchor distT="0" distB="0" distL="114297" distR="114297" simplePos="0" relativeHeight="54" behindDoc="0" locked="0" layoutInCell="1" hidden="0" allowOverlap="1">
              <wp:simplePos x="0" y="0"/>
              <wp:positionH relativeFrom="margin">
                <wp:align>center</wp:align>
              </wp:positionH>
              <wp:positionV relativeFrom="paragraph">
                <wp:posOffset>0</wp:posOffset>
              </wp:positionV>
              <wp:extent cx="114298" cy="131557"/>
              <wp:effectExtent l="0" t="0" r="0" b="0"/>
              <wp:wrapNone/>
              <wp:docPr id="19" name="文本框 21"/>
              <wp:cNvGraphicFramePr>
                <a:graphicFrameLocks noChangeAspect="0"/>
              </wp:cNvGraphicFramePr>
              <a:graphic>
                <a:graphicData uri="http://schemas.microsoft.com/office/word/2010/wordprocessingShape">
                  <wps:wsp>
                    <wps:cNvSpPr/>
                    <wps:spPr>
                      <a:xfrm rot="0">
                        <a:off x="0" y="0"/>
                        <a:ext cx="114298" cy="131557"/>
                      </a:xfrm>
                      <a:prstGeom prst="rect"/>
                      <a:noFill/>
                      <a:ln w="9525" cmpd="sng" cap="flat">
                        <a:noFill/>
                        <a:prstDash val="solid"/>
                        <a:miter/>
                      </a:ln>
                    </wps:spPr>
                    <wps:txbx id="20">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16</w:t>
                          </w:r>
                          <w:r>
                            <w:rPr>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21 21" o:spid="_x0000_s21" filled="f" stroked="f" style="position:absolute;margin-left:2.2500021pt;margin-top:0.0pt;width:8.999863pt;height:10.3588505pt;z-index:54;mso-position-horizontal:center;mso-position-horizontal-relative:margin;mso-position-vertical:absolute;mso-wrap-distance-left:8.99983pt;mso-wrap-distance-right:8.99983pt;mso-wrap-style:none;">
              <v:stroke color="#000000"/>
              <v:textbox id="869" inset="0mm,0mm,0mm,0mm" o:insetmode="custom" style="layout-flow:horizontal;v-text-anchor:top;mso-fit-shape-to-text:t;">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16</w:t>
                    </w:r>
                    <w:r>
                      <w:rPr>
                        <w:lang w:eastAsia="zh-CN"/>
                      </w:rPr>
                      <w:fldChar w:fldCharType="end"/>
                    </w:r>
                  </w:p>
                </w:txbxContent>
              </v:textbox>
            </v:shape>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lang w:eastAsia="zh-CN"/>
      </w:rPr>
      <mc:AlternateContent>
        <mc:Choice Requires="wps">
          <w:drawing>
            <wp:anchor distT="0" distB="0" distL="114297" distR="114297" simplePos="0" relativeHeight="55"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36" name="文本框 34"/>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37">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21</w:t>
                          </w:r>
                          <w:r>
                            <w:rPr>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34 38" o:spid="_x0000_s38" filled="f" stroked="f" style="position:absolute;margin-left:0.0pt;margin-top:0.0pt;width:9.0pt;height:10.350001pt;z-index:55;mso-position-horizontal:center;mso-position-horizontal-relative:margin;mso-position-vertical:absolute;mso-wrap-distance-left:8.99983pt;mso-wrap-distance-right:8.99983pt;mso-wrap-style:none;">
              <v:stroke color="#000000"/>
              <v:textbox id="870" inset="0mm,0mm,0mm,0mm" o:insetmode="custom" style="layout-flow:horizontal;v-text-anchor:top;mso-fit-shape-to-text:t;">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21</w:t>
                    </w:r>
                    <w:r>
                      <w:rPr>
                        <w:lang w:eastAsia="zh-CN"/>
                      </w:rP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lang w:eastAsia="zh-CN"/>
      </w:rPr>
      <mc:AlternateContent>
        <mc:Choice Requires="wps">
          <w:drawing>
            <wp:anchor distT="0" distB="0" distL="114297" distR="114297" simplePos="0" relativeHeight="56"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52" name="文本框 58"/>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53">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35</w:t>
                          </w:r>
                          <w:r>
                            <w:rPr>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58 54" o:spid="_x0000_s54" filled="f" stroked="f" style="position:absolute;margin-left:0.0pt;margin-top:0.0pt;width:9.0pt;height:10.350001pt;z-index:56;mso-position-horizontal:center;mso-position-horizontal-relative:margin;mso-position-vertical:absolute;mso-wrap-distance-left:8.99983pt;mso-wrap-distance-right:8.99983pt;mso-wrap-style:none;">
              <v:stroke color="#000000"/>
              <v:textbox id="871" inset="0mm,0mm,0mm,0mm" o:insetmode="custom" style="layout-flow:horizontal;v-text-anchor:top;mso-fit-shape-to-text:t;">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35</w:t>
                    </w:r>
                    <w:r>
                      <w:rPr>
                        <w:lang w:eastAsia="zh-CN"/>
                      </w:rPr>
                      <w:fldChar w:fldCharType="end"/>
                    </w:r>
                  </w:p>
                </w:txbxContent>
              </v:textbox>
            </v:shape>
          </w:pict>
        </mc:Fallback>
      </mc:AlternateConten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lang w:eastAsia="zh-CN"/>
      </w:rPr>
      <mc:AlternateContent>
        <mc:Choice Requires="wps">
          <w:drawing>
            <wp:anchor distT="0" distB="0" distL="114297" distR="114297" simplePos="0" relativeHeight="57"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74" name="文本框 65"/>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75">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37</w:t>
                          </w:r>
                          <w:r>
                            <w:rPr>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65 76" o:spid="_x0000_s76" filled="f" stroked="f" style="position:absolute;margin-left:0.0pt;margin-top:0.0pt;width:9.0pt;height:10.350001pt;z-index:57;mso-position-horizontal:center;mso-position-horizontal-relative:margin;mso-position-vertical:absolute;mso-wrap-distance-left:8.99983pt;mso-wrap-distance-right:8.99983pt;mso-wrap-style:none;">
              <v:stroke color="#000000"/>
              <v:textbox id="872" inset="0mm,0mm,0mm,0mm" o:insetmode="custom" style="layout-flow:horizontal;v-text-anchor:top;mso-fit-shape-to-text:t;">
                <w:txbxContent>
                  <w:p>
                    <w:pPr>
                      <w:pStyle w:val="17"/>
                      <w:tabs>
                        <w:tab w:val="center" w:pos="4153"/>
                        <w:tab w:val="right" w:pos="8307"/>
                      </w:tabs>
                      <w:rPr>
                        <w:lang w:eastAsia="zh-CN"/>
                      </w:rPr>
                    </w:pPr>
                    <w:r>
                      <w:rPr>
                        <w:lang w:eastAsia="zh-CN"/>
                      </w:rPr>
                      <w:fldChar w:fldCharType="begin"/>
                    </w:r>
                    <w:r>
                      <w:rPr>
                        <w:lang w:eastAsia="zh-CN"/>
                      </w:rPr>
                      <w:instrText xml:space="preserve"> PAGE  \* MERGEFORMAT </w:instrText>
                    </w:r>
                    <w:r>
                      <w:rPr>
                        <w:lang w:eastAsia="zh-CN"/>
                      </w:rPr>
                      <w:fldChar w:fldCharType="separate"/>
                    </w:r>
                    <w:r>
                      <w:rPr>
                        <w:lang w:eastAsia="zh-CN"/>
                      </w:rPr>
                      <w:t>37</w:t>
                    </w:r>
                    <w:r>
                      <w:rPr>
                        <w:lang w:eastAsia="zh-CN"/>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1" name="组合"/>
              <wp:cNvGraphicFramePr>
                <a:graphicFrameLocks noChangeAspect="0"/>
              </wp:cNvGraphicFramePr>
              <a:graphic>
                <a:graphicData uri="http://schemas.microsoft.com/office/word/2010/wordprocessingGroup">
                  <wpg:wgp>
                    <wpg:cNvPr id="2" name="组合 2"/>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3" o:spid="_x0000_s3" coordorigin="1757,-15" coordsize="2,2" style="width:0.10000152pt;height:0.100000024pt;">
              <v:shape type="#_x0000_t75" id="图片 4 4" o:spid="_x0000_s4" style="position:absolute;left:1757;top:-15;width:2;height:2;" filled="f" stroked="t" strokeweight="0.24pt">
                <v:imagedata/>
                <o:lock aspectratio="t"/>
                <v:stroke color="#000000"/>
              </v:shape>
              <w10:anchorLock/>
            </v:group>
          </w:pict>
        </mc:Fallback>
      </mc:AlternateConten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5" name="组合"/>
              <wp:cNvGraphicFramePr>
                <a:graphicFrameLocks noChangeAspect="0"/>
              </wp:cNvGraphicFramePr>
              <a:graphic>
                <a:graphicData uri="http://schemas.microsoft.com/office/word/2010/wordprocessingGroup">
                  <wpg:wgp>
                    <wpg:cNvPr id="6" name="组合 6"/>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7" o:spid="_x0000_s7" coordorigin="1757,-15" coordsize="2,2" style="width:0.10000152pt;height:0.100000024pt;">
              <v:shape type="#_x0000_t75" id="图片 8 8" o:spid="_x0000_s8" style="position:absolute;left:1757;top:-15;width:2;height:2;" filled="f" stroked="t" strokeweight="0.24pt">
                <v:imagedata/>
                <o:lock aspectratio="t"/>
                <v:stroke color="#000000"/>
              </v:shape>
              <w10:anchorLock/>
            </v:group>
          </w:pict>
        </mc:Fallback>
      </mc:AlternateConten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12" name="组合"/>
              <wp:cNvGraphicFramePr>
                <a:graphicFrameLocks noChangeAspect="0"/>
              </wp:cNvGraphicFramePr>
              <a:graphic>
                <a:graphicData uri="http://schemas.microsoft.com/office/word/2010/wordprocessingGroup">
                  <wpg:wgp>
                    <wpg:cNvPr id="13" name="组合 13"/>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14" o:spid="_x0000_s14" coordorigin="1765,-8" coordsize="2,2" style="width:0.10000152pt;height:0.100000024pt;">
              <v:shape type="#_x0000_t75" id="图片 15 15 15 15 15 15 15 15 15 15 15 15" o:spid="_x0000_s15" style="position:absolute;left:1765;top:-8;width:2;height:2;" filled="f" stroked="t" strokeweight="0.24pt">
                <v:imagedata/>
                <o:lock aspectratio="t"/>
                <v:stroke color="#000000"/>
              </v:shape>
              <w10:anchorLock/>
            </v:group>
          </w:pict>
        </mc:Fallback>
      </mc:AlternateContent>
    </w:r>
  </w:p>
</w:hdr>
</file>

<file path=word/header4.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29" name="组合"/>
              <wp:cNvGraphicFramePr>
                <a:graphicFrameLocks noChangeAspect="0"/>
              </wp:cNvGraphicFramePr>
              <a:graphic>
                <a:graphicData uri="http://schemas.microsoft.com/office/word/2010/wordprocessingGroup">
                  <wpg:wgp>
                    <wpg:cNvPr id="30" name="组合 30"/>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31" o:spid="_x0000_s31" coordorigin="1758,-15" coordsize="2,2" style="width:0.10000152pt;height:0.100000024pt;">
              <v:shape type="#_x0000_t75" id="图片 29 30 30 30 30 30 30 30 30 32 32 32" o:spid="_x0000_s32" style="position:absolute;left:1758;top:-15;width:2;height:2;" filled="f" stroked="t" strokeweight="0.24pt">
                <v:imagedata/>
                <o:lock aspectratio="t"/>
                <v:stroke color="#000000"/>
              </v:shape>
              <w10:anchorLock/>
            </v:group>
          </w:pict>
        </mc:Fallback>
      </mc:AlternateContent>
    </w:r>
  </w:p>
</w:hdr>
</file>

<file path=word/header5.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mc:AlternateContent>
        <mc:Choice Requires="wps">
          <w:drawing>
            <wp:inline distT="0" distB="0" distL="91438" distR="91438">
              <wp:extent cx="1270" cy="761"/>
              <wp:effectExtent l="0" t="0" r="0" b="0"/>
              <wp:docPr id="41" name="组合"/>
              <wp:cNvGraphicFramePr>
                <a:graphicFrameLocks noChangeAspect="0"/>
              </wp:cNvGraphicFramePr>
              <a:graphic>
                <a:graphicData uri="http://schemas.microsoft.com/office/word/2010/wordprocessingGroup">
                  <wpg:wgp>
                    <wpg:cNvPr id="42" name="组合 42"/>
                    <wpg:cNvGrpSpPr/>
                    <wpg:grpSpPr>
                      <a:xfrm rot="0">
                        <a:off x="0" y="0"/>
                        <a:ext cx="1270" cy="761"/>
                        <a:chOff x="0" y="0"/>
                        <a:chExt cx="1270" cy="761"/>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43" o:spid="_x0000_s43" coordorigin="1758,-5" coordsize="2,1" style="width:0.10000152pt;height:0.05999908pt;">
              <v:shape type="#_x0000_t75" id="图片 42 42 45 45 45 45 45 45 45 44 44 44" o:spid="_x0000_s44" style="position:absolute;left:1758;top:-5;width:2;height:1;" filled="f" stroked="t" strokeweight="0.24pt">
                <v:imagedata/>
                <o:lock aspectratio="t"/>
                <v:stroke color="#000000"/>
              </v:shape>
              <w10:anchorLock/>
            </v:group>
          </w:pict>
        </mc:Fallback>
      </mc:AlternateContent>
    </w:r>
  </w:p>
</w:hdr>
</file>

<file path=word/header6.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48" name="组合"/>
              <wp:cNvGraphicFramePr>
                <a:graphicFrameLocks noChangeAspect="0"/>
              </wp:cNvGraphicFramePr>
              <a:graphic>
                <a:graphicData uri="http://schemas.microsoft.com/office/word/2010/wordprocessingGroup">
                  <wpg:wgp>
                    <wpg:cNvPr id="49" name="组合 49"/>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50" o:spid="_x0000_s50" coordorigin="1793,-8" coordsize="2,2" style="width:0.10000152pt;height:0.100000024pt;">
              <v:shape type="#_x0000_t75" id="图片 55 56 59 58 58 58 58 58 58 57 51 51" o:spid="_x0000_s51" style="position:absolute;left:1793;top:-8;width:2;height:2;" filled="f" stroked="t" strokeweight="0.24pt">
                <v:imagedata/>
                <o:lock aspectratio="t"/>
                <v:stroke color="#000000"/>
              </v:shape>
              <w10:anchorLock/>
            </v:group>
          </w:pict>
        </mc:Fallback>
      </mc:AlternateContent>
    </w:r>
  </w:p>
</w:hdr>
</file>

<file path=word/header7.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70" name="组合"/>
              <wp:cNvGraphicFramePr>
                <a:graphicFrameLocks noChangeAspect="0"/>
              </wp:cNvGraphicFramePr>
              <a:graphic>
                <a:graphicData uri="http://schemas.microsoft.com/office/word/2010/wordprocessingGroup">
                  <wpg:wgp>
                    <wpg:cNvPr id="71" name="组合 71"/>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72" o:spid="_x0000_s72" coordorigin="1758,0" coordsize="2,2" style="width:0.10000152pt;height:0.100000024pt;">
              <v:shape type="#_x0000_t75" id="图片 62 78 81 80 80 80 80 80 80 79 73 73" o:spid="_x0000_s73" style="position:absolute;left:1758;top:0;width:2;height:2;" filled="f" stroked="t" strokeweight="0.24pt">
                <v:imagedata/>
                <o:lock aspectratio="t"/>
                <v:stroke color="#000000"/>
              </v:shape>
              <w10:anchorLock/>
            </v:group>
          </w:pict>
        </mc:Fallback>
      </mc:AlternateContent>
    </w: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2"/>
  <w:bordersDoNotSurroundHeader/>
  <w:bordersDoNotSurroundFooter/>
  <w:defaultTabStop w:val="720"/>
  <w:drawingGridHorizontalSpacing w:val="110"/>
  <w:drawingGridVerticalSpacing w:val="156"/>
  <w:displayHorizontalDrawingGridEvery w:val="0"/>
  <w:displayVerticalDrawingGridEvery w:val="1"/>
  <w:noPunctuationKerning/>
  <w:noLineBreaksAfter w:lang="zh-CN" w:val="$([{£¥·‘“〈《「『【〔〖〝﹙﹛﹝＄（．［｛￡￥"/>
  <w:noLineBreaksBefore w:lang="zh-CN" w:val="!%),.:;&gt;?]}¢¨°·ˇˉ―‖’”…‰′″›℃∶、。〃〉》」』】〕〗〞︶︺︾﹀﹄﹚﹜﹞！＂％＇），．：；？］｀｜｝～￠"/>
  <w:compat>
    <w:spaceForUL/>
    <w:ulTrailSpace/>
    <w:doNotExpandShiftReturn/>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pPr>
    <w:rPr>
      <w:rFonts w:ascii="Times New Roman" w:eastAsia="宋体" w:cs="Arial" w:hAnsi="Times New Roman"/>
      <w:kern w:val="0"/>
      <w:sz w:val="22"/>
      <w:szCs w:val="22"/>
      <w:lang w:val="en-US" w:eastAsia="en-US" w:bidi="ar-SA"/>
    </w:rPr>
  </w:style>
  <w:style w:type="character" w:default="1" w:styleId="10">
    <w:name w:val="Default Paragraph Font"/>
  </w:style>
  <w:style w:type="paragraph" w:styleId="15">
    <w:name w:val="caption"/>
    <w:basedOn w:val="0"/>
    <w:next w:val="0"/>
    <w:rPr>
      <w:rFonts w:ascii="Arial" w:eastAsia="黑体" w:hAnsi="Arial"/>
      <w:b/>
      <w:sz w:val="20"/>
    </w:rPr>
  </w:style>
  <w:style w:type="paragraph" w:styleId="16">
    <w:name w:val="Body Text"/>
    <w:basedOn w:val="0"/>
    <w:pPr>
      <w:ind w:left="1296"/>
    </w:pPr>
    <w:rPr>
      <w:rFonts w:ascii="方正仿宋_GBK" w:eastAsia="方正仿宋_GBK"/>
      <w:sz w:val="31"/>
      <w:szCs w:val="31"/>
    </w:rPr>
  </w:style>
  <w:style w:type="paragraph" w:styleId="17">
    <w:name w:val="footer"/>
    <w:basedOn w:val="0"/>
    <w:pPr>
      <w:tabs>
        <w:tab w:val="center" w:pos="4153"/>
        <w:tab w:val="right" w:pos="8307"/>
      </w:tabs>
      <w:snapToGrid w:val="0"/>
    </w:pPr>
    <w:rPr>
      <w:sz w:val="18"/>
    </w:rPr>
  </w:style>
  <w:style w:type="paragraph" w:styleId="18">
    <w:name w:val="header"/>
    <w:basedOn w:val="0"/>
    <w:pPr>
      <w:pBdr>
        <w:bottom w:val="single" w:sz="6" w:space="1" w:color="auto"/>
      </w:pBdr>
      <w:tabs>
        <w:tab w:val="center" w:pos="4153"/>
        <w:tab w:val="right" w:pos="8307"/>
      </w:tabs>
      <w:snapToGrid w:val="0"/>
      <w:jc w:val="center"/>
    </w:pPr>
    <w:rPr>
      <w:sz w:val="18"/>
    </w:rPr>
  </w:style>
  <w:style w:type="paragraph" w:styleId="19">
    <w:name w:val="toc 6"/>
    <w:basedOn w:val="0"/>
    <w:next w:val="0"/>
    <w:pPr>
      <w:ind w:left="2100"/>
    </w:pPr>
  </w:style>
  <w:style w:type="paragraph" w:styleId="20">
    <w:name w:val="table of figures"/>
    <w:basedOn w:val="0"/>
    <w:next w:val="0"/>
  </w:style>
  <w:style w:type="paragraph" w:styleId="21">
    <w:name w:val="toc 2"/>
    <w:basedOn w:val="0"/>
    <w:next w:val="0"/>
    <w:pPr>
      <w:ind w:leftChars="200" w:left="200"/>
    </w:pPr>
  </w:style>
  <w:style w:type="paragraph" w:customStyle="1" w:styleId="22">
    <w:name w:val="TOC 11"/>
    <w:basedOn w:val="0"/>
    <w:pPr>
      <w:spacing w:before="132"/>
      <w:ind w:left="1800"/>
    </w:pPr>
    <w:rPr>
      <w:rFonts w:ascii="宋体"/>
      <w:sz w:val="31"/>
      <w:szCs w:val="31"/>
    </w:rPr>
  </w:style>
  <w:style w:type="paragraph" w:customStyle="1" w:styleId="23">
    <w:name w:val="Heading 11"/>
    <w:basedOn w:val="0"/>
    <w:pPr>
      <w:ind w:left="1103"/>
      <w:outlineLvl w:val="1"/>
    </w:pPr>
    <w:rPr>
      <w:rFonts w:ascii="黑体" w:eastAsia="黑体"/>
      <w:sz w:val="72"/>
      <w:szCs w:val="72"/>
    </w:rPr>
  </w:style>
  <w:style w:type="paragraph" w:customStyle="1" w:styleId="24">
    <w:name w:val="Heading 21"/>
    <w:basedOn w:val="0"/>
    <w:pPr>
      <w:ind w:left="1934"/>
      <w:outlineLvl w:val="2"/>
    </w:pPr>
    <w:rPr>
      <w:rFonts w:ascii="方正小标宋_GBK" w:eastAsia="方正小标宋_GBK"/>
      <w:sz w:val="36"/>
      <w:szCs w:val="36"/>
    </w:rPr>
  </w:style>
  <w:style w:type="paragraph" w:customStyle="1" w:styleId="25">
    <w:name w:val="Heading 31"/>
    <w:basedOn w:val="0"/>
    <w:pPr>
      <w:ind w:left="2068"/>
      <w:outlineLvl w:val="3"/>
    </w:pPr>
    <w:rPr>
      <w:rFonts w:ascii="方正仿宋_GBK" w:eastAsia="方正仿宋_GBK"/>
      <w:b/>
      <w:bCs/>
      <w:sz w:val="31"/>
      <w:szCs w:val="31"/>
    </w:rPr>
  </w:style>
  <w:style w:type="paragraph" w:customStyle="1" w:styleId="26">
    <w:name w:val="列出段落1"/>
    <w:basedOn w:val="0"/>
  </w:style>
  <w:style w:type="paragraph" w:customStyle="1" w:styleId="27">
    <w:name w:val="Table Paragraph"/>
    <w:basedOn w:val="0"/>
  </w:style>
  <w:style w:type="paragraph" w:customStyle="1" w:styleId="28">
    <w:name w:val="无间隔1"/>
    <w:next w:val="19"/>
    <w:pPr>
      <w:ind w:firstLineChars="200" w:firstLine="200"/>
    </w:pPr>
    <w:rPr>
      <w:rFonts w:ascii="Times New Roman" w:eastAsia="宋体" w:cs="Times New Roman" w:hAnsi="Times New Roman"/>
      <w:kern w:val="0"/>
      <w:sz w:val="30"/>
      <w:szCs w:val="22"/>
      <w:lang w:val="en-US" w:eastAsia="zh-CN" w:bidi="ar-SA"/>
    </w:rPr>
  </w:style>
  <w:style w:type="paragraph" w:customStyle="1" w:styleId="29">
    <w:name w:val="样式 9 10 磅"/>
    <w:next w:val="15"/>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小三"/>
    <w:pPr>
      <w:widowControl w:val="0"/>
      <w:ind w:left="1296"/>
    </w:pPr>
    <w:rPr>
      <w:rFonts w:ascii="方正仿宋_GBK" w:eastAsia="方正仿宋_GBK" w:cs="Arial"/>
      <w:kern w:val="0"/>
      <w:sz w:val="31"/>
      <w:szCs w:val="31"/>
      <w:lang w:val="en-US" w:eastAsia="en-US" w:bidi="ar-SA"/>
    </w:rPr>
  </w:style>
  <w:style w:type="paragraph" w:customStyle="1" w:styleId="31">
    <w:name w:val="样式 1 小三"/>
    <w:pPr>
      <w:widowControl w:val="0"/>
      <w:ind w:left="1296"/>
    </w:pPr>
    <w:rPr>
      <w:rFonts w:ascii="方正仿宋_GBK" w:eastAsia="方正仿宋_GBK" w:cs="Arial"/>
      <w:kern w:val="0"/>
      <w:sz w:val="31"/>
      <w:szCs w:val="31"/>
      <w:lang w:val="en-US" w:eastAsia="en-US" w:bidi="ar-SA"/>
    </w:rPr>
  </w:style>
  <w:style w:type="paragraph" w:customStyle="1" w:styleId="32">
    <w:name w:val="样式 2 小三"/>
    <w:pPr>
      <w:widowControl w:val="0"/>
      <w:ind w:left="1296"/>
    </w:pPr>
    <w:rPr>
      <w:rFonts w:ascii="方正仿宋_GBK" w:eastAsia="方正仿宋_GBK" w:cs="Arial"/>
      <w:kern w:val="0"/>
      <w:sz w:val="31"/>
      <w:szCs w:val="31"/>
      <w:lang w:val="en-US" w:eastAsia="en-US" w:bidi="ar-SA"/>
    </w:rPr>
  </w:style>
  <w:style w:type="paragraph" w:customStyle="1" w:styleId="33">
    <w:name w:val="样式 3 小三"/>
    <w:pPr>
      <w:widowControl w:val="0"/>
      <w:ind w:left="1296"/>
    </w:pPr>
    <w:rPr>
      <w:rFonts w:ascii="方正仿宋_GBK" w:eastAsia="方正仿宋_GBK" w:cs="Arial"/>
      <w:kern w:val="0"/>
      <w:sz w:val="31"/>
      <w:szCs w:val="31"/>
      <w:lang w:val="en-US" w:eastAsia="en-US" w:bidi="ar-SA"/>
    </w:rPr>
  </w:style>
  <w:style w:type="paragraph" w:customStyle="1" w:styleId="34">
    <w:name w:val="样式 4 小三"/>
    <w:pPr>
      <w:widowControl w:val="0"/>
      <w:ind w:left="1296"/>
    </w:pPr>
    <w:rPr>
      <w:rFonts w:ascii="方正仿宋_GBK" w:eastAsia="方正仿宋_GBK" w:cs="Arial"/>
      <w:kern w:val="0"/>
      <w:sz w:val="31"/>
      <w:szCs w:val="31"/>
      <w:lang w:val="en-US" w:eastAsia="en-US" w:bidi="ar-SA"/>
    </w:rPr>
  </w:style>
  <w:style w:type="paragraph" w:customStyle="1" w:styleId="35">
    <w:name w:val="样式 10 10 磅"/>
    <w:next w:val="20"/>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1 磅"/>
    <w:pPr>
      <w:widowControl w:val="0"/>
    </w:pPr>
    <w:rPr>
      <w:rFonts w:ascii="Times New Roman" w:eastAsia="宋体" w:cs="Arial" w:hAnsi="Times New Roman"/>
      <w:kern w:val="0"/>
      <w:sz w:val="22"/>
      <w:szCs w:val="22"/>
      <w:lang w:val="en-US" w:eastAsia="en-US" w:bidi="ar-SA"/>
    </w:rPr>
  </w:style>
  <w:style w:type="paragraph" w:customStyle="1" w:styleId="38">
    <w:name w:val="样式 5 小三"/>
    <w:pPr>
      <w:widowControl w:val="0"/>
      <w:ind w:left="1296"/>
    </w:pPr>
    <w:rPr>
      <w:rFonts w:ascii="方正仿宋_GBK" w:eastAsia="方正仿宋_GBK" w:cs="Arial"/>
      <w:kern w:val="0"/>
      <w:sz w:val="31"/>
      <w:szCs w:val="31"/>
      <w:lang w:val="en-US" w:eastAsia="en-US" w:bidi="ar-SA"/>
    </w:rPr>
  </w:style>
  <w:style w:type="paragraph" w:customStyle="1" w:styleId="39">
    <w:name w:val="样式 6 小三"/>
    <w:pPr>
      <w:widowControl w:val="0"/>
      <w:ind w:left="1296"/>
    </w:pPr>
    <w:rPr>
      <w:rFonts w:ascii="方正仿宋_GBK" w:eastAsia="方正仿宋_GBK" w:cs="Arial"/>
      <w:kern w:val="0"/>
      <w:sz w:val="31"/>
      <w:szCs w:val="31"/>
      <w:lang w:val="en-US" w:eastAsia="en-US" w:bidi="ar-SA"/>
    </w:rPr>
  </w:style>
  <w:style w:type="paragraph" w:customStyle="1" w:styleId="40">
    <w:name w:val="样式 7 小三"/>
    <w:pPr>
      <w:widowControl w:val="0"/>
      <w:ind w:left="1296"/>
    </w:pPr>
    <w:rPr>
      <w:rFonts w:ascii="方正仿宋_GBK" w:eastAsia="方正仿宋_GBK" w:cs="Arial"/>
      <w:kern w:val="0"/>
      <w:sz w:val="31"/>
      <w:szCs w:val="31"/>
      <w:lang w:val="en-US" w:eastAsia="en-US" w:bidi="ar-SA"/>
    </w:rPr>
  </w:style>
  <w:style w:type="paragraph" w:customStyle="1" w:styleId="41">
    <w:name w:val="样式 8 小三"/>
    <w:pPr>
      <w:widowControl w:val="0"/>
      <w:ind w:left="1296"/>
    </w:pPr>
    <w:rPr>
      <w:rFonts w:ascii="方正仿宋_GBK" w:eastAsia="方正仿宋_GBK" w:cs="Arial"/>
      <w:kern w:val="0"/>
      <w:sz w:val="31"/>
      <w:szCs w:val="31"/>
      <w:lang w:val="en-US" w:eastAsia="en-US" w:bidi="ar-SA"/>
    </w:rPr>
  </w:style>
  <w:style w:type="paragraph" w:customStyle="1" w:styleId="42">
    <w:name w:val="样式 9 小三"/>
    <w:pPr>
      <w:widowControl w:val="0"/>
      <w:ind w:left="1296"/>
    </w:pPr>
    <w:rPr>
      <w:rFonts w:ascii="方正仿宋_GBK" w:eastAsia="方正仿宋_GBK" w:cs="Arial"/>
      <w:kern w:val="0"/>
      <w:sz w:val="31"/>
      <w:szCs w:val="31"/>
      <w:lang w:val="en-US" w:eastAsia="en-US" w:bidi="ar-SA"/>
    </w:rPr>
  </w:style>
  <w:style w:type="paragraph" w:customStyle="1" w:styleId="43">
    <w:name w:val="样式 10 小三"/>
    <w:pPr>
      <w:widowControl w:val="0"/>
      <w:ind w:left="1296"/>
    </w:pPr>
    <w:rPr>
      <w:rFonts w:ascii="方正仿宋_GBK" w:eastAsia="方正仿宋_GBK" w:cs="Arial"/>
      <w:kern w:val="0"/>
      <w:sz w:val="31"/>
      <w:szCs w:val="31"/>
      <w:lang w:val="en-US" w:eastAsia="en-US" w:bidi="ar-SA"/>
    </w:rPr>
  </w:style>
  <w:style w:type="paragraph" w:customStyle="1" w:styleId="44">
    <w:name w:val="样式 11 小三"/>
    <w:pPr>
      <w:widowControl w:val="0"/>
      <w:ind w:left="1296"/>
    </w:pPr>
    <w:rPr>
      <w:rFonts w:ascii="方正仿宋_GBK" w:eastAsia="方正仿宋_GBK" w:cs="Arial"/>
      <w:kern w:val="0"/>
      <w:sz w:val="31"/>
      <w:szCs w:val="31"/>
      <w:lang w:val="en-US" w:eastAsia="en-US" w:bidi="ar-SA"/>
    </w:rPr>
  </w:style>
  <w:style w:type="paragraph" w:customStyle="1" w:styleId="45">
    <w:name w:val="样式 12 小三"/>
    <w:pPr>
      <w:widowControl w:val="0"/>
      <w:ind w:left="1296"/>
    </w:pPr>
    <w:rPr>
      <w:rFonts w:ascii="方正仿宋_GBK" w:eastAsia="方正仿宋_GBK" w:cs="Arial"/>
      <w:kern w:val="0"/>
      <w:sz w:val="31"/>
      <w:szCs w:val="31"/>
      <w:lang w:val="en-US" w:eastAsia="en-US" w:bidi="ar-SA"/>
    </w:rPr>
  </w:style>
  <w:style w:type="paragraph" w:customStyle="1" w:styleId="46">
    <w:name w:val="样式 13 小三"/>
    <w:pPr>
      <w:widowControl w:val="0"/>
      <w:ind w:left="1296"/>
    </w:pPr>
    <w:rPr>
      <w:rFonts w:ascii="方正仿宋_GBK" w:eastAsia="方正仿宋_GBK" w:cs="Arial"/>
      <w:kern w:val="0"/>
      <w:sz w:val="31"/>
      <w:szCs w:val="31"/>
      <w:lang w:val="en-US" w:eastAsia="en-US" w:bidi="ar-SA"/>
    </w:rPr>
  </w:style>
  <w:style w:type="paragraph" w:customStyle="1" w:styleId="47">
    <w:name w:val="样式 14 小三"/>
    <w:pPr>
      <w:widowControl w:val="0"/>
      <w:ind w:left="1296"/>
    </w:pPr>
    <w:rPr>
      <w:rFonts w:ascii="方正仿宋_GBK" w:eastAsia="方正仿宋_GBK" w:cs="Arial"/>
      <w:kern w:val="0"/>
      <w:sz w:val="31"/>
      <w:szCs w:val="31"/>
      <w:lang w:val="en-US" w:eastAsia="en-US" w:bidi="ar-SA"/>
    </w:rPr>
  </w:style>
  <w:style w:type="paragraph" w:customStyle="1" w:styleId="48">
    <w:name w:val="样式 15 小三"/>
    <w:pPr>
      <w:widowControl w:val="0"/>
      <w:ind w:left="1296"/>
    </w:pPr>
    <w:rPr>
      <w:rFonts w:ascii="方正仿宋_GBK" w:eastAsia="方正仿宋_GBK" w:cs="Arial"/>
      <w:kern w:val="0"/>
      <w:sz w:val="31"/>
      <w:szCs w:val="31"/>
      <w:lang w:val="en-US" w:eastAsia="en-US" w:bidi="ar-SA"/>
    </w:rPr>
  </w:style>
  <w:style w:type="paragraph" w:customStyle="1" w:styleId="49">
    <w:name w:val="样式 16 小三"/>
    <w:pPr>
      <w:widowControl w:val="0"/>
      <w:ind w:left="1296"/>
    </w:pPr>
    <w:rPr>
      <w:rFonts w:ascii="方正仿宋_GBK" w:eastAsia="方正仿宋_GBK" w:cs="Arial"/>
      <w:kern w:val="0"/>
      <w:sz w:val="31"/>
      <w:szCs w:val="31"/>
      <w:lang w:val="en-US" w:eastAsia="en-US" w:bidi="ar-SA"/>
    </w:rPr>
  </w:style>
  <w:style w:type="paragraph" w:customStyle="1" w:styleId="50">
    <w:name w:val="样式 1 11 磅"/>
    <w:pPr>
      <w:widowControl w:val="0"/>
    </w:pPr>
    <w:rPr>
      <w:rFonts w:ascii="Times New Roman" w:eastAsia="宋体" w:cs="Arial" w:hAnsi="Times New Roman"/>
      <w:kern w:val="0"/>
      <w:sz w:val="22"/>
      <w:szCs w:val="22"/>
      <w:lang w:val="en-US" w:eastAsia="en-US" w:bidi="ar-SA"/>
    </w:rPr>
  </w:style>
  <w:style w:type="paragraph" w:customStyle="1" w:styleId="51">
    <w:name w:val="样式 17 小三"/>
    <w:pPr>
      <w:widowControl w:val="0"/>
      <w:ind w:left="1296"/>
    </w:pPr>
    <w:rPr>
      <w:rFonts w:ascii="方正仿宋_GBK" w:eastAsia="方正仿宋_GBK" w:cs="Arial"/>
      <w:kern w:val="0"/>
      <w:sz w:val="31"/>
      <w:szCs w:val="31"/>
      <w:lang w:val="en-US" w:eastAsia="en-US" w:bidi="ar-SA"/>
    </w:rPr>
  </w:style>
  <w:style w:type="paragraph" w:customStyle="1" w:styleId="52">
    <w:name w:val="样式 2 11 磅"/>
    <w:pPr>
      <w:widowControl w:val="0"/>
    </w:pPr>
    <w:rPr>
      <w:rFonts w:ascii="Times New Roman" w:eastAsia="宋体" w:cs="Arial" w:hAnsi="Times New Roman"/>
      <w:kern w:val="0"/>
      <w:sz w:val="22"/>
      <w:szCs w:val="22"/>
      <w:lang w:val="en-US" w:eastAsia="en-US" w:bidi="ar-SA"/>
    </w:rPr>
  </w:style>
  <w:style w:type="paragraph" w:customStyle="1" w:styleId="53">
    <w:name w:val="样式 18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54">
    <w:name w:val="样式 3 11 磅"/>
    <w:pPr>
      <w:widowControl w:val="0"/>
    </w:pPr>
    <w:rPr>
      <w:rFonts w:ascii="Times New Roman" w:eastAsia="宋体" w:cs="Arial" w:hAnsi="Times New Roman"/>
      <w:kern w:val="0"/>
      <w:sz w:val="22"/>
      <w:szCs w:val="22"/>
      <w:lang w:val="en-US" w:eastAsia="en-US" w:bidi="ar-SA"/>
    </w:rPr>
  </w:style>
  <w:style w:type="paragraph" w:customStyle="1" w:styleId="55">
    <w:name w:val="样式 4 11 磅"/>
    <w:pPr>
      <w:widowControl w:val="0"/>
    </w:pPr>
    <w:rPr>
      <w:rFonts w:ascii="Times New Roman" w:eastAsia="宋体" w:cs="Arial" w:hAnsi="Times New Roman"/>
      <w:kern w:val="0"/>
      <w:sz w:val="22"/>
      <w:szCs w:val="22"/>
      <w:lang w:val="en-US" w:eastAsia="en-US" w:bidi="ar-SA"/>
    </w:rPr>
  </w:style>
  <w:style w:type="paragraph" w:customStyle="1" w:styleId="56">
    <w:name w:val="样式 5 11 磅"/>
    <w:pPr>
      <w:widowControl w:val="0"/>
    </w:pPr>
    <w:rPr>
      <w:rFonts w:ascii="Times New Roman" w:eastAsia="宋体" w:cs="Arial" w:hAnsi="Times New Roman"/>
      <w:kern w:val="0"/>
      <w:sz w:val="22"/>
      <w:szCs w:val="22"/>
      <w:lang w:val="en-US" w:eastAsia="en-US" w:bidi="ar-SA"/>
    </w:rPr>
  </w:style>
  <w:style w:type="paragraph" w:customStyle="1" w:styleId="57">
    <w:name w:val="样式 6 11 磅"/>
    <w:pPr>
      <w:widowControl w:val="0"/>
    </w:pPr>
    <w:rPr>
      <w:rFonts w:ascii="Times New Roman" w:eastAsia="宋体" w:cs="Arial" w:hAnsi="Times New Roman"/>
      <w:kern w:val="0"/>
      <w:sz w:val="22"/>
      <w:szCs w:val="22"/>
      <w:lang w:val="en-US" w:eastAsia="en-US" w:bidi="ar-SA"/>
    </w:rPr>
  </w:style>
  <w:style w:type="paragraph" w:customStyle="1" w:styleId="58">
    <w:name w:val="样式 19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59">
    <w:name w:val="样式 7 11 磅"/>
    <w:pPr>
      <w:widowControl w:val="0"/>
    </w:pPr>
    <w:rPr>
      <w:rFonts w:ascii="Times New Roman" w:eastAsia="宋体" w:cs="Arial" w:hAnsi="Times New Roman"/>
      <w:kern w:val="0"/>
      <w:sz w:val="22"/>
      <w:szCs w:val="22"/>
      <w:lang w:val="en-US" w:eastAsia="en-US" w:bidi="ar-SA"/>
    </w:rPr>
  </w:style>
  <w:style w:type="paragraph" w:customStyle="1" w:styleId="60">
    <w:name w:val="样式 8 11 磅"/>
    <w:pPr>
      <w:widowControl w:val="0"/>
    </w:pPr>
    <w:rPr>
      <w:rFonts w:ascii="Times New Roman" w:eastAsia="宋体" w:cs="Arial" w:hAnsi="Times New Roman"/>
      <w:kern w:val="0"/>
      <w:sz w:val="22"/>
      <w:szCs w:val="22"/>
      <w:lang w:val="en-US" w:eastAsia="en-US" w:bidi="ar-SA"/>
    </w:rPr>
  </w:style>
  <w:style w:type="paragraph" w:customStyle="1" w:styleId="61">
    <w:name w:val="样式 9 11 磅"/>
    <w:pPr>
      <w:widowControl w:val="0"/>
    </w:pPr>
    <w:rPr>
      <w:rFonts w:ascii="Times New Roman" w:eastAsia="宋体" w:cs="Arial" w:hAnsi="Times New Roman"/>
      <w:kern w:val="0"/>
      <w:sz w:val="22"/>
      <w:szCs w:val="22"/>
      <w:lang w:val="en-US" w:eastAsia="en-US" w:bidi="ar-SA"/>
    </w:rPr>
  </w:style>
  <w:style w:type="paragraph" w:customStyle="1" w:styleId="62">
    <w:name w:val="样式 10 11 磅"/>
    <w:pPr>
      <w:widowControl w:val="0"/>
    </w:pPr>
    <w:rPr>
      <w:rFonts w:ascii="Times New Roman" w:eastAsia="宋体" w:cs="Arial" w:hAnsi="Times New Roman"/>
      <w:kern w:val="0"/>
      <w:sz w:val="22"/>
      <w:szCs w:val="22"/>
      <w:lang w:val="en-US" w:eastAsia="en-US" w:bidi="ar-SA"/>
    </w:rPr>
  </w:style>
  <w:style w:type="paragraph" w:customStyle="1" w:styleId="63">
    <w:name w:val="样式 11 11 磅"/>
    <w:pPr>
      <w:widowControl w:val="0"/>
    </w:pPr>
    <w:rPr>
      <w:rFonts w:ascii="Times New Roman" w:eastAsia="宋体" w:cs="Arial" w:hAnsi="Times New Roman"/>
      <w:kern w:val="0"/>
      <w:sz w:val="22"/>
      <w:szCs w:val="22"/>
      <w:lang w:val="en-US" w:eastAsia="en-US" w:bidi="ar-SA"/>
    </w:rPr>
  </w:style>
  <w:style w:type="paragraph" w:customStyle="1" w:styleId="64">
    <w:name w:val="样式 20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65">
    <w:name w:val="样式 12 11 磅"/>
    <w:pPr>
      <w:widowControl w:val="0"/>
    </w:pPr>
    <w:rPr>
      <w:rFonts w:ascii="Times New Roman" w:eastAsia="宋体" w:cs="Arial" w:hAnsi="Times New Roman"/>
      <w:kern w:val="0"/>
      <w:sz w:val="22"/>
      <w:szCs w:val="22"/>
      <w:lang w:val="en-US" w:eastAsia="en-US" w:bidi="ar-SA"/>
    </w:rPr>
  </w:style>
  <w:style w:type="paragraph" w:customStyle="1" w:styleId="66">
    <w:name w:val="样式 13 11 磅"/>
    <w:pPr>
      <w:widowControl w:val="0"/>
    </w:pPr>
    <w:rPr>
      <w:rFonts w:ascii="Times New Roman" w:eastAsia="宋体" w:cs="Arial" w:hAnsi="Times New Roman"/>
      <w:kern w:val="0"/>
      <w:sz w:val="22"/>
      <w:szCs w:val="22"/>
      <w:lang w:val="en-US" w:eastAsia="en-US" w:bidi="ar-SA"/>
    </w:rPr>
  </w:style>
  <w:style w:type="paragraph" w:customStyle="1" w:styleId="67">
    <w:name w:val="样式 14 11 磅"/>
    <w:pPr>
      <w:widowControl w:val="0"/>
    </w:pPr>
    <w:rPr>
      <w:rFonts w:ascii="Times New Roman" w:eastAsia="宋体" w:cs="Arial" w:hAnsi="Times New Roman"/>
      <w:kern w:val="0"/>
      <w:sz w:val="22"/>
      <w:szCs w:val="22"/>
      <w:lang w:val="en-US" w:eastAsia="en-US" w:bidi="ar-SA"/>
    </w:rPr>
  </w:style>
  <w:style w:type="paragraph" w:customStyle="1" w:styleId="68">
    <w:name w:val="样式 15 11 磅"/>
    <w:pPr>
      <w:widowControl w:val="0"/>
    </w:pPr>
    <w:rPr>
      <w:rFonts w:ascii="Times New Roman" w:eastAsia="宋体" w:cs="Arial" w:hAnsi="Times New Roman"/>
      <w:kern w:val="0"/>
      <w:sz w:val="22"/>
      <w:szCs w:val="22"/>
      <w:lang w:val="en-US" w:eastAsia="en-US" w:bidi="ar-SA"/>
    </w:rPr>
  </w:style>
  <w:style w:type="paragraph" w:customStyle="1" w:styleId="69">
    <w:name w:val="样式 21 小三"/>
    <w:pPr>
      <w:widowControl w:val="0"/>
      <w:ind w:left="1296"/>
    </w:pPr>
    <w:rPr>
      <w:rFonts w:ascii="方正仿宋_GBK" w:eastAsia="方正仿宋_GBK" w:cs="Arial"/>
      <w:kern w:val="0"/>
      <w:sz w:val="31"/>
      <w:szCs w:val="31"/>
      <w:lang w:val="en-US" w:eastAsia="en-US" w:bidi="ar-SA"/>
    </w:rPr>
  </w:style>
  <w:style w:type="paragraph" w:customStyle="1" w:styleId="70">
    <w:name w:val="样式 16 11 磅"/>
    <w:pPr>
      <w:widowControl w:val="0"/>
    </w:pPr>
    <w:rPr>
      <w:rFonts w:ascii="Times New Roman" w:eastAsia="宋体" w:cs="Arial" w:hAnsi="Times New Roman"/>
      <w:kern w:val="0"/>
      <w:sz w:val="22"/>
      <w:szCs w:val="22"/>
      <w:lang w:val="en-US" w:eastAsia="en-US" w:bidi="ar-SA"/>
    </w:rPr>
  </w:style>
  <w:style w:type="paragraph" w:customStyle="1" w:styleId="71">
    <w:name w:val="样式 17 11 磅"/>
    <w:pPr>
      <w:widowControl w:val="0"/>
    </w:pPr>
    <w:rPr>
      <w:rFonts w:ascii="Times New Roman" w:eastAsia="宋体" w:cs="Arial" w:hAnsi="Times New Roman"/>
      <w:kern w:val="0"/>
      <w:sz w:val="22"/>
      <w:szCs w:val="22"/>
      <w:lang w:val="en-US" w:eastAsia="en-US" w:bidi="ar-SA"/>
    </w:rPr>
  </w:style>
  <w:style w:type="paragraph" w:customStyle="1" w:styleId="72">
    <w:name w:val="样式 22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73">
    <w:name w:val="样式 18 11 磅"/>
    <w:pPr>
      <w:widowControl w:val="0"/>
    </w:pPr>
    <w:rPr>
      <w:rFonts w:ascii="Times New Roman" w:eastAsia="宋体" w:cs="Arial" w:hAnsi="Times New Roman"/>
      <w:kern w:val="0"/>
      <w:sz w:val="22"/>
      <w:szCs w:val="22"/>
      <w:lang w:val="en-US" w:eastAsia="en-US" w:bidi="ar-SA"/>
    </w:rPr>
  </w:style>
  <w:style w:type="paragraph" w:customStyle="1" w:styleId="74">
    <w:name w:val="样式 19 11 磅"/>
    <w:pPr>
      <w:widowControl w:val="0"/>
    </w:pPr>
    <w:rPr>
      <w:rFonts w:ascii="Times New Roman" w:eastAsia="宋体" w:cs="Arial" w:hAnsi="Times New Roman"/>
      <w:kern w:val="0"/>
      <w:sz w:val="22"/>
      <w:szCs w:val="22"/>
      <w:lang w:val="en-US" w:eastAsia="en-US" w:bidi="ar-SA"/>
    </w:rPr>
  </w:style>
  <w:style w:type="paragraph" w:customStyle="1" w:styleId="75">
    <w:name w:val="样式 23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76">
    <w:name w:val="样式 24 小三"/>
    <w:pPr>
      <w:widowControl w:val="0"/>
      <w:ind w:left="1296"/>
    </w:pPr>
    <w:rPr>
      <w:rFonts w:ascii="方正仿宋_GBK" w:eastAsia="方正仿宋_GBK" w:cs="Arial"/>
      <w:kern w:val="0"/>
      <w:sz w:val="31"/>
      <w:szCs w:val="31"/>
      <w:lang w:val="en-US" w:eastAsia="en-US" w:bidi="ar-SA"/>
    </w:rPr>
  </w:style>
  <w:style w:type="paragraph" w:customStyle="1" w:styleId="77">
    <w:name w:val="样式 25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78">
    <w:name w:val="样式 20 11 磅"/>
    <w:pPr>
      <w:widowControl w:val="0"/>
    </w:pPr>
    <w:rPr>
      <w:rFonts w:ascii="Times New Roman" w:eastAsia="宋体" w:cs="Arial" w:hAnsi="Times New Roman"/>
      <w:kern w:val="0"/>
      <w:sz w:val="22"/>
      <w:szCs w:val="22"/>
      <w:lang w:val="en-US" w:eastAsia="en-US" w:bidi="ar-SA"/>
    </w:rPr>
  </w:style>
  <w:style w:type="paragraph" w:customStyle="1" w:styleId="79">
    <w:name w:val="样式 21 11 磅"/>
    <w:pPr>
      <w:widowControl w:val="0"/>
    </w:pPr>
    <w:rPr>
      <w:rFonts w:ascii="Times New Roman" w:eastAsia="宋体" w:cs="Arial" w:hAnsi="Times New Roman"/>
      <w:kern w:val="0"/>
      <w:sz w:val="22"/>
      <w:szCs w:val="22"/>
      <w:lang w:val="en-US" w:eastAsia="en-US" w:bidi="ar-SA"/>
    </w:rPr>
  </w:style>
  <w:style w:type="paragraph" w:customStyle="1" w:styleId="80">
    <w:name w:val="样式 26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81">
    <w:name w:val="样式 27 小三"/>
    <w:pPr>
      <w:widowControl w:val="0"/>
      <w:ind w:left="1296"/>
    </w:pPr>
    <w:rPr>
      <w:rFonts w:ascii="方正仿宋_GBK" w:eastAsia="方正仿宋_GBK" w:cs="Arial"/>
      <w:kern w:val="0"/>
      <w:sz w:val="31"/>
      <w:szCs w:val="31"/>
      <w:lang w:val="en-US" w:eastAsia="en-US" w:bidi="ar-SA"/>
    </w:rPr>
  </w:style>
  <w:style w:type="paragraph" w:customStyle="1" w:styleId="82">
    <w:name w:val="样式 28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83">
    <w:name w:val="样式 22 11 磅"/>
    <w:pPr>
      <w:widowControl w:val="0"/>
    </w:pPr>
    <w:rPr>
      <w:rFonts w:ascii="Times New Roman" w:eastAsia="宋体" w:cs="Arial" w:hAnsi="Times New Roman"/>
      <w:kern w:val="0"/>
      <w:sz w:val="22"/>
      <w:szCs w:val="22"/>
      <w:lang w:val="en-US" w:eastAsia="en-US" w:bidi="ar-SA"/>
    </w:rPr>
  </w:style>
  <w:style w:type="paragraph" w:customStyle="1" w:styleId="84">
    <w:name w:val="样式 29 小三"/>
    <w:pPr>
      <w:widowControl w:val="0"/>
      <w:ind w:left="1296"/>
    </w:pPr>
    <w:rPr>
      <w:rFonts w:ascii="方正仿宋_GBK" w:eastAsia="方正仿宋_GBK" w:cs="Arial"/>
      <w:kern w:val="0"/>
      <w:sz w:val="31"/>
      <w:szCs w:val="31"/>
      <w:lang w:val="en-US" w:eastAsia="en-US" w:bidi="ar-SA"/>
    </w:rPr>
  </w:style>
  <w:style w:type="paragraph" w:customStyle="1" w:styleId="85">
    <w:name w:val="样式 23 11 磅"/>
    <w:pPr>
      <w:widowControl w:val="0"/>
    </w:pPr>
    <w:rPr>
      <w:rFonts w:ascii="Times New Roman" w:eastAsia="宋体" w:cs="Arial" w:hAnsi="Times New Roman"/>
      <w:kern w:val="0"/>
      <w:sz w:val="22"/>
      <w:szCs w:val="22"/>
      <w:lang w:val="en-US" w:eastAsia="en-US" w:bidi="ar-SA"/>
    </w:rPr>
  </w:style>
  <w:style w:type="paragraph" w:customStyle="1" w:styleId="86">
    <w:name w:val="样式 30 小三"/>
    <w:pPr>
      <w:widowControl w:val="0"/>
      <w:ind w:left="1296"/>
    </w:pPr>
    <w:rPr>
      <w:rFonts w:ascii="方正仿宋_GBK" w:eastAsia="方正仿宋_GBK" w:cs="Arial"/>
      <w:kern w:val="0"/>
      <w:sz w:val="31"/>
      <w:szCs w:val="31"/>
      <w:lang w:val="en-US" w:eastAsia="en-US" w:bidi="ar-SA"/>
    </w:rPr>
  </w:style>
  <w:style w:type="paragraph" w:customStyle="1" w:styleId="87">
    <w:name w:val="样式 31 小三"/>
    <w:pPr>
      <w:widowControl w:val="0"/>
      <w:ind w:left="2068"/>
      <w:outlineLvl w:val="3"/>
    </w:pPr>
    <w:rPr>
      <w:rFonts w:ascii="方正仿宋_GBK" w:eastAsia="方正仿宋_GBK" w:cs="Arial"/>
      <w:b/>
      <w:bCs/>
      <w:sz w:val="31"/>
      <w:szCs w:val="31"/>
      <w:lang w:val="en-US" w:eastAsia="en-US" w:bidi="ar-SA"/>
    </w:rPr>
  </w:style>
  <w:style w:type="paragraph" w:customStyle="1" w:styleId="88">
    <w:name w:val="样式 32 小三"/>
    <w:pPr>
      <w:widowControl w:val="0"/>
      <w:ind w:left="1296"/>
    </w:pPr>
    <w:rPr>
      <w:rFonts w:ascii="方正仿宋_GBK" w:eastAsia="方正仿宋_GBK" w:cs="Arial"/>
      <w:kern w:val="0"/>
      <w:sz w:val="31"/>
      <w:szCs w:val="31"/>
      <w:lang w:val="en-US" w:eastAsia="en-US" w:bidi="ar-SA"/>
    </w:rPr>
  </w:style>
  <w:style w:type="paragraph" w:customStyle="1" w:styleId="89">
    <w:name w:val="样式 33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90">
    <w:name w:val="样式 34 小三"/>
    <w:pPr>
      <w:widowControl w:val="0"/>
      <w:ind w:left="1296"/>
    </w:pPr>
    <w:rPr>
      <w:rFonts w:ascii="方正仿宋_GBK" w:eastAsia="方正仿宋_GBK" w:cs="Arial"/>
      <w:kern w:val="0"/>
      <w:sz w:val="31"/>
      <w:szCs w:val="31"/>
      <w:lang w:val="en-US" w:eastAsia="en-US" w:bidi="ar-SA"/>
    </w:rPr>
  </w:style>
  <w:style w:type="paragraph" w:customStyle="1" w:styleId="91">
    <w:name w:val="样式 24 11 磅"/>
    <w:pPr>
      <w:widowControl w:val="0"/>
    </w:pPr>
    <w:rPr>
      <w:rFonts w:ascii="Times New Roman" w:eastAsia="宋体" w:cs="Arial" w:hAnsi="Times New Roman"/>
      <w:kern w:val="0"/>
      <w:sz w:val="22"/>
      <w:szCs w:val="22"/>
      <w:lang w:val="en-US" w:eastAsia="en-US" w:bidi="ar-SA"/>
    </w:rPr>
  </w:style>
  <w:style w:type="paragraph" w:customStyle="1" w:styleId="92">
    <w:name w:val="样式 25 11 磅"/>
    <w:pPr>
      <w:widowControl w:val="0"/>
    </w:pPr>
    <w:rPr>
      <w:rFonts w:ascii="Times New Roman" w:eastAsia="宋体" w:cs="Arial" w:hAnsi="Times New Roman"/>
      <w:kern w:val="0"/>
      <w:sz w:val="22"/>
      <w:szCs w:val="22"/>
      <w:lang w:val="en-US" w:eastAsia="en-US" w:bidi="ar-SA"/>
    </w:rPr>
  </w:style>
  <w:style w:type="paragraph" w:customStyle="1" w:styleId="93">
    <w:name w:val="样式 35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94">
    <w:name w:val="样式 36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95">
    <w:name w:val="样式 26 11 磅"/>
    <w:pPr>
      <w:widowControl w:val="0"/>
    </w:pPr>
    <w:rPr>
      <w:rFonts w:ascii="Times New Roman" w:eastAsia="宋体" w:cs="Arial" w:hAnsi="Times New Roman"/>
      <w:kern w:val="0"/>
      <w:sz w:val="22"/>
      <w:szCs w:val="22"/>
      <w:lang w:val="en-US" w:eastAsia="en-US" w:bidi="ar-SA"/>
    </w:rPr>
  </w:style>
  <w:style w:type="paragraph" w:customStyle="1" w:styleId="96">
    <w:name w:val="样式 27 11 磅"/>
    <w:pPr>
      <w:widowControl w:val="0"/>
    </w:pPr>
    <w:rPr>
      <w:rFonts w:ascii="Times New Roman" w:eastAsia="宋体" w:cs="Arial" w:hAnsi="Times New Roman"/>
      <w:kern w:val="0"/>
      <w:sz w:val="22"/>
      <w:szCs w:val="22"/>
      <w:lang w:val="en-US" w:eastAsia="en-US" w:bidi="ar-SA"/>
    </w:rPr>
  </w:style>
  <w:style w:type="paragraph" w:customStyle="1" w:styleId="97">
    <w:name w:val="样式 37 小三"/>
    <w:pPr>
      <w:widowControl w:val="0"/>
      <w:ind w:left="1296"/>
    </w:pPr>
    <w:rPr>
      <w:rFonts w:ascii="方正仿宋_GBK" w:eastAsia="方正仿宋_GBK" w:cs="Arial"/>
      <w:kern w:val="0"/>
      <w:sz w:val="31"/>
      <w:szCs w:val="31"/>
      <w:lang w:val="en-US" w:eastAsia="en-US" w:bidi="ar-SA"/>
    </w:rPr>
  </w:style>
  <w:style w:type="paragraph" w:customStyle="1" w:styleId="98">
    <w:name w:val="样式 28 11 磅"/>
    <w:pPr>
      <w:widowControl w:val="0"/>
    </w:pPr>
    <w:rPr>
      <w:rFonts w:ascii="Times New Roman" w:eastAsia="宋体" w:cs="Arial" w:hAnsi="Times New Roman"/>
      <w:kern w:val="0"/>
      <w:sz w:val="22"/>
      <w:szCs w:val="22"/>
      <w:lang w:val="en-US" w:eastAsia="en-US" w:bidi="ar-SA"/>
    </w:rPr>
  </w:style>
  <w:style w:type="paragraph" w:customStyle="1" w:styleId="99">
    <w:name w:val="样式 29 11 磅"/>
    <w:pPr>
      <w:widowControl w:val="0"/>
    </w:pPr>
    <w:rPr>
      <w:rFonts w:ascii="Times New Roman" w:eastAsia="宋体" w:cs="Arial" w:hAnsi="Times New Roman"/>
      <w:kern w:val="0"/>
      <w:sz w:val="22"/>
      <w:szCs w:val="22"/>
      <w:lang w:val="en-US" w:eastAsia="en-US" w:bidi="ar-SA"/>
    </w:rPr>
  </w:style>
  <w:style w:type="paragraph" w:customStyle="1" w:styleId="100">
    <w:name w:val="样式 38 小三"/>
    <w:pPr>
      <w:widowControl w:val="0"/>
      <w:ind w:left="1296"/>
    </w:pPr>
    <w:rPr>
      <w:rFonts w:ascii="方正仿宋_GBK" w:eastAsia="方正仿宋_GBK" w:cs="Arial"/>
      <w:kern w:val="0"/>
      <w:sz w:val="31"/>
      <w:szCs w:val="31"/>
      <w:lang w:val="en-US" w:eastAsia="en-US" w:bidi="ar-SA"/>
    </w:rPr>
  </w:style>
  <w:style w:type="paragraph" w:customStyle="1" w:styleId="101">
    <w:name w:val="样式 30 11 磅"/>
    <w:pPr>
      <w:widowControl w:val="0"/>
    </w:pPr>
    <w:rPr>
      <w:rFonts w:ascii="Times New Roman" w:eastAsia="宋体" w:cs="Arial" w:hAnsi="Times New Roman"/>
      <w:kern w:val="0"/>
      <w:sz w:val="22"/>
      <w:szCs w:val="22"/>
      <w:lang w:val="en-US" w:eastAsia="en-US" w:bidi="ar-SA"/>
    </w:rPr>
  </w:style>
  <w:style w:type="paragraph" w:customStyle="1" w:styleId="102">
    <w:name w:val="样式 31 11 磅"/>
    <w:pPr>
      <w:widowControl w:val="0"/>
    </w:pPr>
    <w:rPr>
      <w:rFonts w:ascii="Times New Roman" w:eastAsia="宋体" w:cs="Arial" w:hAnsi="Times New Roman"/>
      <w:kern w:val="0"/>
      <w:sz w:val="22"/>
      <w:szCs w:val="22"/>
      <w:lang w:val="en-US" w:eastAsia="en-US" w:bidi="ar-SA"/>
    </w:rPr>
  </w:style>
  <w:style w:type="paragraph" w:customStyle="1" w:styleId="103">
    <w:name w:val="样式 39 小三"/>
    <w:pPr>
      <w:widowControl w:val="0"/>
      <w:ind w:left="1296"/>
    </w:pPr>
    <w:rPr>
      <w:rFonts w:ascii="方正仿宋_GBK" w:eastAsia="方正仿宋_GBK" w:cs="Arial"/>
      <w:kern w:val="0"/>
      <w:sz w:val="31"/>
      <w:szCs w:val="31"/>
      <w:lang w:val="en-US" w:eastAsia="en-US" w:bidi="ar-SA"/>
    </w:rPr>
  </w:style>
  <w:style w:type="paragraph" w:customStyle="1" w:styleId="104">
    <w:name w:val="样式 40 小三"/>
    <w:pPr>
      <w:widowControl w:val="0"/>
      <w:ind w:left="1296"/>
    </w:pPr>
    <w:rPr>
      <w:rFonts w:ascii="方正仿宋_GBK" w:eastAsia="方正仿宋_GBK" w:cs="Arial"/>
      <w:kern w:val="0"/>
      <w:sz w:val="31"/>
      <w:szCs w:val="31"/>
      <w:lang w:val="en-US" w:eastAsia="en-US" w:bidi="ar-SA"/>
    </w:rPr>
  </w:style>
  <w:style w:type="paragraph" w:customStyle="1" w:styleId="105">
    <w:name w:val="样式 32 11 磅"/>
    <w:pPr>
      <w:widowControl w:val="0"/>
    </w:pPr>
    <w:rPr>
      <w:rFonts w:ascii="Times New Roman" w:eastAsia="宋体" w:cs="Arial" w:hAnsi="Times New Roman"/>
      <w:kern w:val="0"/>
      <w:sz w:val="22"/>
      <w:szCs w:val="22"/>
      <w:lang w:val="en-US" w:eastAsia="en-US" w:bidi="ar-SA"/>
    </w:rPr>
  </w:style>
  <w:style w:type="paragraph" w:customStyle="1" w:styleId="106">
    <w:name w:val="样式 41 小三"/>
    <w:pPr>
      <w:widowControl w:val="0"/>
      <w:ind w:left="1296"/>
    </w:pPr>
    <w:rPr>
      <w:rFonts w:ascii="方正仿宋_GBK" w:eastAsia="方正仿宋_GBK" w:cs="Arial"/>
      <w:kern w:val="0"/>
      <w:sz w:val="31"/>
      <w:szCs w:val="31"/>
      <w:lang w:val="en-US" w:eastAsia="en-US" w:bidi="ar-SA"/>
    </w:rPr>
  </w:style>
  <w:style w:type="paragraph" w:customStyle="1" w:styleId="107">
    <w:name w:val="样式 42 小三"/>
    <w:pPr>
      <w:widowControl w:val="0"/>
      <w:ind w:left="1296"/>
    </w:pPr>
    <w:rPr>
      <w:rFonts w:ascii="方正仿宋_GBK" w:eastAsia="方正仿宋_GBK" w:cs="Arial"/>
      <w:kern w:val="0"/>
      <w:sz w:val="31"/>
      <w:szCs w:val="31"/>
      <w:lang w:val="en-US" w:eastAsia="en-US" w:bidi="ar-SA"/>
    </w:rPr>
  </w:style>
  <w:style w:type="paragraph" w:customStyle="1" w:styleId="108">
    <w:name w:val="样式 43 小三"/>
    <w:pPr>
      <w:widowControl w:val="0"/>
      <w:ind w:left="1296"/>
    </w:pPr>
    <w:rPr>
      <w:rFonts w:ascii="方正仿宋_GBK" w:eastAsia="方正仿宋_GBK" w:cs="Arial"/>
      <w:kern w:val="0"/>
      <w:sz w:val="31"/>
      <w:szCs w:val="31"/>
      <w:lang w:val="en-US" w:eastAsia="en-US" w:bidi="ar-SA"/>
    </w:rPr>
  </w:style>
  <w:style w:type="paragraph" w:customStyle="1" w:styleId="109">
    <w:name w:val="样式 44 小三"/>
    <w:pPr>
      <w:widowControl w:val="0"/>
      <w:ind w:left="1296"/>
    </w:pPr>
    <w:rPr>
      <w:rFonts w:ascii="方正仿宋_GBK" w:eastAsia="方正仿宋_GBK" w:cs="Arial"/>
      <w:kern w:val="0"/>
      <w:sz w:val="31"/>
      <w:szCs w:val="31"/>
      <w:lang w:val="en-US" w:eastAsia="en-US" w:bidi="ar-SA"/>
    </w:rPr>
  </w:style>
  <w:style w:type="paragraph" w:customStyle="1" w:styleId="110">
    <w:name w:val="样式 45 小三"/>
    <w:pPr>
      <w:widowControl w:val="0"/>
      <w:ind w:left="1296"/>
    </w:pPr>
    <w:rPr>
      <w:rFonts w:ascii="方正仿宋_GBK" w:eastAsia="方正仿宋_GBK" w:cs="Arial"/>
      <w:kern w:val="0"/>
      <w:sz w:val="31"/>
      <w:szCs w:val="31"/>
      <w:lang w:val="en-US" w:eastAsia="en-US" w:bidi="ar-SA"/>
    </w:rPr>
  </w:style>
  <w:style w:type="paragraph" w:customStyle="1" w:styleId="111">
    <w:name w:val="样式 46 小三"/>
    <w:pPr>
      <w:widowControl w:val="0"/>
      <w:ind w:left="1296"/>
    </w:pPr>
    <w:rPr>
      <w:rFonts w:ascii="方正仿宋_GBK" w:eastAsia="方正仿宋_GBK" w:cs="Arial"/>
      <w:kern w:val="0"/>
      <w:sz w:val="31"/>
      <w:szCs w:val="31"/>
      <w:lang w:val="en-US" w:eastAsia="en-US" w:bidi="ar-SA"/>
    </w:rPr>
  </w:style>
  <w:style w:type="paragraph" w:customStyle="1" w:styleId="112">
    <w:name w:val="样式 33 11 磅"/>
    <w:pPr>
      <w:widowControl w:val="0"/>
    </w:pPr>
    <w:rPr>
      <w:rFonts w:ascii="Times New Roman" w:eastAsia="宋体" w:cs="Arial" w:hAnsi="Times New Roman"/>
      <w:kern w:val="0"/>
      <w:sz w:val="22"/>
      <w:szCs w:val="22"/>
      <w:lang w:val="en-US" w:eastAsia="en-US" w:bidi="ar-SA"/>
    </w:rPr>
  </w:style>
  <w:style w:type="paragraph" w:customStyle="1" w:styleId="113">
    <w:name w:val="样式 34 11 磅"/>
    <w:pPr>
      <w:widowControl w:val="0"/>
    </w:pPr>
    <w:rPr>
      <w:rFonts w:ascii="Times New Roman" w:eastAsia="宋体" w:cs="Arial" w:hAnsi="Times New Roman"/>
      <w:kern w:val="0"/>
      <w:sz w:val="22"/>
      <w:szCs w:val="22"/>
      <w:lang w:val="en-US" w:eastAsia="en-US" w:bidi="ar-SA"/>
    </w:rPr>
  </w:style>
  <w:style w:type="paragraph" w:customStyle="1" w:styleId="114">
    <w:name w:val="样式 35 11 磅"/>
    <w:pPr>
      <w:widowControl w:val="0"/>
    </w:pPr>
    <w:rPr>
      <w:rFonts w:ascii="Times New Roman" w:eastAsia="宋体" w:cs="Arial" w:hAnsi="Times New Roman"/>
      <w:kern w:val="0"/>
      <w:sz w:val="22"/>
      <w:szCs w:val="22"/>
      <w:lang w:val="en-US" w:eastAsia="en-US" w:bidi="ar-SA"/>
    </w:rPr>
  </w:style>
  <w:style w:type="paragraph" w:customStyle="1" w:styleId="115">
    <w:name w:val="样式 36 11 磅"/>
    <w:pPr>
      <w:widowControl w:val="0"/>
    </w:pPr>
    <w:rPr>
      <w:rFonts w:ascii="Times New Roman" w:eastAsia="宋体" w:cs="Arial" w:hAnsi="Times New Roman"/>
      <w:kern w:val="0"/>
      <w:sz w:val="22"/>
      <w:szCs w:val="22"/>
      <w:lang w:val="en-US" w:eastAsia="en-US" w:bidi="ar-SA"/>
    </w:rPr>
  </w:style>
  <w:style w:type="paragraph" w:customStyle="1" w:styleId="116">
    <w:name w:val="样式 37 11 磅"/>
    <w:pPr>
      <w:widowControl w:val="0"/>
    </w:pPr>
    <w:rPr>
      <w:rFonts w:ascii="Times New Roman" w:eastAsia="宋体" w:cs="Arial" w:hAnsi="Times New Roman"/>
      <w:kern w:val="0"/>
      <w:sz w:val="22"/>
      <w:szCs w:val="22"/>
      <w:lang w:val="en-US" w:eastAsia="en-US" w:bidi="ar-SA"/>
    </w:rPr>
  </w:style>
  <w:style w:type="paragraph" w:customStyle="1" w:styleId="117">
    <w:name w:val="样式 38 11 磅"/>
    <w:pPr>
      <w:widowControl w:val="0"/>
    </w:pPr>
    <w:rPr>
      <w:rFonts w:ascii="Times New Roman" w:eastAsia="宋体" w:cs="Arial" w:hAnsi="Times New Roman"/>
      <w:kern w:val="0"/>
      <w:sz w:val="22"/>
      <w:szCs w:val="22"/>
      <w:lang w:val="en-US" w:eastAsia="en-US" w:bidi="ar-SA"/>
    </w:rPr>
  </w:style>
  <w:style w:type="paragraph" w:customStyle="1" w:styleId="118">
    <w:name w:val="样式 39 11 磅"/>
    <w:pPr>
      <w:widowControl w:val="0"/>
    </w:pPr>
    <w:rPr>
      <w:rFonts w:ascii="Times New Roman" w:eastAsia="宋体" w:cs="Arial" w:hAnsi="Times New Roman"/>
      <w:kern w:val="0"/>
      <w:sz w:val="22"/>
      <w:szCs w:val="22"/>
      <w:lang w:val="en-US" w:eastAsia="en-US" w:bidi="ar-SA"/>
    </w:rPr>
  </w:style>
  <w:style w:type="paragraph" w:customStyle="1" w:styleId="119">
    <w:name w:val="样式 40 11 磅"/>
    <w:pPr>
      <w:widowControl w:val="0"/>
    </w:pPr>
    <w:rPr>
      <w:rFonts w:ascii="Times New Roman" w:eastAsia="宋体" w:cs="Arial" w:hAnsi="Times New Roman"/>
      <w:kern w:val="0"/>
      <w:sz w:val="22"/>
      <w:szCs w:val="22"/>
      <w:lang w:val="en-US" w:eastAsia="en-US" w:bidi="ar-SA"/>
    </w:rPr>
  </w:style>
  <w:style w:type="paragraph" w:customStyle="1" w:styleId="120">
    <w:name w:val="样式 41 11 磅"/>
    <w:pPr>
      <w:widowControl w:val="0"/>
    </w:pPr>
    <w:rPr>
      <w:rFonts w:ascii="Times New Roman" w:eastAsia="宋体" w:cs="Arial" w:hAnsi="Times New Roman"/>
      <w:kern w:val="0"/>
      <w:sz w:val="22"/>
      <w:szCs w:val="22"/>
      <w:lang w:val="en-US" w:eastAsia="en-US" w:bidi="ar-SA"/>
    </w:rPr>
  </w:style>
  <w:style w:type="paragraph" w:customStyle="1" w:styleId="121">
    <w:name w:val="样式 42 11 磅"/>
    <w:pPr>
      <w:widowControl w:val="0"/>
    </w:pPr>
    <w:rPr>
      <w:rFonts w:ascii="Times New Roman" w:eastAsia="宋体" w:cs="Arial" w:hAnsi="Times New Roman"/>
      <w:kern w:val="0"/>
      <w:sz w:val="22"/>
      <w:szCs w:val="22"/>
      <w:lang w:val="en-US" w:eastAsia="en-US" w:bidi="ar-SA"/>
    </w:rPr>
  </w:style>
  <w:style w:type="paragraph" w:customStyle="1" w:styleId="122">
    <w:name w:val="样式 43 11 磅"/>
    <w:pPr>
      <w:widowControl w:val="0"/>
    </w:pPr>
    <w:rPr>
      <w:rFonts w:ascii="Times New Roman" w:eastAsia="宋体" w:cs="Arial" w:hAnsi="Times New Roman"/>
      <w:kern w:val="0"/>
      <w:sz w:val="22"/>
      <w:szCs w:val="22"/>
      <w:lang w:val="en-US" w:eastAsia="en-US" w:bidi="ar-SA"/>
    </w:rPr>
  </w:style>
  <w:style w:type="paragraph" w:customStyle="1" w:styleId="123">
    <w:name w:val="样式 44 11 磅"/>
    <w:pPr>
      <w:widowControl w:val="0"/>
    </w:pPr>
    <w:rPr>
      <w:rFonts w:ascii="Times New Roman" w:eastAsia="宋体" w:cs="Arial" w:hAnsi="Times New Roman"/>
      <w:kern w:val="0"/>
      <w:sz w:val="22"/>
      <w:szCs w:val="22"/>
      <w:lang w:val="en-US" w:eastAsia="en-US" w:bidi="ar-SA"/>
    </w:rPr>
  </w:style>
  <w:style w:type="paragraph" w:customStyle="1" w:styleId="124">
    <w:name w:val="样式 45 11 磅"/>
    <w:pPr>
      <w:widowControl w:val="0"/>
    </w:pPr>
    <w:rPr>
      <w:rFonts w:ascii="Times New Roman" w:eastAsia="宋体" w:cs="Arial" w:hAnsi="Times New Roman"/>
      <w:kern w:val="0"/>
      <w:sz w:val="22"/>
      <w:szCs w:val="22"/>
      <w:lang w:val="en-US" w:eastAsia="en-US" w:bidi="ar-SA"/>
    </w:rPr>
  </w:style>
  <w:style w:type="paragraph" w:customStyle="1" w:styleId="125">
    <w:name w:val="样式 46 11 磅"/>
    <w:pPr>
      <w:widowControl w:val="0"/>
    </w:pPr>
    <w:rPr>
      <w:rFonts w:ascii="Times New Roman" w:eastAsia="宋体" w:cs="Arial" w:hAnsi="Times New Roman"/>
      <w:kern w:val="0"/>
      <w:sz w:val="22"/>
      <w:szCs w:val="22"/>
      <w:lang w:val="en-US" w:eastAsia="en-US" w:bidi="ar-SA"/>
    </w:rPr>
  </w:style>
  <w:style w:type="paragraph" w:customStyle="1" w:styleId="126">
    <w:name w:val="样式 47 11 磅"/>
    <w:pPr>
      <w:widowControl w:val="0"/>
    </w:pPr>
    <w:rPr>
      <w:rFonts w:ascii="Times New Roman" w:eastAsia="宋体" w:cs="Arial" w:hAnsi="Times New Roman"/>
      <w:kern w:val="0"/>
      <w:sz w:val="22"/>
      <w:szCs w:val="22"/>
      <w:lang w:val="en-US" w:eastAsia="en-US" w:bidi="ar-SA"/>
    </w:rPr>
  </w:style>
  <w:style w:type="paragraph" w:customStyle="1" w:styleId="127">
    <w:name w:val="样式 48 11 磅"/>
    <w:pPr>
      <w:widowControl w:val="0"/>
    </w:pPr>
    <w:rPr>
      <w:rFonts w:ascii="Times New Roman" w:eastAsia="宋体" w:cs="Arial" w:hAnsi="Times New Roman"/>
      <w:kern w:val="0"/>
      <w:sz w:val="22"/>
      <w:szCs w:val="22"/>
      <w:lang w:val="en-US" w:eastAsia="en-US" w:bidi="ar-SA"/>
    </w:rPr>
  </w:style>
  <w:style w:type="paragraph" w:customStyle="1" w:styleId="128">
    <w:name w:val="样式 49 11 磅"/>
    <w:pPr>
      <w:widowControl w:val="0"/>
    </w:pPr>
    <w:rPr>
      <w:rFonts w:ascii="Times New Roman" w:eastAsia="宋体" w:cs="Arial" w:hAnsi="Times New Roman"/>
      <w:kern w:val="0"/>
      <w:sz w:val="22"/>
      <w:szCs w:val="22"/>
      <w:lang w:val="en-US" w:eastAsia="en-US" w:bidi="ar-SA"/>
    </w:rPr>
  </w:style>
  <w:style w:type="paragraph" w:customStyle="1" w:styleId="129">
    <w:name w:val="样式 50 11 磅"/>
    <w:pPr>
      <w:widowControl w:val="0"/>
    </w:pPr>
    <w:rPr>
      <w:rFonts w:ascii="Times New Roman" w:eastAsia="宋体" w:cs="Arial" w:hAnsi="Times New Roman"/>
      <w:kern w:val="0"/>
      <w:sz w:val="22"/>
      <w:szCs w:val="22"/>
      <w:lang w:val="en-US" w:eastAsia="en-US" w:bidi="ar-SA"/>
    </w:rPr>
  </w:style>
  <w:style w:type="paragraph" w:customStyle="1" w:styleId="130">
    <w:name w:val="样式 51 11 磅"/>
    <w:pPr>
      <w:widowControl w:val="0"/>
    </w:pPr>
    <w:rPr>
      <w:rFonts w:ascii="Times New Roman" w:eastAsia="宋体" w:cs="Arial" w:hAnsi="Times New Roman"/>
      <w:kern w:val="0"/>
      <w:sz w:val="22"/>
      <w:szCs w:val="22"/>
      <w:lang w:val="en-US" w:eastAsia="en-US" w:bidi="ar-SA"/>
    </w:rPr>
  </w:style>
  <w:style w:type="paragraph" w:customStyle="1" w:styleId="131">
    <w:name w:val="样式 52 11 磅"/>
    <w:pPr>
      <w:widowControl w:val="0"/>
    </w:pPr>
    <w:rPr>
      <w:rFonts w:ascii="Times New Roman" w:eastAsia="宋体" w:cs="Arial" w:hAnsi="Times New Roman"/>
      <w:kern w:val="0"/>
      <w:sz w:val="22"/>
      <w:szCs w:val="22"/>
      <w:lang w:val="en-US" w:eastAsia="en-US" w:bidi="ar-SA"/>
    </w:rPr>
  </w:style>
  <w:style w:type="paragraph" w:customStyle="1" w:styleId="132">
    <w:name w:val="样式 47 小三"/>
    <w:pPr>
      <w:widowControl w:val="0"/>
      <w:ind w:left="1296"/>
    </w:pPr>
    <w:rPr>
      <w:rFonts w:ascii="方正仿宋_GBK" w:eastAsia="方正仿宋_GBK" w:cs="Arial"/>
      <w:kern w:val="0"/>
      <w:sz w:val="31"/>
      <w:szCs w:val="31"/>
      <w:lang w:val="en-US" w:eastAsia="en-US" w:bidi="ar-SA"/>
    </w:rPr>
  </w:style>
  <w:style w:type="paragraph" w:customStyle="1" w:styleId="133">
    <w:name w:val="样式 48 小三"/>
    <w:pPr>
      <w:widowControl w:val="0"/>
      <w:ind w:left="1296"/>
    </w:pPr>
    <w:rPr>
      <w:rFonts w:ascii="方正仿宋_GBK" w:eastAsia="方正仿宋_GBK" w:cs="Arial"/>
      <w:kern w:val="0"/>
      <w:sz w:val="31"/>
      <w:szCs w:val="31"/>
      <w:lang w:val="en-US" w:eastAsia="en-US" w:bidi="ar-SA"/>
    </w:rPr>
  </w:style>
  <w:style w:type="paragraph" w:customStyle="1" w:styleId="134">
    <w:name w:val="样式 49 小三"/>
    <w:pPr>
      <w:widowControl w:val="0"/>
      <w:ind w:left="1296"/>
    </w:pPr>
    <w:rPr>
      <w:rFonts w:ascii="方正仿宋_GBK" w:eastAsia="方正仿宋_GBK" w:cs="Arial"/>
      <w:kern w:val="0"/>
      <w:sz w:val="31"/>
      <w:szCs w:val="31"/>
      <w:lang w:val="en-US" w:eastAsia="en-US" w:bidi="ar-SA"/>
    </w:rPr>
  </w:style>
  <w:style w:type="paragraph" w:customStyle="1" w:styleId="135">
    <w:name w:val="样式 53 11 磅"/>
    <w:pPr>
      <w:widowControl w:val="0"/>
    </w:pPr>
    <w:rPr>
      <w:rFonts w:ascii="Times New Roman" w:eastAsia="宋体" w:cs="Arial" w:hAnsi="Times New Roman"/>
      <w:kern w:val="0"/>
      <w:sz w:val="22"/>
      <w:szCs w:val="22"/>
      <w:lang w:val="en-US" w:eastAsia="en-US" w:bidi="ar-SA"/>
    </w:rPr>
  </w:style>
  <w:style w:type="paragraph" w:customStyle="1" w:styleId="136">
    <w:name w:val="样式 50 小三"/>
    <w:pPr>
      <w:widowControl w:val="0"/>
      <w:ind w:left="1296"/>
    </w:pPr>
    <w:rPr>
      <w:rFonts w:ascii="方正仿宋_GBK" w:eastAsia="方正仿宋_GBK" w:cs="Arial"/>
      <w:kern w:val="0"/>
      <w:sz w:val="31"/>
      <w:szCs w:val="31"/>
      <w:lang w:val="en-US" w:eastAsia="en-US" w:bidi="ar-SA"/>
    </w:rPr>
  </w:style>
  <w:style w:type="paragraph" w:customStyle="1" w:styleId="137">
    <w:name w:val="样式 54 11 磅"/>
    <w:pPr>
      <w:widowControl w:val="0"/>
    </w:pPr>
    <w:rPr>
      <w:rFonts w:ascii="Times New Roman" w:eastAsia="宋体" w:cs="Arial" w:hAnsi="Times New Roman"/>
      <w:kern w:val="0"/>
      <w:sz w:val="22"/>
      <w:szCs w:val="22"/>
      <w:lang w:val="en-US" w:eastAsia="en-US" w:bidi="ar-SA"/>
    </w:rPr>
  </w:style>
  <w:style w:type="paragraph" w:customStyle="1" w:styleId="138">
    <w:name w:val="样式 55 11 磅"/>
    <w:pPr>
      <w:widowControl w:val="0"/>
    </w:pPr>
    <w:rPr>
      <w:rFonts w:ascii="Times New Roman" w:eastAsia="宋体" w:cs="Arial" w:hAnsi="Times New Roman"/>
      <w:kern w:val="0"/>
      <w:sz w:val="22"/>
      <w:szCs w:val="22"/>
      <w:lang w:val="en-US" w:eastAsia="en-US" w:bidi="ar-SA"/>
    </w:rPr>
  </w:style>
  <w:style w:type="paragraph" w:customStyle="1" w:styleId="139">
    <w:name w:val="样式 51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140">
    <w:name w:val="样式 56 11 磅"/>
    <w:pPr>
      <w:widowControl w:val="0"/>
    </w:pPr>
    <w:rPr>
      <w:rFonts w:ascii="Times New Roman" w:eastAsia="宋体" w:cs="Arial" w:hAnsi="Times New Roman"/>
      <w:kern w:val="0"/>
      <w:sz w:val="22"/>
      <w:szCs w:val="22"/>
      <w:lang w:val="en-US" w:eastAsia="en-US" w:bidi="ar-SA"/>
    </w:rPr>
  </w:style>
  <w:style w:type="paragraph" w:customStyle="1" w:styleId="141">
    <w:name w:val="样式 52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142">
    <w:name w:val="样式 57 11 磅"/>
    <w:pPr>
      <w:widowControl w:val="0"/>
    </w:pPr>
    <w:rPr>
      <w:rFonts w:ascii="Times New Roman" w:eastAsia="宋体" w:cs="Arial" w:hAnsi="Times New Roman"/>
      <w:kern w:val="0"/>
      <w:sz w:val="22"/>
      <w:szCs w:val="22"/>
      <w:lang w:val="en-US" w:eastAsia="en-US" w:bidi="ar-SA"/>
    </w:rPr>
  </w:style>
  <w:style w:type="paragraph" w:customStyle="1" w:styleId="143">
    <w:name w:val="样式 53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144">
    <w:name w:val="样式 58 11 磅"/>
    <w:pPr>
      <w:widowControl w:val="0"/>
    </w:pPr>
    <w:rPr>
      <w:rFonts w:ascii="Times New Roman" w:eastAsia="宋体" w:cs="Arial" w:hAnsi="Times New Roman"/>
      <w:kern w:val="0"/>
      <w:sz w:val="22"/>
      <w:szCs w:val="22"/>
      <w:lang w:val="en-US" w:eastAsia="en-US" w:bidi="ar-SA"/>
    </w:rPr>
  </w:style>
  <w:style w:type="paragraph" w:customStyle="1" w:styleId="145">
    <w:name w:val="样式 54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146">
    <w:name w:val="样式 55 小三"/>
    <w:pPr>
      <w:widowControl w:val="0"/>
      <w:ind w:left="1296"/>
    </w:pPr>
    <w:rPr>
      <w:rFonts w:ascii="方正仿宋_GBK" w:eastAsia="方正仿宋_GBK" w:cs="Arial"/>
      <w:kern w:val="0"/>
      <w:sz w:val="31"/>
      <w:szCs w:val="31"/>
      <w:lang w:val="en-US" w:eastAsia="en-US" w:bidi="ar-SA"/>
    </w:rPr>
  </w:style>
  <w:style w:type="paragraph" w:customStyle="1" w:styleId="147">
    <w:name w:val="样式 2 三号"/>
    <w:next w:val="19"/>
    <w:pPr>
      <w:widowControl w:val="0"/>
      <w:jc w:val="both"/>
    </w:pPr>
    <w:rPr>
      <w:rFonts w:ascii="Times New Roman" w:eastAsia="方正仿宋_GBK" w:cs="Times New Roman" w:hAnsi="Times New Roman"/>
      <w:kern w:val="2"/>
      <w:sz w:val="32"/>
      <w:szCs w:val="32"/>
      <w:lang w:val="en-US" w:eastAsia="zh-CN" w:bidi="ar-SA"/>
    </w:rPr>
  </w:style>
  <w:style w:type="paragraph" w:customStyle="1" w:styleId="148">
    <w:name w:val="样式 56 小三"/>
    <w:pPr>
      <w:widowControl w:val="0"/>
      <w:ind w:left="1296"/>
    </w:pPr>
    <w:rPr>
      <w:rFonts w:ascii="方正仿宋_GBK" w:eastAsia="方正仿宋_GBK" w:cs="Arial"/>
      <w:kern w:val="0"/>
      <w:sz w:val="31"/>
      <w:szCs w:val="31"/>
      <w:lang w:val="en-US" w:eastAsia="en-US" w:bidi="ar-SA"/>
    </w:rPr>
  </w:style>
  <w:style w:type="paragraph" w:customStyle="1" w:styleId="149">
    <w:name w:val="样式 57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150">
    <w:name w:val="样式 58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151">
    <w:name w:val="样式 59 11 磅"/>
    <w:pPr>
      <w:widowControl w:val="0"/>
    </w:pPr>
    <w:rPr>
      <w:rFonts w:ascii="Times New Roman" w:eastAsia="宋体" w:cs="Arial" w:hAnsi="Times New Roman"/>
      <w:kern w:val="0"/>
      <w:sz w:val="22"/>
      <w:szCs w:val="22"/>
      <w:lang w:val="en-US" w:eastAsia="en-US" w:bidi="ar-SA"/>
    </w:rPr>
  </w:style>
  <w:style w:type="paragraph" w:customStyle="1" w:styleId="152">
    <w:name w:val="样式 59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153">
    <w:name w:val="样式 60 11 磅"/>
    <w:pPr>
      <w:widowControl w:val="0"/>
    </w:pPr>
    <w:rPr>
      <w:rFonts w:ascii="Times New Roman" w:eastAsia="宋体" w:cs="Arial" w:hAnsi="Times New Roman"/>
      <w:kern w:val="0"/>
      <w:sz w:val="22"/>
      <w:szCs w:val="22"/>
      <w:lang w:val="en-US" w:eastAsia="en-US" w:bidi="ar-SA"/>
    </w:rPr>
  </w:style>
  <w:style w:type="paragraph" w:customStyle="1" w:styleId="154">
    <w:name w:val="样式 61 11 磅"/>
    <w:pPr>
      <w:widowControl w:val="0"/>
    </w:pPr>
    <w:rPr>
      <w:rFonts w:ascii="Times New Roman" w:eastAsia="宋体" w:cs="Arial" w:hAnsi="Times New Roman"/>
      <w:kern w:val="0"/>
      <w:sz w:val="22"/>
      <w:szCs w:val="22"/>
      <w:lang w:val="en-US" w:eastAsia="en-US" w:bidi="ar-SA"/>
    </w:rPr>
  </w:style>
  <w:style w:type="paragraph" w:customStyle="1" w:styleId="155">
    <w:name w:val="样式 60 小三"/>
    <w:pPr>
      <w:widowControl w:val="0"/>
      <w:ind w:left="1296"/>
    </w:pPr>
    <w:rPr>
      <w:rFonts w:ascii="方正仿宋_GBK" w:eastAsia="方正仿宋_GBK" w:cs="Arial"/>
      <w:kern w:val="0"/>
      <w:sz w:val="31"/>
      <w:szCs w:val="31"/>
      <w:lang w:val="en-US" w:eastAsia="en-US" w:bidi="ar-SA"/>
    </w:rPr>
  </w:style>
  <w:style w:type="paragraph" w:customStyle="1" w:styleId="156">
    <w:name w:val="样式 62 11 磅"/>
    <w:pPr>
      <w:widowControl w:val="0"/>
    </w:pPr>
    <w:rPr>
      <w:rFonts w:ascii="Times New Roman" w:eastAsia="宋体" w:cs="Arial" w:hAnsi="Times New Roman"/>
      <w:kern w:val="0"/>
      <w:sz w:val="22"/>
      <w:szCs w:val="22"/>
      <w:lang w:val="en-US" w:eastAsia="en-US" w:bidi="ar-SA"/>
    </w:rPr>
  </w:style>
  <w:style w:type="paragraph" w:customStyle="1" w:styleId="157">
    <w:name w:val="样式 63 11 磅"/>
    <w:pPr>
      <w:widowControl w:val="0"/>
    </w:pPr>
    <w:rPr>
      <w:rFonts w:ascii="Times New Roman" w:eastAsia="宋体" w:cs="Arial" w:hAnsi="Times New Roman"/>
      <w:kern w:val="0"/>
      <w:sz w:val="22"/>
      <w:szCs w:val="22"/>
      <w:lang w:val="en-US" w:eastAsia="en-US" w:bidi="ar-SA"/>
    </w:rPr>
  </w:style>
  <w:style w:type="paragraph" w:customStyle="1" w:styleId="158">
    <w:name w:val="样式 64 11 磅"/>
    <w:pPr>
      <w:widowControl w:val="0"/>
    </w:pPr>
    <w:rPr>
      <w:rFonts w:ascii="Times New Roman" w:eastAsia="宋体" w:cs="Arial" w:hAnsi="Times New Roman"/>
      <w:kern w:val="0"/>
      <w:sz w:val="22"/>
      <w:szCs w:val="22"/>
      <w:lang w:val="en-US" w:eastAsia="en-US" w:bidi="ar-SA"/>
    </w:rPr>
  </w:style>
  <w:style w:type="paragraph" w:customStyle="1" w:styleId="159">
    <w:name w:val="样式 65 11 磅"/>
    <w:pPr>
      <w:widowControl w:val="0"/>
    </w:pPr>
    <w:rPr>
      <w:rFonts w:ascii="Times New Roman" w:eastAsia="宋体" w:cs="Arial" w:hAnsi="Times New Roman"/>
      <w:kern w:val="0"/>
      <w:sz w:val="22"/>
      <w:szCs w:val="22"/>
      <w:lang w:val="en-US" w:eastAsia="en-US" w:bidi="ar-SA"/>
    </w:rPr>
  </w:style>
  <w:style w:type="paragraph" w:customStyle="1" w:styleId="160">
    <w:name w:val="样式 66 11 磅"/>
    <w:pPr>
      <w:widowControl w:val="0"/>
    </w:pPr>
    <w:rPr>
      <w:rFonts w:ascii="Times New Roman" w:eastAsia="宋体" w:cs="Arial" w:hAnsi="Times New Roman"/>
      <w:kern w:val="0"/>
      <w:sz w:val="22"/>
      <w:szCs w:val="22"/>
      <w:lang w:val="en-US" w:eastAsia="en-US" w:bidi="ar-SA"/>
    </w:rPr>
  </w:style>
  <w:style w:type="paragraph" w:customStyle="1" w:styleId="161">
    <w:name w:val="样式 67 11 磅"/>
    <w:pPr>
      <w:widowControl w:val="0"/>
    </w:pPr>
    <w:rPr>
      <w:rFonts w:ascii="Times New Roman" w:eastAsia="宋体" w:cs="Arial" w:hAnsi="Times New Roman"/>
      <w:kern w:val="0"/>
      <w:sz w:val="22"/>
      <w:szCs w:val="22"/>
      <w:lang w:val="en-US" w:eastAsia="en-US" w:bidi="ar-SA"/>
    </w:rPr>
  </w:style>
  <w:style w:type="paragraph" w:customStyle="1" w:styleId="162">
    <w:name w:val="样式 61 小三"/>
    <w:pPr>
      <w:widowControl w:val="0"/>
      <w:ind w:left="1296"/>
    </w:pPr>
    <w:rPr>
      <w:rFonts w:ascii="方正仿宋_GBK" w:eastAsia="方正仿宋_GBK" w:cs="Arial"/>
      <w:kern w:val="0"/>
      <w:sz w:val="31"/>
      <w:szCs w:val="31"/>
      <w:lang w:val="en-US" w:eastAsia="en-US" w:bidi="ar-SA"/>
    </w:rPr>
  </w:style>
  <w:style w:type="paragraph" w:customStyle="1" w:styleId="163">
    <w:name w:val="样式 68 11 磅"/>
    <w:pPr>
      <w:widowControl w:val="0"/>
    </w:pPr>
    <w:rPr>
      <w:rFonts w:ascii="Times New Roman" w:eastAsia="宋体" w:cs="Arial" w:hAnsi="Times New Roman"/>
      <w:kern w:val="0"/>
      <w:sz w:val="22"/>
      <w:szCs w:val="22"/>
      <w:lang w:val="en-US" w:eastAsia="en-US" w:bidi="ar-SA"/>
    </w:rPr>
  </w:style>
  <w:style w:type="paragraph" w:customStyle="1" w:styleId="164">
    <w:name w:val="样式 69 11 磅"/>
    <w:pPr>
      <w:widowControl w:val="0"/>
    </w:pPr>
    <w:rPr>
      <w:rFonts w:ascii="Times New Roman" w:eastAsia="宋体" w:cs="Arial" w:hAnsi="Times New Roman"/>
      <w:kern w:val="0"/>
      <w:sz w:val="22"/>
      <w:szCs w:val="22"/>
      <w:lang w:val="en-US" w:eastAsia="en-US" w:bidi="ar-SA"/>
    </w:rPr>
  </w:style>
  <w:style w:type="paragraph" w:customStyle="1" w:styleId="165">
    <w:name w:val="样式 70 11 磅"/>
    <w:pPr>
      <w:widowControl w:val="0"/>
    </w:pPr>
    <w:rPr>
      <w:rFonts w:ascii="Times New Roman" w:eastAsia="宋体" w:cs="Arial" w:hAnsi="Times New Roman"/>
      <w:kern w:val="0"/>
      <w:sz w:val="22"/>
      <w:szCs w:val="22"/>
      <w:lang w:val="en-US" w:eastAsia="en-US" w:bidi="ar-SA"/>
    </w:rPr>
  </w:style>
  <w:style w:type="paragraph" w:customStyle="1" w:styleId="166">
    <w:name w:val="样式 71 11 磅"/>
    <w:pPr>
      <w:widowControl w:val="0"/>
    </w:pPr>
    <w:rPr>
      <w:rFonts w:ascii="Times New Roman" w:eastAsia="宋体" w:cs="Arial" w:hAnsi="Times New Roman"/>
      <w:kern w:val="0"/>
      <w:sz w:val="22"/>
      <w:szCs w:val="22"/>
      <w:lang w:val="en-US" w:eastAsia="en-US" w:bidi="ar-SA"/>
    </w:rPr>
  </w:style>
  <w:style w:type="paragraph" w:customStyle="1" w:styleId="167">
    <w:name w:val="WPSOffice手动目录 1"/>
    <w:rPr>
      <w:rFonts w:ascii="Times New Roman" w:eastAsia="宋体" w:cs="Times New Roman" w:hAnsi="Times New Roman"/>
      <w:kern w:val="0"/>
      <w:sz w:val="20"/>
      <w:szCs w:val="20"/>
      <w:lang w:val="en-US" w:eastAsia="zh-CN" w:bidi="ar-SA"/>
    </w:rPr>
  </w:style>
  <w:style w:type="paragraph" w:customStyle="1" w:styleId="168">
    <w:name w:val="WPSOffice手动目录 2"/>
    <w:pPr>
      <w:ind w:leftChars="200" w:left="200"/>
    </w:pPr>
    <w:rPr>
      <w:rFonts w:ascii="Times New Roman" w:eastAsia="宋体" w:cs="Times New Roman" w:hAnsi="Times New Roman"/>
      <w:kern w:val="0"/>
      <w:sz w:val="20"/>
      <w:szCs w:val="20"/>
      <w:lang w:val="en-US" w:eastAsia="zh-CN" w:bidi="ar-SA"/>
    </w:rPr>
  </w:style>
  <w:style w:type="character" w:customStyle="1" w:styleId="169">
    <w:name w:val="font01"/>
    <w:basedOn w:val="10"/>
    <w:rPr>
      <w:rFonts w:ascii="宋体" w:eastAsia="宋体" w:cs="宋体"/>
      <w:color w:val="000000"/>
      <w:sz w:val="22"/>
      <w:szCs w:val="22"/>
      <w:u w:val="none"/>
    </w:rPr>
  </w:style>
  <w:style w:type="paragraph" w:customStyle="1" w:styleId="170">
    <w:name w:val="样式 72 11 磅"/>
    <w:pPr>
      <w:widowControl w:val="0"/>
    </w:pPr>
    <w:rPr>
      <w:rFonts w:ascii="Times New Roman" w:eastAsia="宋体" w:cs="Arial" w:hAnsi="Times New Roman"/>
      <w:kern w:val="0"/>
      <w:sz w:val="22"/>
      <w:szCs w:val="22"/>
      <w:lang w:val="en-US" w:eastAsia="en-US" w:bidi="ar-SA"/>
    </w:rPr>
  </w:style>
  <w:style w:type="paragraph" w:customStyle="1" w:styleId="171">
    <w:name w:val="样式 小四"/>
    <w:pPr>
      <w:widowControl w:val="0"/>
    </w:pPr>
    <w:rPr>
      <w:rFonts w:ascii="宋体" w:eastAsia="宋体" w:cs="Times New Roman"/>
      <w:kern w:val="2"/>
      <w:sz w:val="24"/>
      <w:szCs w:val="21"/>
      <w:lang w:val="en-US" w:eastAsia="zh-CN" w:bidi="ar-SA"/>
    </w:rPr>
  </w:style>
  <w:style w:type="paragraph" w:customStyle="1" w:styleId="172">
    <w:name w:val="样式 1 小四"/>
    <w:pPr>
      <w:widowControl w:val="0"/>
    </w:pPr>
    <w:rPr>
      <w:rFonts w:ascii="宋体" w:eastAsia="宋体" w:cs="Times New Roman"/>
      <w:kern w:val="2"/>
      <w:sz w:val="24"/>
      <w:szCs w:val="21"/>
      <w:lang w:val="en-US" w:eastAsia="zh-CN" w:bidi="ar-SA"/>
    </w:rPr>
  </w:style>
  <w:style w:type="paragraph" w:customStyle="1" w:styleId="173">
    <w:name w:val="样式 2 小四"/>
    <w:pPr>
      <w:widowControl w:val="0"/>
    </w:pPr>
    <w:rPr>
      <w:rFonts w:ascii="宋体" w:eastAsia="宋体" w:cs="Times New Roman"/>
      <w:kern w:val="2"/>
      <w:sz w:val="24"/>
      <w:szCs w:val="21"/>
      <w:lang w:val="en-US" w:eastAsia="zh-CN" w:bidi="ar-SA"/>
    </w:rPr>
  </w:style>
  <w:style w:type="paragraph" w:customStyle="1" w:styleId="174">
    <w:name w:val="样式 3 小四"/>
    <w:pPr>
      <w:widowControl w:val="0"/>
    </w:pPr>
    <w:rPr>
      <w:rFonts w:ascii="宋体" w:eastAsia="宋体" w:cs="Times New Roman"/>
      <w:kern w:val="2"/>
      <w:sz w:val="24"/>
      <w:szCs w:val="21"/>
      <w:lang w:val="en-US" w:eastAsia="zh-CN" w:bidi="ar-SA"/>
    </w:rPr>
  </w:style>
  <w:style w:type="paragraph" w:customStyle="1" w:styleId="175">
    <w:name w:val="样式 1 10 磅"/>
    <w:pPr>
      <w:widowControl w:val="0"/>
      <w:jc w:val="both"/>
    </w:pPr>
    <w:rPr>
      <w:rFonts w:ascii="Calibri" w:eastAsia="宋体" w:cs="Arial" w:hAnsi="Calibri"/>
      <w:kern w:val="2"/>
      <w:sz w:val="21"/>
      <w:szCs w:val="22"/>
      <w:lang w:val="en-US" w:eastAsia="zh-CN" w:bidi="ar-SA"/>
    </w:rPr>
  </w:style>
  <w:style w:type="paragraph" w:customStyle="1" w:styleId="176">
    <w:name w:val="样式 2 10 磅"/>
    <w:pPr>
      <w:widowControl w:val="0"/>
      <w:jc w:val="both"/>
    </w:pPr>
    <w:rPr>
      <w:rFonts w:ascii="Calibri" w:eastAsia="宋体" w:cs="Arial" w:hAnsi="Calibri"/>
      <w:kern w:val="2"/>
      <w:sz w:val="21"/>
      <w:szCs w:val="22"/>
      <w:lang w:val="en-US" w:eastAsia="zh-CN" w:bidi="ar-SA"/>
    </w:rPr>
  </w:style>
  <w:style w:type="paragraph" w:customStyle="1" w:styleId="177">
    <w:name w:val="样式 62 小三"/>
    <w:pPr>
      <w:widowControl w:val="0"/>
      <w:ind w:left="1296"/>
    </w:pPr>
    <w:rPr>
      <w:rFonts w:ascii="方正仿宋_GBK" w:eastAsia="方正仿宋_GBK" w:cs="Arial"/>
      <w:kern w:val="0"/>
      <w:sz w:val="31"/>
      <w:szCs w:val="31"/>
      <w:lang w:val="en-US" w:eastAsia="en-US" w:bidi="ar-SA"/>
    </w:rPr>
  </w:style>
  <w:style w:type="paragraph" w:customStyle="1" w:styleId="178">
    <w:name w:val="样式 63 小三"/>
    <w:pPr>
      <w:widowControl w:val="0"/>
      <w:ind w:left="1296"/>
    </w:pPr>
    <w:rPr>
      <w:rFonts w:ascii="方正仿宋_GBK" w:eastAsia="方正仿宋_GBK" w:cs="Arial"/>
      <w:kern w:val="0"/>
      <w:sz w:val="31"/>
      <w:szCs w:val="31"/>
      <w:lang w:val="en-US" w:eastAsia="en-US" w:bidi="ar-SA"/>
    </w:rPr>
  </w:style>
  <w:style w:type="paragraph" w:customStyle="1" w:styleId="179">
    <w:name w:val="样式 20 三号"/>
    <w:pPr>
      <w:widowControl w:val="0"/>
      <w:spacing w:before="146"/>
      <w:ind w:left="120"/>
    </w:pPr>
    <w:rPr>
      <w:rFonts w:ascii="宋体" w:eastAsia="宋体" w:cs="Arial"/>
      <w:kern w:val="0"/>
      <w:sz w:val="32"/>
      <w:szCs w:val="32"/>
      <w:lang w:val="en-US" w:eastAsia="zh-CN" w:bidi="ar-SA"/>
    </w:rPr>
  </w:style>
  <w:style w:type="paragraph" w:customStyle="1" w:styleId="180">
    <w:name w:val="样式 21 三号"/>
    <w:pPr>
      <w:widowControl w:val="0"/>
      <w:spacing w:before="146"/>
      <w:ind w:left="120"/>
    </w:pPr>
    <w:rPr>
      <w:rFonts w:ascii="宋体" w:eastAsia="宋体" w:cs="Arial"/>
      <w:kern w:val="0"/>
      <w:sz w:val="32"/>
      <w:szCs w:val="32"/>
      <w:lang w:val="en-US" w:eastAsia="zh-CN" w:bidi="ar-SA"/>
    </w:rPr>
  </w:style>
  <w:style w:type="paragraph" w:styleId="181">
    <w:name w:val="Balloon Text"/>
    <w:basedOn w:val="0"/>
    <w:rPr>
      <w:sz w:val="18"/>
      <w:szCs w:val="18"/>
    </w:rPr>
  </w:style>
  <w:style w:type="character" w:customStyle="1" w:styleId="182">
    <w:name w:val="im-content1"/>
    <w:basedOn w:val="10"/>
    <w:rPr>
      <w:rFonts w:cs="Times New Roman"/>
      <w:color w:val="000000"/>
    </w:rPr>
  </w:style>
  <w:style w:type="paragraph" w:customStyle="1" w:styleId="183">
    <w:name w:val="样式 64 小三"/>
    <w:pPr>
      <w:widowControl w:val="0"/>
      <w:ind w:left="1296"/>
    </w:pPr>
    <w:rPr>
      <w:rFonts w:ascii="方正仿宋_GBK" w:eastAsia="方正仿宋_GBK" w:cs="Arial"/>
      <w:sz w:val="31"/>
      <w:szCs w:val="31"/>
      <w:lang w:val="en-US" w:eastAsia="en-US" w:bidi="ar-SA"/>
    </w:rPr>
  </w:style>
  <w:style w:type="paragraph" w:customStyle="1" w:styleId="184">
    <w:name w:val="样式 78 小三"/>
    <w:pPr>
      <w:widowControl w:val="0"/>
      <w:ind w:left="1296"/>
    </w:pPr>
    <w:rPr>
      <w:rFonts w:ascii="方正仿宋_GBK" w:eastAsia="方正仿宋_GBK" w:cs="Arial"/>
      <w:sz w:val="31"/>
      <w:szCs w:val="31"/>
      <w:lang w:val="en-US" w:eastAsia="en-US" w:bidi="ar-SA"/>
    </w:rPr>
  </w:style>
  <w:style w:type="paragraph" w:customStyle="1" w:styleId="185">
    <w:name w:val="样式 65 小三"/>
    <w:pPr>
      <w:widowControl w:val="0"/>
      <w:ind w:left="1296"/>
    </w:pPr>
    <w:rPr>
      <w:rFonts w:ascii="方正仿宋_GBK" w:eastAsia="方正仿宋_GBK" w:cs="Arial"/>
      <w:kern w:val="0"/>
      <w:sz w:val="31"/>
      <w:szCs w:val="31"/>
      <w:lang w:val="en-US" w:eastAsia="en-US" w:bidi="ar-SA"/>
    </w:rPr>
  </w:style>
  <w:style w:type="paragraph" w:customStyle="1" w:styleId="186">
    <w:name w:val="样式 73 11 磅"/>
    <w:pPr>
      <w:widowControl w:val="0"/>
    </w:pPr>
    <w:rPr>
      <w:rFonts w:ascii="Times New Roman" w:eastAsia="Times New Roman" w:cs="Arial" w:hAnsi="Times New Roman"/>
      <w:sz w:val="22"/>
      <w:szCs w:val="22"/>
      <w:lang w:val="en-US" w:eastAsia="en-US" w:bidi="ar-SA"/>
    </w:rPr>
  </w:style>
  <w:style w:type="paragraph" w:customStyle="1" w:styleId="187">
    <w:name w:val="样式 74 11 磅"/>
    <w:pPr>
      <w:widowControl w:val="0"/>
    </w:pPr>
    <w:rPr>
      <w:rFonts w:ascii="Times New Roman" w:eastAsia="宋体" w:cs="Arial" w:hAnsi="Times New Roman"/>
      <w:kern w:val="0"/>
      <w:sz w:val="22"/>
      <w:szCs w:val="22"/>
      <w:lang w:val="en-US" w:eastAsia="en-US" w:bidi="ar-SA"/>
    </w:rPr>
  </w:style>
  <w:style w:type="paragraph" w:customStyle="1" w:styleId="188">
    <w:name w:val="样式 75 11 磅"/>
    <w:pPr>
      <w:widowControl w:val="0"/>
    </w:pPr>
    <w:rPr>
      <w:rFonts w:ascii="Times New Roman" w:eastAsia="宋体" w:cs="Arial" w:hAnsi="Times New Roman"/>
      <w:kern w:val="0"/>
      <w:sz w:val="22"/>
      <w:szCs w:val="22"/>
      <w:lang w:val="en-US" w:eastAsia="en-US" w:bidi="ar-SA"/>
    </w:rPr>
  </w:style>
  <w:style w:type="paragraph" w:customStyle="1" w:styleId="189">
    <w:name w:val="样式 76 11 磅"/>
    <w:pPr>
      <w:widowControl w:val="0"/>
    </w:pPr>
    <w:rPr>
      <w:rFonts w:ascii="Times New Roman" w:eastAsia="宋体" w:cs="Arial" w:hAnsi="Times New Roman"/>
      <w:kern w:val="0"/>
      <w:sz w:val="22"/>
      <w:szCs w:val="22"/>
      <w:lang w:val="en-US" w:eastAsia="en-US" w:bidi="ar-SA"/>
    </w:rPr>
  </w:style>
  <w:style w:type="paragraph" w:customStyle="1" w:styleId="190">
    <w:name w:val="样式 77 11 磅"/>
    <w:pPr>
      <w:widowControl w:val="0"/>
    </w:pPr>
    <w:rPr>
      <w:rFonts w:ascii="Times New Roman" w:eastAsia="宋体" w:cs="Arial" w:hAnsi="Times New Roman"/>
      <w:kern w:val="0"/>
      <w:sz w:val="22"/>
      <w:szCs w:val="22"/>
      <w:lang w:val="en-US" w:eastAsia="en-US" w:bidi="ar-SA"/>
    </w:rPr>
  </w:style>
  <w:style w:type="paragraph" w:customStyle="1" w:styleId="191">
    <w:name w:val="样式 78 11 磅"/>
    <w:pPr>
      <w:widowControl w:val="0"/>
    </w:pPr>
    <w:rPr>
      <w:rFonts w:ascii="Times New Roman" w:eastAsia="宋体" w:cs="Arial" w:hAnsi="Times New Roman"/>
      <w:kern w:val="0"/>
      <w:sz w:val="22"/>
      <w:szCs w:val="22"/>
      <w:lang w:val="en-US" w:eastAsia="en-US" w:bidi="ar-SA"/>
    </w:rPr>
  </w:style>
  <w:style w:type="paragraph" w:customStyle="1" w:styleId="192">
    <w:name w:val="样式 79 11 磅"/>
    <w:pPr>
      <w:widowControl w:val="0"/>
    </w:pPr>
    <w:rPr>
      <w:rFonts w:ascii="Times New Roman" w:eastAsia="宋体" w:cs="Arial" w:hAnsi="Times New Roman"/>
      <w:kern w:val="0"/>
      <w:sz w:val="22"/>
      <w:szCs w:val="22"/>
      <w:lang w:val="en-US" w:eastAsia="en-US" w:bidi="ar-SA"/>
    </w:rPr>
  </w:style>
  <w:style w:type="paragraph" w:customStyle="1" w:styleId="193">
    <w:name w:val="样式 80 11 磅"/>
    <w:pPr>
      <w:widowControl w:val="0"/>
    </w:pPr>
    <w:rPr>
      <w:rFonts w:ascii="Times New Roman" w:eastAsia="宋体" w:cs="Arial" w:hAnsi="Times New Roman"/>
      <w:kern w:val="0"/>
      <w:sz w:val="22"/>
      <w:szCs w:val="22"/>
      <w:lang w:val="en-US" w:eastAsia="en-US" w:bidi="ar-SA"/>
    </w:rPr>
  </w:style>
  <w:style w:type="paragraph" w:customStyle="1" w:styleId="194">
    <w:name w:val="样式 81 11 磅"/>
    <w:pPr>
      <w:widowControl w:val="0"/>
    </w:pPr>
    <w:rPr>
      <w:rFonts w:ascii="Times New Roman" w:eastAsia="宋体" w:cs="Arial" w:hAnsi="Times New Roman"/>
      <w:kern w:val="0"/>
      <w:sz w:val="22"/>
      <w:szCs w:val="22"/>
      <w:lang w:val="en-US" w:eastAsia="en-US" w:bidi="ar-SA"/>
    </w:rPr>
  </w:style>
  <w:style w:type="paragraph" w:customStyle="1" w:styleId="195">
    <w:name w:val="样式 82 11 磅"/>
    <w:pPr>
      <w:widowControl w:val="0"/>
    </w:pPr>
    <w:rPr>
      <w:rFonts w:ascii="Times New Roman" w:eastAsia="宋体" w:cs="Arial" w:hAnsi="Times New Roman"/>
      <w:kern w:val="0"/>
      <w:sz w:val="22"/>
      <w:szCs w:val="22"/>
      <w:lang w:val="en-US" w:eastAsia="en-US" w:bidi="ar-SA"/>
    </w:rPr>
  </w:style>
  <w:style w:type="paragraph" w:customStyle="1" w:styleId="196">
    <w:name w:val="样式 83 11 磅"/>
    <w:pPr>
      <w:widowControl w:val="0"/>
    </w:pPr>
    <w:rPr>
      <w:rFonts w:ascii="Times New Roman" w:eastAsia="宋体" w:cs="Arial" w:hAnsi="Times New Roman"/>
      <w:kern w:val="0"/>
      <w:sz w:val="22"/>
      <w:szCs w:val="22"/>
      <w:lang w:val="en-US" w:eastAsia="en-US" w:bidi="ar-SA"/>
    </w:rPr>
  </w:style>
  <w:style w:type="paragraph" w:customStyle="1" w:styleId="197">
    <w:name w:val="样式 84 11 磅"/>
    <w:pPr>
      <w:widowControl w:val="0"/>
    </w:pPr>
    <w:rPr>
      <w:rFonts w:ascii="Times New Roman" w:eastAsia="宋体" w:cs="Arial" w:hAnsi="Times New Roman"/>
      <w:kern w:val="0"/>
      <w:sz w:val="22"/>
      <w:szCs w:val="22"/>
      <w:lang w:val="en-US" w:eastAsia="en-US" w:bidi="ar-SA"/>
    </w:rPr>
  </w:style>
  <w:style w:type="paragraph" w:customStyle="1" w:styleId="198">
    <w:name w:val="样式 85 11 磅"/>
    <w:pPr>
      <w:widowControl w:val="0"/>
    </w:pPr>
    <w:rPr>
      <w:rFonts w:ascii="Times New Roman" w:eastAsia="宋体" w:cs="Arial" w:hAnsi="Times New Roman"/>
      <w:kern w:val="0"/>
      <w:sz w:val="22"/>
      <w:szCs w:val="22"/>
      <w:lang w:val="en-US" w:eastAsia="en-US" w:bidi="ar-SA"/>
    </w:rPr>
  </w:style>
  <w:style w:type="paragraph" w:customStyle="1" w:styleId="199">
    <w:name w:val="样式 86 11 磅"/>
    <w:pPr>
      <w:widowControl w:val="0"/>
    </w:pPr>
    <w:rPr>
      <w:rFonts w:ascii="Times New Roman" w:eastAsia="宋体" w:cs="Arial" w:hAnsi="Times New Roman"/>
      <w:kern w:val="0"/>
      <w:sz w:val="22"/>
      <w:szCs w:val="22"/>
      <w:lang w:val="en-US" w:eastAsia="en-US" w:bidi="ar-SA"/>
    </w:rPr>
  </w:style>
  <w:style w:type="paragraph" w:customStyle="1" w:styleId="200">
    <w:name w:val="样式 87 11 磅"/>
    <w:pPr>
      <w:widowControl w:val="0"/>
    </w:pPr>
    <w:rPr>
      <w:rFonts w:ascii="Times New Roman" w:eastAsia="宋体" w:cs="Arial" w:hAnsi="Times New Roman"/>
      <w:kern w:val="0"/>
      <w:sz w:val="22"/>
      <w:szCs w:val="22"/>
      <w:lang w:val="en-US" w:eastAsia="en-US" w:bidi="ar-SA"/>
    </w:rPr>
  </w:style>
  <w:style w:type="paragraph" w:customStyle="1" w:styleId="201">
    <w:name w:val="样式 88 11 磅"/>
    <w:pPr>
      <w:widowControl w:val="0"/>
    </w:pPr>
    <w:rPr>
      <w:rFonts w:ascii="Times New Roman" w:eastAsia="宋体" w:cs="Arial" w:hAnsi="Times New Roman"/>
      <w:kern w:val="0"/>
      <w:sz w:val="22"/>
      <w:szCs w:val="22"/>
      <w:lang w:val="en-US" w:eastAsia="en-US" w:bidi="ar-SA"/>
    </w:rPr>
  </w:style>
  <w:style w:type="paragraph" w:customStyle="1" w:styleId="202">
    <w:name w:val="样式 66 小三"/>
    <w:pPr>
      <w:widowControl w:val="0"/>
      <w:ind w:left="1296"/>
    </w:pPr>
    <w:rPr>
      <w:rFonts w:ascii="方正仿宋_GBK" w:eastAsia="方正仿宋_GBK" w:cs="Arial"/>
      <w:kern w:val="0"/>
      <w:sz w:val="31"/>
      <w:szCs w:val="31"/>
      <w:lang w:val="en-US" w:eastAsia="en-US" w:bidi="ar-SA"/>
    </w:rPr>
  </w:style>
  <w:style w:type="paragraph" w:customStyle="1" w:styleId="203">
    <w:name w:val="Heading 3"/>
    <w:next w:val="24"/>
    <w:pPr>
      <w:widowControl w:val="0"/>
      <w:ind w:left="2068"/>
      <w:jc w:val="left"/>
      <w:outlineLvl w:val="3"/>
    </w:pPr>
    <w:rPr>
      <w:rFonts w:ascii="方正仿宋_GBK" w:eastAsia="方正仿宋_GBK" w:cs="Arial"/>
      <w:b/>
      <w:bCs/>
      <w:kern w:val="0"/>
      <w:sz w:val="31"/>
      <w:szCs w:val="31"/>
      <w:lang w:val="en-US" w:eastAsia="en-US" w:bidi="ar-SA"/>
    </w:rPr>
  </w:style>
  <w:style w:type="paragraph" w:customStyle="1" w:styleId="204">
    <w:name w:val="样式 67 小三"/>
    <w:pPr>
      <w:widowControl w:val="0"/>
      <w:ind w:left="1296"/>
    </w:pPr>
    <w:rPr>
      <w:rFonts w:ascii="方正仿宋_GBK" w:eastAsia="方正仿宋_GBK" w:cs="Arial"/>
      <w:kern w:val="0"/>
      <w:sz w:val="31"/>
      <w:szCs w:val="31"/>
      <w:lang w:val="en-US" w:eastAsia="en-US" w:bidi="ar-SA"/>
    </w:rPr>
  </w:style>
  <w:style w:type="paragraph" w:customStyle="1" w:styleId="205">
    <w:name w:val="样式 68 小三"/>
    <w:pPr>
      <w:widowControl w:val="0"/>
      <w:ind w:left="2068"/>
      <w:outlineLvl w:val="3"/>
    </w:pPr>
    <w:rPr>
      <w:rFonts w:ascii="方正仿宋_GBK" w:eastAsia="方正仿宋_GBK" w:cs="Arial"/>
      <w:b/>
      <w:bCs/>
      <w:kern w:val="0"/>
      <w:sz w:val="31"/>
      <w:szCs w:val="31"/>
      <w:lang w:val="en-US" w:eastAsia="en-US" w:bidi="ar-SA"/>
    </w:rPr>
  </w:style>
  <w:style w:type="paragraph" w:customStyle="1" w:styleId="206">
    <w:name w:val="样式 3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image" Target="media/23.emf"/><Relationship Id="rId10" Type="http://schemas.openxmlformats.org/officeDocument/2006/relationships/oleObject" Target="embeddings/oleObject1.bin"/><Relationship Id="rId11" Type="http://schemas.openxmlformats.org/officeDocument/2006/relationships/image" Target="media/25.emf"/><Relationship Id="rId12" Type="http://schemas.openxmlformats.org/officeDocument/2006/relationships/oleObject" Target="embeddings/oleObject2.bin"/><Relationship Id="rId13" Type="http://schemas.openxmlformats.org/officeDocument/2006/relationships/image" Target="media/27.png"/><Relationship Id="rId14" Type="http://schemas.openxmlformats.org/officeDocument/2006/relationships/header" Target="header4.xml"/><Relationship Id="rId15" Type="http://schemas.openxmlformats.org/officeDocument/2006/relationships/image" Target="media/34.png"/><Relationship Id="rId16" Type="http://schemas.openxmlformats.org/officeDocument/2006/relationships/footer" Target="footer5.xml"/><Relationship Id="rId17" Type="http://schemas.openxmlformats.org/officeDocument/2006/relationships/image" Target="media/40.emf"/><Relationship Id="rId18" Type="http://schemas.openxmlformats.org/officeDocument/2006/relationships/oleObject" Target="embeddings/oleObject3.bin"/><Relationship Id="rId19" Type="http://schemas.openxmlformats.org/officeDocument/2006/relationships/header" Target="header5.xml"/><Relationship Id="rId20" Type="http://schemas.openxmlformats.org/officeDocument/2006/relationships/image" Target="media/46.png"/><Relationship Id="rId21" Type="http://schemas.openxmlformats.org/officeDocument/2006/relationships/header" Target="header6.xml"/><Relationship Id="rId22" Type="http://schemas.openxmlformats.org/officeDocument/2006/relationships/footer" Target="footer6.xml"/><Relationship Id="rId23" Type="http://schemas.openxmlformats.org/officeDocument/2006/relationships/image" Target="media/56.png"/><Relationship Id="rId24" Type="http://schemas.openxmlformats.org/officeDocument/2006/relationships/image" Target="media/59.png"/><Relationship Id="rId25" Type="http://schemas.openxmlformats.org/officeDocument/2006/relationships/image" Target="media/62.png"/><Relationship Id="rId26" Type="http://schemas.openxmlformats.org/officeDocument/2006/relationships/image" Target="media/65.png"/><Relationship Id="rId27" Type="http://schemas.openxmlformats.org/officeDocument/2006/relationships/image" Target="media/68.png"/><Relationship Id="rId28" Type="http://schemas.openxmlformats.org/officeDocument/2006/relationships/header" Target="header7.xml"/><Relationship Id="rId29" Type="http://schemas.openxmlformats.org/officeDocument/2006/relationships/footer" Target="footer7.xml"/><Relationship Id="rId30" Type="http://schemas.openxmlformats.org/officeDocument/2006/relationships/image" Target="media/78.png"/><Relationship Id="rId31" Type="http://schemas.openxmlformats.org/officeDocument/2006/relationships/styles" Target="styles.xml"/><Relationship Id="rId32" Type="http://schemas.openxmlformats.org/officeDocument/2006/relationships/fontTable" Target="fontTable.xml"/></Relationships>
</file>

<file path=docProps/app.xml><?xml version="1.0" encoding="utf-8"?>
<Properties xmlns="http://schemas.openxmlformats.org/officeDocument/2006/extended-properties">
  <Template>Normal.eit</Template>
  <TotalTime>3400</TotalTime>
  <Application>Yozo_Office</Application>
  <Pages>34</Pages>
  <Words>7801</Words>
  <Characters>9582</Characters>
  <Lines>1583</Lines>
  <Paragraphs>893</Paragraphs>
  <CharactersWithSpaces>10049</CharactersWithSpaces>
  <Company>中国石油大学</Company>
</Properties>
</file>

<file path=docProps/core.xml><?xml version="1.0" encoding="utf-8"?>
<cp:coreProperties xmlns:cp="http://schemas.openxmlformats.org/package/2006/metadata/core-properties" xmlns:dc="http://purl.org/dc/elements/1.1/" xmlns:dcterms="http://purl.org/dc/terms/" xmlns:xsi="http://www.w3.org/2001/XMLSchema-instance">
  <dc:creator>xiaogang</dc:creator>
  <cp:lastModifiedBy>乐思涵</cp:lastModifiedBy>
  <cp:revision>52</cp:revision>
  <cp:lastPrinted>2022-08-16T03:03:00Z</cp:lastPrinted>
  <dcterms:created xsi:type="dcterms:W3CDTF">2024-08-12T08:24:00Z</dcterms:created>
  <dcterms:modified xsi:type="dcterms:W3CDTF">2026-08-14T07:22:25Z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or">
    <vt:lpwstr>无锡永中软件有限公司</vt:lpwstr>
  </property>
  <property fmtid="{D5CDD505-2E9C-101B-9397-08002B2CF9AE}" pid="3" name="KSOProductBuildVer">
    <vt:lpwstr>2052-11.1.0.7764</vt:lpwstr>
  </property>
  <property fmtid="{D5CDD505-2E9C-101B-9397-08002B2CF9AE}" pid="4" name="ICV">
    <vt:lpwstr>E94531174690476499DE80AA20446E3B</vt:lpwstr>
  </property>
</Properties>
</file>