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0"/>
        <w:jc w:val="both"/>
        <w:rPr>
          <w:rFonts w:hint="eastAsia" w:ascii="楷体_GB2312" w:eastAsia="楷体_GB2312" w:cs="楷体_GB2312"/>
          <w:b w:val="0"/>
          <w:bCs w:val="0"/>
          <w:color w:val="auto"/>
          <w:sz w:val="32"/>
          <w:szCs w:val="32"/>
          <w:shd w:val="clear" w:color="auto" w:fill="FFFFFF"/>
          <w:lang w:bidi="ar-SA"/>
        </w:rPr>
      </w:pPr>
      <w:bookmarkStart w:id="0" w:name="_Hlk25540369"/>
      <w:bookmarkStart w:id="1" w:name="cogw__正文__file"/>
      <w:r>
        <w:rPr>
          <w:rFonts w:hint="eastAsia" w:ascii="方正小标宋_GBK" w:eastAsia="方正小标宋_GBK" w:cs="方正小标宋_GBK"/>
          <w:b w:val="0"/>
          <w:bCs w:val="0"/>
          <w:color w:val="auto"/>
          <w:sz w:val="44"/>
          <w:szCs w:val="44"/>
          <w:lang w:bidi="ar-SA"/>
        </w:rPr>
        <w:t>丽水海关202</w:t>
      </w:r>
      <w:r>
        <w:rPr>
          <w:rFonts w:hint="eastAsia" w:asci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 w:bidi="ar-SA"/>
        </w:rPr>
        <w:t>5</w:t>
      </w:r>
      <w:r>
        <w:rPr>
          <w:rFonts w:hint="eastAsia" w:ascii="方正小标宋_GBK" w:eastAsia="方正小标宋_GBK" w:cs="方正小标宋_GBK"/>
          <w:b w:val="0"/>
          <w:bCs w:val="0"/>
          <w:color w:val="auto"/>
          <w:sz w:val="44"/>
          <w:szCs w:val="44"/>
          <w:lang w:bidi="ar-SA"/>
        </w:rPr>
        <w:t>年政府信息公开工作年度报告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contextualSpacing w:val="0"/>
        <w:textAlignment w:val="auto"/>
        <w:rPr>
          <w:rFonts w:hint="eastAsia"/>
        </w:rPr>
      </w:pPr>
      <w:r>
        <w:rPr>
          <w:rFonts w:hint="eastAsia"/>
        </w:rPr>
        <w:t>本报告根据《中华人民共和国政府信息公开条例》《国务院办公厅政府信息与政务公开办公室关于印发&lt;中华人民共和国政府信息公开工作年度报告格式&gt;的通知》等有关规定，梳理202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年度丽水海关政府信息公开工作情况编制而成。报告中所列数据的统计期限，自202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年1月1日起至202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年12月31日止。如对报告有疑问或有任何意见、建议，请联系丽水海关办公室，地址：丽水市人民街597号；邮编：323000；电话：0578-2305156；电子邮箱：lshg_zwgk@customs.gov.cn。</w:t>
      </w:r>
    </w:p>
    <w:p>
      <w:pPr>
        <w:pStyle w:val="3"/>
        <w:keepNext/>
        <w:keepLines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eastAsia="黑体"/>
          <w:b w:val="0"/>
          <w:bCs w:val="0"/>
          <w:lang w:eastAsia="zh-CN"/>
        </w:rPr>
      </w:pPr>
      <w:r>
        <w:rPr>
          <w:rFonts w:hint="eastAsia"/>
          <w:b w:val="0"/>
          <w:bCs w:val="0"/>
        </w:rPr>
        <w:t>一、总体情况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/>
          <w:lang w:eastAsia="zh-CN"/>
        </w:rPr>
      </w:pPr>
      <w:r>
        <w:rPr>
          <w:rStyle w:val="18"/>
          <w:rFonts w:hint="eastAsia"/>
        </w:rPr>
        <w:t>（一）强化专业引领，健全事权明确、责任清晰的公开机制</w:t>
      </w:r>
      <w:r>
        <w:rPr>
          <w:rStyle w:val="18"/>
          <w:rFonts w:hint="eastAsia"/>
          <w:lang w:eastAsia="zh-CN"/>
        </w:rPr>
        <w:t>。</w:t>
      </w:r>
      <w:r>
        <w:rPr>
          <w:rFonts w:hint="eastAsia"/>
        </w:rPr>
        <w:t>围绕提升政务公开工作的专业性和规范性，我关系统梳理政务公开事权，明确责任主体，强化组织保障。确立“</w:t>
      </w:r>
      <w:r>
        <w:rPr>
          <w:rFonts w:hint="eastAsia"/>
          <w:lang w:eastAsia="zh-CN"/>
        </w:rPr>
        <w:t>业务部门归口提报、分级审核确认、办公室终审发布</w:t>
      </w:r>
      <w:r>
        <w:rPr>
          <w:rFonts w:hint="eastAsia"/>
        </w:rPr>
        <w:t>”的工作模式，明确规定政府信息公开申请的接收、登记、分办、审核、答复等</w:t>
      </w:r>
      <w:bookmarkStart w:id="2" w:name="_GoBack"/>
      <w:bookmarkEnd w:id="2"/>
      <w:r>
        <w:rPr>
          <w:rFonts w:hint="eastAsia"/>
        </w:rPr>
        <w:t>流程由办公室统一</w:t>
      </w:r>
      <w:r>
        <w:rPr>
          <w:rFonts w:hint="eastAsia"/>
          <w:lang w:eastAsia="zh-CN"/>
        </w:rPr>
        <w:t>归</w:t>
      </w:r>
      <w:r>
        <w:rPr>
          <w:rFonts w:hint="eastAsia"/>
        </w:rPr>
        <w:t>口管理，杜绝多头受理、职责不清的现象。集中组织学习</w:t>
      </w:r>
      <w:r>
        <w:rPr>
          <w:rFonts w:hint="eastAsia"/>
          <w:lang w:eastAsia="zh-CN"/>
        </w:rPr>
        <w:t>了新修订的</w:t>
      </w:r>
      <w:r>
        <w:rPr>
          <w:rFonts w:hint="eastAsia"/>
        </w:rPr>
        <w:t>《杭州海关政府信息公开工作办法》</w:t>
      </w:r>
      <w:r>
        <w:rPr>
          <w:rFonts w:hint="eastAsia"/>
          <w:lang w:eastAsia="zh-CN"/>
        </w:rPr>
        <w:t>等制度</w:t>
      </w:r>
      <w:r>
        <w:rPr>
          <w:rFonts w:hint="eastAsia"/>
        </w:rPr>
        <w:t>文件，开展</w:t>
      </w:r>
      <w:r>
        <w:rPr>
          <w:rFonts w:hint="eastAsia"/>
          <w:lang w:eastAsia="zh-CN"/>
        </w:rPr>
        <w:t>了多场</w:t>
      </w:r>
      <w:r>
        <w:rPr>
          <w:rFonts w:hint="eastAsia"/>
        </w:rPr>
        <w:t>专题学习会</w:t>
      </w:r>
      <w:r>
        <w:rPr>
          <w:rFonts w:hint="eastAsia"/>
          <w:lang w:eastAsia="zh-CN"/>
        </w:rPr>
        <w:t>与</w:t>
      </w:r>
      <w:r>
        <w:rPr>
          <w:rFonts w:hint="eastAsia"/>
        </w:rPr>
        <w:t>案例研讨会，覆盖全关各部门负责人及政务公开联络员，有效提升了工作人员的政策理解力、法规运用力和实务操作能力，为政务公开工作的精准、规范开展奠定了坚实的制度与人才基础。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方正楷体_GBK" w:hAnsi="方正楷体_GBK" w:eastAsia="方正仿宋_GBK" w:cs="Arial"/>
          <w:szCs w:val="32"/>
          <w:lang w:eastAsia="zh-CN" w:bidi="ar-SA"/>
        </w:rPr>
      </w:pPr>
      <w:r>
        <w:rPr>
          <w:rStyle w:val="18"/>
          <w:rFonts w:hint="eastAsia"/>
        </w:rPr>
        <w:t>（二）优化平台载体，实现政务信息多渠道、全方位展示</w:t>
      </w:r>
      <w:r>
        <w:rPr>
          <w:rStyle w:val="18"/>
          <w:rFonts w:hint="eastAsia"/>
          <w:lang w:eastAsia="zh-CN"/>
        </w:rPr>
        <w:t>。</w:t>
      </w:r>
      <w:r>
        <w:rPr>
          <w:rFonts w:hint="eastAsia"/>
        </w:rPr>
        <w:t>秉持“便民、高效、透明”的原则，我关致力于拓展和优化政务信息公开渠道，提升信息获取的便捷度和覆盖面。线上，持续强化杭州海关门户网站的主平台作用，做到法定主动公开内容全量、及时发布。线下，对政务公开专区进行升级改造，统一设置政务公开展板，</w:t>
      </w:r>
      <w:r>
        <w:rPr>
          <w:rFonts w:hint="eastAsia"/>
          <w:lang w:eastAsia="zh-CN"/>
        </w:rPr>
        <w:t>放置于报关大厅醒目位置，</w:t>
      </w:r>
      <w:r>
        <w:rPr>
          <w:rFonts w:hint="eastAsia"/>
        </w:rPr>
        <w:t>公示本单位机构职能、领导分工、人员岗位信息及联系方式</w:t>
      </w:r>
      <w:r>
        <w:rPr>
          <w:rFonts w:hint="eastAsia"/>
          <w:lang w:eastAsia="zh-CN"/>
        </w:rPr>
        <w:t>，并</w:t>
      </w:r>
      <w:r>
        <w:rPr>
          <w:rFonts w:hint="eastAsia"/>
        </w:rPr>
        <w:t>提供办事流程</w:t>
      </w:r>
      <w:r>
        <w:rPr>
          <w:rFonts w:hint="eastAsia"/>
          <w:lang w:eastAsia="zh-CN"/>
        </w:rPr>
        <w:t>指引；</w:t>
      </w:r>
      <w:r>
        <w:rPr>
          <w:rFonts w:hint="eastAsia"/>
        </w:rPr>
        <w:t>更新电子显示屏、公告栏内容，确保与线上平台同步更新、同源发布</w:t>
      </w:r>
      <w:r>
        <w:rPr>
          <w:rFonts w:hint="eastAsia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方正仿宋_GBK" w:eastAsia="方正仿宋_GBK" w:cs="Arial"/>
          <w:sz w:val="32"/>
          <w:szCs w:val="32"/>
          <w:lang w:bidi="ar-SA"/>
        </w:rPr>
      </w:pPr>
      <w:r>
        <w:rPr>
          <w:rStyle w:val="18"/>
          <w:rFonts w:hint="eastAsia"/>
        </w:rPr>
        <w:t>（三）加强监督检查，确保公开内容准确、及时、规范</w:t>
      </w:r>
      <w:r>
        <w:rPr>
          <w:rStyle w:val="18"/>
          <w:rFonts w:hint="eastAsia"/>
          <w:lang w:eastAsia="zh-CN"/>
        </w:rPr>
        <w:t>。</w:t>
      </w:r>
      <w:r>
        <w:rPr>
          <w:rFonts w:hint="eastAsia"/>
        </w:rPr>
        <w:t>为保障政府信息公开质量，我关建立健全常态化监督检查机制。年内组织开展了政务公开专项排查与主动抽查工作</w:t>
      </w:r>
      <w:r>
        <w:rPr>
          <w:rFonts w:hint="eastAsia"/>
          <w:lang w:eastAsia="zh-CN"/>
        </w:rPr>
        <w:t>，</w:t>
      </w:r>
      <w:r>
        <w:rPr>
          <w:rFonts w:hint="eastAsia"/>
        </w:rPr>
        <w:t>重点对“双随机、一公开”监管事项的结果公示进行回溯检查，确保所有公示信息均履行了完整的内部审批程序。加大对门户网站上“</w:t>
      </w:r>
      <w:r>
        <w:rPr>
          <w:rFonts w:hint="eastAsia"/>
          <w:lang w:eastAsia="zh-CN"/>
        </w:rPr>
        <w:t>预决算公开</w:t>
      </w:r>
      <w:r>
        <w:rPr>
          <w:rFonts w:hint="eastAsia"/>
        </w:rPr>
        <w:t>”“行政执法</w:t>
      </w:r>
      <w:r>
        <w:rPr>
          <w:rFonts w:hint="eastAsia"/>
          <w:lang w:eastAsia="zh-CN"/>
        </w:rPr>
        <w:t>处罚公示</w:t>
      </w:r>
      <w:r>
        <w:rPr>
          <w:rFonts w:hint="eastAsia"/>
        </w:rPr>
        <w:t>”“</w:t>
      </w:r>
      <w:r>
        <w:rPr>
          <w:rFonts w:hint="eastAsia"/>
          <w:lang w:eastAsia="zh-CN"/>
        </w:rPr>
        <w:t>政府采购</w:t>
      </w:r>
      <w:r>
        <w:rPr>
          <w:rFonts w:hint="eastAsia"/>
        </w:rPr>
        <w:t>”等法定主动公开栏目的抽查频次和力度，从公开内容的政治性、合法性、准确性、时效性以及发布格式的规范性等多个维度进行审核。对拟公开信息实行“一事一审核、一环一留痕”，确保所有主动公开事项内容正确、公布及时、程序完备。通过定期通报抽查结果、督促整改落实，形成了“发布-监管-优化”的良性循环，有力提升了全关政务公开工作的严肃性和公信力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二、主动公开政府信息情况</w:t>
      </w:r>
    </w:p>
    <w:tbl>
      <w:tblPr>
        <w:tblStyle w:val="15"/>
        <w:tblW w:w="899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default" w:eastAsia="方正仿宋_GBK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宋体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jc w:val="center"/>
              <w:rPr>
                <w:rFonts w:eastAsia="方正仿宋_GBK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宋体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3"/>
        <w:keepNext/>
        <w:keepLines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三、收到和处理政府信息公开申请情况</w:t>
      </w:r>
    </w:p>
    <w:tbl>
      <w:tblPr>
        <w:tblStyle w:val="15"/>
        <w:tblW w:w="907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1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</w:tcPr>
          <w:p>
            <w:pPr>
              <w:pStyle w:val="21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</w:tcPr>
          <w:p>
            <w:pPr>
              <w:pStyle w:val="21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</w:tcPr>
          <w:p>
            <w:pPr>
              <w:pStyle w:val="21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</w:tcPr>
          <w:p>
            <w:pPr>
              <w:pStyle w:val="21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hint="eastAsia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left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1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宋体" w:cs="宋体"/>
          <w:color w:val="auto"/>
          <w:szCs w:val="24"/>
          <w:lang w:bidi="ar-SA"/>
        </w:rPr>
      </w:pPr>
      <w:r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tblStyle w:val="15"/>
        <w:tblW w:w="907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1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34"/>
        <w:adjustRightInd w:val="0"/>
        <w:snapToGrid w:val="0"/>
        <w:ind w:firstLine="627" w:firstLineChars="200"/>
        <w:rPr>
          <w:rFonts w:hint="eastAsia" w:eastAsia="方正仿宋_GBK"/>
          <w:lang w:val="en-US" w:eastAsia="zh-CN"/>
        </w:rPr>
      </w:pPr>
      <w:r>
        <w:rPr>
          <w:rFonts w:hint="eastAsia" w:ascii="方正楷体_GBK" w:eastAsia="方正楷体_GBK"/>
          <w:b/>
          <w:bCs/>
        </w:rPr>
        <w:t>（一）202</w:t>
      </w:r>
      <w:r>
        <w:rPr>
          <w:rFonts w:hint="eastAsia" w:ascii="方正楷体_GBK" w:eastAsia="方正楷体_GBK"/>
          <w:b/>
          <w:bCs/>
          <w:lang w:val="en-US" w:eastAsia="zh-CN"/>
        </w:rPr>
        <w:t>4</w:t>
      </w:r>
      <w:r>
        <w:rPr>
          <w:rFonts w:hint="eastAsia" w:ascii="方正楷体_GBK" w:eastAsia="方正楷体_GBK"/>
          <w:b/>
          <w:bCs/>
        </w:rPr>
        <w:t>年年报中所提问题整改情况。</w:t>
      </w:r>
      <w:r>
        <w:rPr>
          <w:rFonts w:hint="eastAsia"/>
          <w:lang w:val="en-US" w:eastAsia="zh-CN"/>
        </w:rPr>
        <w:t>实施“专业能力筑基工程”，除了将政务公开法律法规、政策文件、操作规程纳入经办人员必修培训内容外，还针对不同的案例开展专题研讨会，全面提升工作人员的业务水平。</w:t>
      </w:r>
    </w:p>
    <w:p>
      <w:pPr>
        <w:bidi w:val="0"/>
        <w:rPr>
          <w:rFonts w:hint="eastAsia" w:eastAsia="方正仿宋_GBK"/>
          <w:lang w:eastAsia="zh-CN"/>
        </w:rPr>
      </w:pPr>
      <w:r>
        <w:rPr>
          <w:rFonts w:hint="eastAsia" w:ascii="方正楷体_GBK" w:eastAsia="方正楷体_GBK" w:cs="Times New Roman"/>
          <w:b/>
          <w:bCs/>
          <w:spacing w:val="-4"/>
          <w:kern w:val="2"/>
          <w:sz w:val="32"/>
          <w:szCs w:val="20"/>
          <w:lang w:val="en-US" w:eastAsia="zh-CN" w:bidi="ar-SA"/>
        </w:rPr>
        <w:t>（二）目前存在问题。</w:t>
      </w:r>
      <w:r>
        <w:rPr>
          <w:rFonts w:hint="eastAsia"/>
          <w:lang w:eastAsia="zh-CN"/>
        </w:rPr>
        <w:t>通过邮政寄送方式提交的政府信息公开申请，在实际受理环节偶有滞后现象。主要源于外部邮寄流程中存在的不确定性，例如信件送达时未能被及时签收通知，或受邮政投递时效影响，导致申请件未能第一时间流转至我关指定受理部门，可能影响法定答复时限的起算，存在信息未及时公开的风险</w:t>
      </w:r>
      <w:r>
        <w:rPr>
          <w:rFonts w:hint="eastAsia"/>
          <w:color w:val="auto"/>
          <w:u w:val="none"/>
          <w:lang w:eastAsia="zh-CN"/>
        </w:rPr>
        <w:t>。</w:t>
      </w:r>
      <w:r>
        <w:rPr>
          <w:color w:val="auto"/>
          <w:u w:val="none"/>
          <w:lang w:eastAsia="zh-CN"/>
        </w:rPr>
        <w:t>下一步，将与邮政部门强化沟通对接，及时同步信件派送进度，并安排工作人员定期前往信件收发室，主动核查信件送达情况。</w:t>
      </w:r>
    </w:p>
    <w:p>
      <w:pPr>
        <w:pStyle w:val="1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33"/>
        <w:adjustRightInd w:val="0"/>
        <w:snapToGrid w:val="0"/>
        <w:ind w:firstLine="624" w:firstLineChars="200"/>
      </w:pPr>
      <w:r>
        <w:t>无其他事项需报告，全年未收取信息处理费。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="0"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7"/>
      </w:rPr>
      <w:fldChar w:fldCharType="begin"/>
    </w:r>
    <w:r>
      <w:rPr>
        <w:rStyle w:val="17"/>
      </w:rPr>
      <w:instrText xml:space="preserve">Page</w:instrText>
    </w:r>
    <w:r>
      <w:rPr>
        <w:rStyle w:val="17"/>
      </w:rPr>
      <w:fldChar w:fldCharType="separate"/>
    </w:r>
    <w:r>
      <w:rPr>
        <w:rStyle w:val="17"/>
      </w:rPr>
      <w:t>- 1 -</w:t>
    </w:r>
    <w:r>
      <w:rPr>
        <w:rStyle w:val="17"/>
      </w:rPr>
      <w:fldChar w:fldCharType="end"/>
    </w:r>
  </w:p>
  <w:p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="0"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7"/>
      </w:rPr>
      <w:fldChar w:fldCharType="begin"/>
    </w:r>
    <w:r>
      <w:rPr>
        <w:rStyle w:val="17"/>
      </w:rPr>
      <w:instrText xml:space="preserve">Page</w:instrText>
    </w:r>
    <w:r>
      <w:rPr>
        <w:rStyle w:val="17"/>
      </w:rPr>
      <w:fldChar w:fldCharType="separate"/>
    </w:r>
    <w:r>
      <w:rPr>
        <w:rStyle w:val="17"/>
      </w:rPr>
      <w:t>- 2 -</w:t>
    </w:r>
    <w:r>
      <w:rPr>
        <w:rStyle w:val="17"/>
      </w:rPr>
      <w:fldChar w:fldCharType="end"/>
    </w:r>
  </w:p>
  <w:p>
    <w:pPr>
      <w:pStyle w:val="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</w:pP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</w:p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0B0AC"/>
    <w:multiLevelType w:val="singleLevel"/>
    <w:tmpl w:val="6C40B0AC"/>
    <w:lvl w:ilvl="0" w:tentative="0">
      <w:start w:val="1"/>
      <w:numFmt w:val="decimal"/>
      <w:pStyle w:val="5"/>
      <w:lvlText w:val="%1."/>
      <w:lvlJc w:val="left"/>
      <w:pPr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3DEC3C7A"/>
    <w:rsid w:val="45E62595"/>
    <w:rsid w:val="59E641A2"/>
    <w:rsid w:val="6C9125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560" w:lineRule="exact"/>
      <w:ind w:firstLine="200" w:firstLineChars="200"/>
      <w:jc w:val="left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40" w:line="560" w:lineRule="exact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8"/>
    <w:uiPriority w:val="0"/>
    <w:pPr>
      <w:keepNext/>
      <w:keepLines/>
      <w:widowControl w:val="0"/>
      <w:spacing w:line="560" w:lineRule="exact"/>
      <w:outlineLvl w:val="2"/>
    </w:pPr>
    <w:rPr>
      <w:rFonts w:eastAsia="方正楷体_GBK"/>
      <w:b/>
      <w:bCs/>
      <w:szCs w:val="32"/>
    </w:rPr>
  </w:style>
  <w:style w:type="character" w:default="1" w:styleId="16">
    <w:name w:val="Default Paragraph Font"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Number 2"/>
    <w:basedOn w:val="1"/>
    <w:qFormat/>
    <w:uiPriority w:val="0"/>
    <w:pPr>
      <w:numPr>
        <w:ilvl w:val="0"/>
        <w:numId w:val="1"/>
      </w:numPr>
      <w:ind w:firstLineChars="0"/>
    </w:pPr>
  </w:style>
  <w:style w:type="paragraph" w:styleId="6">
    <w:name w:val="index 8"/>
    <w:basedOn w:val="1"/>
    <w:next w:val="1"/>
    <w:qFormat/>
    <w:uiPriority w:val="0"/>
    <w:pPr>
      <w:ind w:left="2940"/>
    </w:pPr>
  </w:style>
  <w:style w:type="paragraph" w:styleId="7">
    <w:name w:val="index 5"/>
    <w:basedOn w:val="1"/>
    <w:next w:val="1"/>
    <w:qFormat/>
    <w:uiPriority w:val="0"/>
    <w:pPr>
      <w:ind w:left="1680"/>
    </w:pPr>
  </w:style>
  <w:style w:type="paragraph" w:styleId="8">
    <w:name w:val="index 6"/>
    <w:basedOn w:val="1"/>
    <w:next w:val="1"/>
    <w:uiPriority w:val="0"/>
    <w:pPr>
      <w:ind w:left="21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index 7"/>
    <w:basedOn w:val="1"/>
    <w:next w:val="1"/>
    <w:qFormat/>
    <w:uiPriority w:val="0"/>
    <w:pPr>
      <w:ind w:left="2520"/>
    </w:pPr>
  </w:style>
  <w:style w:type="paragraph" w:styleId="13">
    <w:name w:val="toc 2"/>
    <w:basedOn w:val="1"/>
    <w:next w:val="1"/>
    <w:qFormat/>
    <w:uiPriority w:val="0"/>
    <w:pPr>
      <w:ind w:left="420"/>
    </w:pPr>
  </w:style>
  <w:style w:type="paragraph" w:styleId="14">
    <w:name w:val="Normal (Web)"/>
    <w:next w:val="9"/>
    <w:qFormat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character" w:styleId="17">
    <w:name w:val="page number"/>
    <w:basedOn w:val="16"/>
    <w:uiPriority w:val="0"/>
  </w:style>
  <w:style w:type="character" w:customStyle="1" w:styleId="18">
    <w:name w:val="heading 3 Char"/>
    <w:basedOn w:val="16"/>
    <w:link w:val="4"/>
    <w:uiPriority w:val="0"/>
    <w:rPr>
      <w:rFonts w:ascii="Times New Roman" w:hAnsi="Times New Roman" w:eastAsia="方正楷体_GBK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9">
    <w:name w:val="样式 1 三号"/>
    <w:next w:val="1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0">
    <w:name w:val="样式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1">
    <w:name w:val="样式 小三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">
    <w:name w:val="样式 1 小四"/>
    <w:next w:val="1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23">
    <w:name w:val="样式 6 小四"/>
    <w:next w:val="1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24">
    <w:name w:val="样式 20 小四"/>
    <w:next w:val="7"/>
    <w:qFormat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25">
    <w:name w:val="样式 12 三号"/>
    <w:next w:val="6"/>
    <w:uiPriority w:val="0"/>
    <w:pPr>
      <w:widowControl w:val="0"/>
      <w:spacing w:line="240" w:lineRule="auto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26">
    <w:name w:val="样式 50 三号"/>
    <w:next w:val="8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7">
    <w:name w:val="样式 13 三号"/>
    <w:next w:val="12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2 三号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9">
    <w:name w:val="样式 3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0">
    <w:name w:val="样式 4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1">
    <w:name w:val="样式 5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2">
    <w:name w:val="样式 6 三号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33">
    <w:name w:val="样式 7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8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小四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36">
    <w:name w:val="样式 1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37">
    <w:name w:val="样式 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38">
    <w:name w:val="样式 3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39">
    <w:name w:val="样式 4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0">
    <w:name w:val="样式 9 三号"/>
    <w:qFormat/>
    <w:uiPriority w:val="0"/>
    <w:pPr>
      <w:widowControl w:val="0"/>
      <w:ind w:left="42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41">
    <w:name w:val="样式 2 小四"/>
    <w:qFormat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42">
    <w:name w:val="样式 10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43">
    <w:name w:val="样式 3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44">
    <w:name w:val="样式 5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5">
    <w:name w:val="样式 6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6">
    <w:name w:val="样式 7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7">
    <w:name w:val="样式 8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8">
    <w:name w:val="样式 9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9">
    <w:name w:val="样式 10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0">
    <w:name w:val="样式 11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1">
    <w:name w:val="样式 12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2">
    <w:name w:val="样式 13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3">
    <w:name w:val="样式 14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4">
    <w:name w:val="样式 15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5">
    <w:name w:val="样式 16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6">
    <w:name w:val="样式 17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8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9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9">
    <w:name w:val="样式 20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0">
    <w:name w:val="样式 4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1">
    <w:name w:val="样式 5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2">
    <w:name w:val="样式 7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3">
    <w:name w:val="样式 8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4">
    <w:name w:val="样式 11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65">
    <w:name w:val="样式 14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66">
    <w:name w:val="样式 15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67">
    <w:name w:val="样式 16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68">
    <w:name w:val="样式 9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9">
    <w:name w:val="样式 10 小四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hAnsi="Times New Roman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70">
    <w:name w:val="样式 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ccic</Company>
  <Pages>6</Pages>
  <Words>2315</Words>
  <Characters>2395</Characters>
  <Lines>422</Lines>
  <Paragraphs>301</Paragraphs>
  <TotalTime>27</TotalTime>
  <ScaleCrop>false</ScaleCrop>
  <LinksUpToDate>false</LinksUpToDate>
  <CharactersWithSpaces>2395</CharactersWithSpaces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2008-05-09T07:46:00Z</dcterms:created>
  <dc:creator>吕大良</dc:creator>
  <cp:lastModifiedBy>2970571</cp:lastModifiedBy>
  <cp:lastPrinted>2026-01-06T08:25:00Z</cp:lastPrinted>
  <dcterms:modified xsi:type="dcterms:W3CDTF">2026-01-20T08:47:34Z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