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1F0" w:rsidRDefault="0078413E">
      <w:pPr>
        <w:pStyle w:val="a8"/>
        <w:rPr>
          <w:rFonts w:ascii="Times New Roman" w:hAnsi="Times New Roman" w:cs="Times New Roman"/>
        </w:rPr>
      </w:pPr>
      <w:r>
        <w:rPr>
          <w:rFonts w:ascii="Times New Roman" w:hAnsi="Times New Roman" w:cs="Times New Roman"/>
        </w:rPr>
        <w:t>杭州萧山机场海关</w:t>
      </w:r>
      <w:r>
        <w:rPr>
          <w:rFonts w:ascii="Times New Roman" w:hAnsi="Times New Roman" w:cs="Times New Roman"/>
        </w:rPr>
        <w:t>202</w:t>
      </w:r>
      <w:r>
        <w:rPr>
          <w:rFonts w:ascii="Times New Roman" w:hAnsi="Times New Roman" w:cs="Times New Roman" w:hint="eastAsia"/>
        </w:rPr>
        <w:t>3</w:t>
      </w:r>
      <w:r>
        <w:rPr>
          <w:rFonts w:ascii="Times New Roman" w:hAnsi="Times New Roman" w:cs="Times New Roman"/>
        </w:rPr>
        <w:t>年政府信息公开</w:t>
      </w:r>
    </w:p>
    <w:p w:rsidR="000E71F0" w:rsidRDefault="0078413E">
      <w:pPr>
        <w:pStyle w:val="a8"/>
        <w:rPr>
          <w:rFonts w:ascii="Times New Roman" w:hAnsi="Times New Roman" w:cs="Times New Roman"/>
        </w:rPr>
      </w:pPr>
      <w:r>
        <w:rPr>
          <w:rFonts w:ascii="Times New Roman" w:hAnsi="Times New Roman" w:cs="Times New Roman"/>
        </w:rPr>
        <w:t>工作年度报告</w:t>
      </w:r>
    </w:p>
    <w:p w:rsidR="000E71F0" w:rsidRDefault="000E71F0">
      <w:pPr>
        <w:pStyle w:val="a7"/>
        <w:ind w:firstLine="640"/>
      </w:pPr>
    </w:p>
    <w:p w:rsidR="000E71F0" w:rsidRDefault="0078413E">
      <w:pPr>
        <w:pStyle w:val="a7"/>
        <w:ind w:firstLine="640"/>
      </w:pPr>
      <w:r>
        <w:rPr>
          <w:rFonts w:hint="eastAsia"/>
        </w:rPr>
        <w:t>本报告根据《中华人民共和国政府信息公开条例》《国务院办公厅政府信息与政务公开办公室关于政府信息公开工作年度报告有关事项的通知》等规定，梳理</w:t>
      </w:r>
      <w:r>
        <w:rPr>
          <w:rFonts w:hint="eastAsia"/>
        </w:rPr>
        <w:t>2023</w:t>
      </w:r>
      <w:r>
        <w:rPr>
          <w:rFonts w:hint="eastAsia"/>
        </w:rPr>
        <w:t>年度杭州萧山机场海关政府信息公开工作情况编制而成。报告中所列数据的统计期限，自</w:t>
      </w:r>
      <w:r>
        <w:rPr>
          <w:rFonts w:hint="eastAsia"/>
        </w:rPr>
        <w:t>2023</w:t>
      </w:r>
      <w:r>
        <w:rPr>
          <w:rFonts w:hint="eastAsia"/>
        </w:rPr>
        <w:t>年</w:t>
      </w:r>
      <w:r>
        <w:rPr>
          <w:rFonts w:hint="eastAsia"/>
        </w:rPr>
        <w:t>1</w:t>
      </w:r>
      <w:r>
        <w:rPr>
          <w:rFonts w:hint="eastAsia"/>
        </w:rPr>
        <w:t>月</w:t>
      </w:r>
      <w:r>
        <w:rPr>
          <w:rFonts w:hint="eastAsia"/>
        </w:rPr>
        <w:t>1</w:t>
      </w:r>
      <w:r>
        <w:rPr>
          <w:rFonts w:hint="eastAsia"/>
        </w:rPr>
        <w:t>日起至</w:t>
      </w:r>
      <w:r>
        <w:rPr>
          <w:rFonts w:hint="eastAsia"/>
        </w:rPr>
        <w:t>2023</w:t>
      </w:r>
      <w:r>
        <w:rPr>
          <w:rFonts w:hint="eastAsia"/>
        </w:rPr>
        <w:t>年</w:t>
      </w:r>
      <w:r>
        <w:rPr>
          <w:rFonts w:hint="eastAsia"/>
        </w:rPr>
        <w:t>12</w:t>
      </w:r>
      <w:r>
        <w:rPr>
          <w:rFonts w:hint="eastAsia"/>
        </w:rPr>
        <w:t>月</w:t>
      </w:r>
      <w:r>
        <w:rPr>
          <w:rFonts w:hint="eastAsia"/>
        </w:rPr>
        <w:t>31</w:t>
      </w:r>
      <w:r>
        <w:rPr>
          <w:rFonts w:hint="eastAsia"/>
        </w:rPr>
        <w:t>日止。如对报告有疑问或有任何意见、建议，请联系杭州萧山机场海关办公室，地址：杭州萧山机场</w:t>
      </w:r>
      <w:proofErr w:type="gramStart"/>
      <w:r>
        <w:rPr>
          <w:rFonts w:hint="eastAsia"/>
        </w:rPr>
        <w:t>翔越路</w:t>
      </w:r>
      <w:proofErr w:type="gramEnd"/>
      <w:r>
        <w:rPr>
          <w:rFonts w:hint="eastAsia"/>
        </w:rPr>
        <w:t>海关大楼；邮编：</w:t>
      </w:r>
      <w:r>
        <w:rPr>
          <w:rFonts w:hint="eastAsia"/>
        </w:rPr>
        <w:t>311207</w:t>
      </w:r>
      <w:r>
        <w:rPr>
          <w:rFonts w:hint="eastAsia"/>
        </w:rPr>
        <w:t>；电话：</w:t>
      </w:r>
      <w:r>
        <w:rPr>
          <w:rFonts w:hint="eastAsia"/>
        </w:rPr>
        <w:t>0571</w:t>
      </w:r>
      <w:r>
        <w:rPr>
          <w:rFonts w:hint="eastAsia"/>
        </w:rPr>
        <w:t>—</w:t>
      </w:r>
      <w:r>
        <w:rPr>
          <w:rFonts w:hint="eastAsia"/>
        </w:rPr>
        <w:t>86660117</w:t>
      </w:r>
      <w:r>
        <w:rPr>
          <w:rFonts w:hint="eastAsia"/>
        </w:rPr>
        <w:t>；电子邮箱：</w:t>
      </w:r>
      <w:hyperlink r:id="rId6" w:history="1">
        <w:r>
          <w:rPr>
            <w:rStyle w:val="a6"/>
            <w:rFonts w:hint="eastAsia"/>
          </w:rPr>
          <w:t>jchg_zwgk@customs.gov.cn</w:t>
        </w:r>
        <w:r>
          <w:rPr>
            <w:rStyle w:val="a6"/>
            <w:rFonts w:hint="eastAsia"/>
          </w:rPr>
          <w:t>。</w:t>
        </w:r>
      </w:hyperlink>
    </w:p>
    <w:p w:rsidR="000E71F0" w:rsidRDefault="0078413E">
      <w:pPr>
        <w:pStyle w:val="a7"/>
        <w:ind w:firstLine="640"/>
        <w:rPr>
          <w:rFonts w:ascii="黑体" w:eastAsia="黑体" w:cs="黑体"/>
        </w:rPr>
      </w:pPr>
      <w:r>
        <w:rPr>
          <w:rFonts w:ascii="黑体" w:eastAsia="黑体" w:cs="黑体" w:hint="eastAsia"/>
        </w:rPr>
        <w:t>一、总体情况</w:t>
      </w:r>
    </w:p>
    <w:p w:rsidR="000E71F0" w:rsidRDefault="0078413E">
      <w:pPr>
        <w:pStyle w:val="a7"/>
        <w:ind w:left="-3" w:firstLine="640"/>
      </w:pPr>
      <w:r>
        <w:t>（一）强化制度保障，严格落实公开职责。规范主动公开，严格依照《中华人民共和国政府信息公开条例》和海关总署有关政府信息公开要求，履行主动公开职责，落实政府信息公开审查机制。提升依申请公开工作质量，组织学习《杭州海关政府信息公开实施细则》</w:t>
      </w:r>
      <w:r>
        <w:rPr>
          <w:rFonts w:hint="eastAsia"/>
        </w:rPr>
        <w:t>及新修订的工作规程</w:t>
      </w:r>
      <w:r>
        <w:t>，落实专人做好政府信息公开各项工作，梳理本关政府信息公开申请受理答复中登记、回执、答复各环节流程规范，建立对所公开事项内容审核、把关机制，确保公开内容的合法合</w:t>
      </w:r>
      <w:proofErr w:type="gramStart"/>
      <w:r>
        <w:t>规</w:t>
      </w:r>
      <w:proofErr w:type="gramEnd"/>
      <w:r>
        <w:t>性。积极建立政务公开主管科室和相关业务科室间的协调联动机制，提高工作效率，组织对</w:t>
      </w:r>
      <w:r>
        <w:rPr>
          <w:rFonts w:hint="eastAsia"/>
        </w:rPr>
        <w:t>本关区以及外关区</w:t>
      </w:r>
      <w:r>
        <w:t>已办理案例的复盘讨论和学习，提升答复文书和办理过程规范化水平，</w:t>
      </w:r>
      <w:r>
        <w:lastRenderedPageBreak/>
        <w:t>降低被行政复议及诉讼风险。</w:t>
      </w:r>
    </w:p>
    <w:p w:rsidR="000E71F0" w:rsidRDefault="0078413E">
      <w:pPr>
        <w:pStyle w:val="a7"/>
        <w:ind w:firstLine="640"/>
      </w:pPr>
      <w:r>
        <w:t>（二）</w:t>
      </w:r>
      <w:r>
        <w:rPr>
          <w:rFonts w:hint="eastAsia"/>
        </w:rPr>
        <w:t>以亚运保障为契机</w:t>
      </w:r>
      <w:r>
        <w:t>，</w:t>
      </w:r>
      <w:r>
        <w:rPr>
          <w:rFonts w:hint="eastAsia"/>
        </w:rPr>
        <w:t>强化海关政策宣讲</w:t>
      </w:r>
      <w:r>
        <w:t>。完善</w:t>
      </w:r>
      <w:r>
        <w:rPr>
          <w:rFonts w:hint="eastAsia"/>
        </w:rPr>
        <w:t>通关现场亚运</w:t>
      </w:r>
      <w:r>
        <w:t>氛围营造，做好环境布置，突出海关元素</w:t>
      </w:r>
      <w:r>
        <w:rPr>
          <w:rFonts w:hint="eastAsia"/>
        </w:rPr>
        <w:t>，提前针对亚运新闻各项节点开展提前谋划，并按计划加强落实，强化与主流媒体的沟通，新闻宣</w:t>
      </w:r>
      <w:proofErr w:type="gramStart"/>
      <w:r>
        <w:rPr>
          <w:rFonts w:hint="eastAsia"/>
        </w:rPr>
        <w:t>发方式</w:t>
      </w:r>
      <w:proofErr w:type="gramEnd"/>
      <w:r>
        <w:rPr>
          <w:rFonts w:hint="eastAsia"/>
        </w:rPr>
        <w:t>从被动式的约稿向主动式的投稿进行转变，在亚（残）运会期间，相关累计在央视新闻联播播出</w:t>
      </w:r>
      <w:r>
        <w:rPr>
          <w:rFonts w:hint="eastAsia"/>
        </w:rPr>
        <w:t>9</w:t>
      </w:r>
      <w:r>
        <w:rPr>
          <w:rFonts w:hint="eastAsia"/>
        </w:rPr>
        <w:t>次，在人民日报、新华社、浙江日报等省级及中央级媒体录用</w:t>
      </w:r>
      <w:r>
        <w:rPr>
          <w:rFonts w:hint="eastAsia"/>
        </w:rPr>
        <w:t>186</w:t>
      </w:r>
      <w:r>
        <w:rPr>
          <w:rFonts w:hint="eastAsia"/>
        </w:rPr>
        <w:t>次。线上线下针对亚（残）运会通关须知、知识产权海关保护等内容开展专题宣传，走进长龙航空、机场公司、货站等区域现场为企业开展面对面宣讲，主动对亚运相关的通关问题开展解读，相关内容在《法制日报》、《中国国门时报》等获得整版刊发。</w:t>
      </w:r>
    </w:p>
    <w:p w:rsidR="000E71F0" w:rsidRDefault="0078413E">
      <w:pPr>
        <w:pStyle w:val="a7"/>
        <w:ind w:firstLine="640"/>
      </w:pPr>
      <w:r>
        <w:t>（三）拓宽信息公开渠道，打造</w:t>
      </w:r>
      <w:r>
        <w:t>“</w:t>
      </w:r>
      <w:r>
        <w:t>阳光</w:t>
      </w:r>
      <w:r>
        <w:t>”</w:t>
      </w:r>
      <w:r>
        <w:t>业务现场</w:t>
      </w:r>
      <w:r>
        <w:rPr>
          <w:rFonts w:hint="eastAsia"/>
        </w:rPr>
        <w:t>。以</w:t>
      </w:r>
      <w:r>
        <w:rPr>
          <w:rFonts w:hint="eastAsia"/>
        </w:rPr>
        <w:t>T4</w:t>
      </w:r>
      <w:r>
        <w:rPr>
          <w:rFonts w:hint="eastAsia"/>
        </w:rPr>
        <w:t>航站楼启用以及东区国际货站投运为契机，</w:t>
      </w:r>
      <w:r>
        <w:t>进一步推进和完善线下政务公开载体建设，用好岗位牌、业务</w:t>
      </w:r>
      <w:r>
        <w:rPr>
          <w:rFonts w:hint="eastAsia"/>
        </w:rPr>
        <w:t>现场</w:t>
      </w:r>
      <w:r>
        <w:t>LED</w:t>
      </w:r>
      <w:r>
        <w:t>屏、各类专窗等载体，方便企业群众办事。围绕企业群众关心的重要政策和热点问题，结合</w:t>
      </w:r>
      <w:r>
        <w:rPr>
          <w:rFonts w:hint="eastAsia"/>
        </w:rPr>
        <w:t>食品安全周宣传、</w:t>
      </w:r>
      <w:r>
        <w:t>“12·4”</w:t>
      </w:r>
      <w:r>
        <w:t>国家宪法日、</w:t>
      </w:r>
      <w:r>
        <w:t>“8·8”</w:t>
      </w:r>
      <w:r>
        <w:t>海关法治宣传日等重要时间节点，运用新技术和新媒体，积极开展各类线上线下主动宣传和政策讲解，推动海关政策从</w:t>
      </w:r>
      <w:r>
        <w:t>“</w:t>
      </w:r>
      <w:r>
        <w:t>企业申请获得</w:t>
      </w:r>
      <w:r>
        <w:t>”</w:t>
      </w:r>
      <w:r>
        <w:t>向</w:t>
      </w:r>
      <w:r>
        <w:t>“</w:t>
      </w:r>
      <w:r>
        <w:t>海关主动推送</w:t>
      </w:r>
      <w:r>
        <w:t>”</w:t>
      </w:r>
      <w:r>
        <w:t>转变。实行</w:t>
      </w:r>
      <w:r>
        <w:t>“</w:t>
      </w:r>
      <w:r>
        <w:t>关长接待日</w:t>
      </w:r>
      <w:r>
        <w:t>”</w:t>
      </w:r>
      <w:r>
        <w:t>制度，每月安排一名党委委员接访，广泛征集企业群众对海关工作的意见建议，打通解决矛盾纠纷的</w:t>
      </w:r>
      <w:r>
        <w:t>“</w:t>
      </w:r>
      <w:r>
        <w:t>最后一公里</w:t>
      </w:r>
      <w:r>
        <w:t>”</w:t>
      </w:r>
      <w:r>
        <w:t>。</w:t>
      </w:r>
    </w:p>
    <w:p w:rsidR="000E71F0" w:rsidRDefault="0078413E" w:rsidP="005F695F">
      <w:pPr>
        <w:pStyle w:val="50"/>
        <w:adjustRightInd w:val="0"/>
        <w:snapToGrid w:val="0"/>
        <w:spacing w:beforeLines="50" w:afterLines="50"/>
        <w:ind w:firstLineChars="200" w:firstLine="624"/>
        <w:rPr>
          <w:rFonts w:ascii="方正黑体_GBK" w:eastAsia="方正黑体_GBK" w:cs="楷体_GB2312"/>
          <w:bCs/>
          <w:szCs w:val="32"/>
          <w:shd w:val="clear" w:color="auto" w:fill="FFFFFF"/>
        </w:rPr>
      </w:pPr>
      <w:bookmarkStart w:id="0" w:name="_GoBack"/>
      <w:bookmarkEnd w:id="0"/>
      <w:r>
        <w:rPr>
          <w:rFonts w:ascii="方正黑体_GBK" w:eastAsia="方正黑体_GBK" w:cs="楷体_GB2312" w:hint="eastAsia"/>
          <w:bCs/>
          <w:szCs w:val="32"/>
          <w:shd w:val="clear" w:color="auto" w:fill="FFFFFF"/>
        </w:rPr>
        <w:t>二、主动公开政府信息情况</w:t>
      </w:r>
    </w:p>
    <w:tbl>
      <w:tblPr>
        <w:tblW w:w="8994" w:type="dxa"/>
        <w:jc w:val="center"/>
        <w:tblLayout w:type="fixed"/>
        <w:tblCellMar>
          <w:left w:w="0" w:type="dxa"/>
          <w:right w:w="0" w:type="dxa"/>
        </w:tblCellMar>
        <w:tblLook w:val="0000"/>
      </w:tblPr>
      <w:tblGrid>
        <w:gridCol w:w="2719"/>
        <w:gridCol w:w="2183"/>
        <w:gridCol w:w="1936"/>
        <w:gridCol w:w="2156"/>
      </w:tblGrid>
      <w:tr w:rsidR="000E71F0">
        <w:trPr>
          <w:trHeight w:val="495"/>
          <w:jc w:val="center"/>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lastRenderedPageBreak/>
              <w:t>第二十条第（一）项</w:t>
            </w:r>
          </w:p>
        </w:tc>
      </w:tr>
      <w:tr w:rsidR="000E71F0">
        <w:trPr>
          <w:trHeight w:val="68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widowControl/>
              <w:jc w:val="center"/>
              <w:rPr>
                <w:sz w:val="24"/>
                <w:szCs w:val="24"/>
              </w:rPr>
            </w:pPr>
            <w:r>
              <w:rPr>
                <w:rFonts w:ascii="宋体" w:cs="宋体" w:hint="eastAsia"/>
                <w:kern w:val="0"/>
                <w:sz w:val="24"/>
                <w:szCs w:val="24"/>
              </w:rPr>
              <w:t>现行有效件数</w:t>
            </w:r>
          </w:p>
        </w:tc>
      </w:tr>
      <w:tr w:rsidR="000E71F0">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adjustRightInd w:val="0"/>
              <w:snapToGrid w:val="0"/>
              <w:spacing w:line="2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r w:rsidR="000E71F0">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adjustRightInd w:val="0"/>
              <w:snapToGrid w:val="0"/>
              <w:spacing w:line="2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r w:rsidR="000E71F0">
        <w:trPr>
          <w:trHeight w:val="435"/>
          <w:jc w:val="center"/>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第二十条第（五）项</w:t>
            </w:r>
          </w:p>
        </w:tc>
      </w:tr>
      <w:tr w:rsidR="000E71F0">
        <w:trPr>
          <w:trHeight w:val="68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51"/>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0E71F0">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adjustRightInd w:val="0"/>
              <w:snapToGrid w:val="0"/>
              <w:spacing w:line="2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9542FD">
            <w:pPr>
              <w:pStyle w:val="16"/>
              <w:jc w:val="center"/>
              <w:rPr>
                <w:rFonts w:eastAsia="方正仿宋_GBK" w:cs="宋体"/>
                <w:sz w:val="24"/>
                <w:szCs w:val="24"/>
              </w:rPr>
            </w:pPr>
            <w:r>
              <w:rPr>
                <w:rFonts w:eastAsia="方正仿宋_GBK" w:cs="宋体" w:hint="eastAsia"/>
                <w:sz w:val="24"/>
                <w:szCs w:val="24"/>
              </w:rPr>
              <w:t>95</w:t>
            </w:r>
          </w:p>
        </w:tc>
      </w:tr>
      <w:tr w:rsidR="000E71F0">
        <w:trPr>
          <w:trHeight w:val="406"/>
          <w:jc w:val="center"/>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第二十条第（六）项</w:t>
            </w:r>
          </w:p>
        </w:tc>
      </w:tr>
      <w:tr w:rsidR="000E71F0">
        <w:trPr>
          <w:trHeight w:val="68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80"/>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0E71F0">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adjustRightInd w:val="0"/>
              <w:snapToGrid w:val="0"/>
              <w:spacing w:line="2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9542FD">
            <w:pPr>
              <w:pStyle w:val="aa"/>
              <w:jc w:val="center"/>
              <w:rPr>
                <w:rFonts w:eastAsia="方正仿宋_GBK" w:cs="宋体"/>
                <w:sz w:val="24"/>
                <w:szCs w:val="24"/>
              </w:rPr>
            </w:pPr>
            <w:r>
              <w:rPr>
                <w:rFonts w:eastAsia="方正仿宋_GBK" w:cs="宋体" w:hint="eastAsia"/>
                <w:sz w:val="24"/>
                <w:szCs w:val="24"/>
              </w:rPr>
              <w:t>187</w:t>
            </w:r>
          </w:p>
        </w:tc>
      </w:tr>
      <w:tr w:rsidR="000E71F0">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adjustRightInd w:val="0"/>
              <w:snapToGrid w:val="0"/>
              <w:spacing w:line="2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9542FD">
            <w:pPr>
              <w:pStyle w:val="17"/>
              <w:jc w:val="center"/>
              <w:rPr>
                <w:rFonts w:eastAsia="方正仿宋_GBK" w:cs="宋体"/>
                <w:sz w:val="24"/>
                <w:szCs w:val="24"/>
              </w:rPr>
            </w:pPr>
            <w:r>
              <w:rPr>
                <w:rFonts w:eastAsia="方正仿宋_GBK" w:cs="宋体" w:hint="eastAsia"/>
                <w:sz w:val="24"/>
                <w:szCs w:val="24"/>
              </w:rPr>
              <w:t>53</w:t>
            </w:r>
          </w:p>
        </w:tc>
      </w:tr>
      <w:tr w:rsidR="000E71F0">
        <w:trPr>
          <w:trHeight w:val="474"/>
          <w:jc w:val="center"/>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第二十条第（八）项</w:t>
            </w:r>
          </w:p>
        </w:tc>
      </w:tr>
      <w:tr w:rsidR="000E71F0">
        <w:trPr>
          <w:trHeight w:val="68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rsidR="000E71F0" w:rsidRDefault="0078413E">
            <w:pPr>
              <w:pStyle w:val="12"/>
              <w:widowControl/>
              <w:adjustRightInd w:val="0"/>
              <w:snapToGrid w:val="0"/>
              <w:spacing w:line="260" w:lineRule="exact"/>
              <w:jc w:val="center"/>
              <w:rPr>
                <w:sz w:val="24"/>
                <w:szCs w:val="24"/>
              </w:rPr>
            </w:pPr>
            <w:r>
              <w:rPr>
                <w:rFonts w:ascii="宋体" w:cs="宋体" w:hint="eastAsia"/>
                <w:kern w:val="0"/>
                <w:sz w:val="24"/>
                <w:szCs w:val="24"/>
              </w:rPr>
              <w:t>本年收费金额（单位：万元）</w:t>
            </w:r>
          </w:p>
        </w:tc>
      </w:tr>
      <w:tr w:rsidR="000E71F0">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adjustRightInd w:val="0"/>
              <w:snapToGrid w:val="0"/>
              <w:spacing w:line="2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rsidR="000E71F0" w:rsidRDefault="0078413E">
            <w:pPr>
              <w:pStyle w:val="aa"/>
              <w:jc w:val="center"/>
              <w:rPr>
                <w:rFonts w:eastAsia="方正仿宋_GBK" w:cs="宋体"/>
                <w:sz w:val="24"/>
                <w:szCs w:val="24"/>
              </w:rPr>
            </w:pPr>
            <w:r>
              <w:rPr>
                <w:rFonts w:eastAsia="方正仿宋_GBK" w:cs="宋体" w:hint="eastAsia"/>
                <w:sz w:val="24"/>
                <w:szCs w:val="24"/>
              </w:rPr>
              <w:t>0</w:t>
            </w:r>
          </w:p>
        </w:tc>
      </w:tr>
    </w:tbl>
    <w:p w:rsidR="000E71F0" w:rsidRDefault="000E71F0">
      <w:pPr>
        <w:pStyle w:val="a9"/>
      </w:pPr>
    </w:p>
    <w:p w:rsidR="000E71F0" w:rsidRDefault="0078413E" w:rsidP="005F695F">
      <w:pPr>
        <w:pStyle w:val="a3"/>
        <w:widowControl/>
        <w:shd w:val="clear" w:color="auto" w:fill="FFFFFF"/>
        <w:adjustRightInd w:val="0"/>
        <w:snapToGrid w:val="0"/>
        <w:spacing w:beforeAutospacing="0" w:afterLines="5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tblW w:w="9071" w:type="dxa"/>
        <w:jc w:val="center"/>
        <w:tblBorders>
          <w:insideH w:val="outset" w:sz="6" w:space="0" w:color="auto"/>
          <w:insideV w:val="outset" w:sz="6" w:space="0" w:color="auto"/>
        </w:tblBorders>
        <w:tblLayout w:type="fixed"/>
        <w:tblCellMar>
          <w:left w:w="0" w:type="dxa"/>
          <w:right w:w="0" w:type="dxa"/>
        </w:tblCellMar>
        <w:tblLook w:val="0000"/>
      </w:tblPr>
      <w:tblGrid>
        <w:gridCol w:w="696"/>
        <w:gridCol w:w="936"/>
        <w:gridCol w:w="2670"/>
        <w:gridCol w:w="635"/>
        <w:gridCol w:w="675"/>
        <w:gridCol w:w="750"/>
        <w:gridCol w:w="765"/>
        <w:gridCol w:w="765"/>
        <w:gridCol w:w="497"/>
        <w:gridCol w:w="682"/>
      </w:tblGrid>
      <w:tr w:rsidR="000E71F0">
        <w:trPr>
          <w:tblHeader/>
          <w:jc w:val="cent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pPr>
            <w:r>
              <w:rPr>
                <w:rFonts w:ascii="宋体" w:cs="宋体" w:hint="eastAsia"/>
                <w:kern w:val="0"/>
                <w:sz w:val="20"/>
                <w:szCs w:val="20"/>
              </w:rPr>
              <w:t>（本列数据的勾</w:t>
            </w:r>
            <w:proofErr w:type="gramStart"/>
            <w:r>
              <w:rPr>
                <w:rFonts w:ascii="宋体" w:cs="宋体" w:hint="eastAsia"/>
                <w:kern w:val="0"/>
                <w:sz w:val="20"/>
                <w:szCs w:val="20"/>
              </w:rPr>
              <w:t>稽</w:t>
            </w:r>
            <w:proofErr w:type="gramEnd"/>
            <w:r>
              <w:rPr>
                <w:rFonts w:ascii="宋体" w:cs="宋体" w:hint="eastAsia"/>
                <w:kern w:val="0"/>
                <w:sz w:val="20"/>
                <w:szCs w:val="20"/>
              </w:rPr>
              <w:t>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pPr>
            <w:r>
              <w:rPr>
                <w:rFonts w:ascii="宋体" w:cs="宋体" w:hint="eastAsia"/>
                <w:kern w:val="0"/>
                <w:sz w:val="20"/>
                <w:szCs w:val="20"/>
              </w:rPr>
              <w:t>申请人情况</w:t>
            </w:r>
          </w:p>
        </w:tc>
      </w:tr>
      <w:tr w:rsidR="000E71F0">
        <w:trPr>
          <w:tblHeader/>
          <w:jc w:val="cent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pPr>
            <w:r>
              <w:rPr>
                <w:rFonts w:ascii="宋体" w:cs="宋体" w:hint="eastAsia"/>
                <w:kern w:val="0"/>
                <w:sz w:val="20"/>
                <w:szCs w:val="20"/>
              </w:rPr>
              <w:t>总计</w:t>
            </w:r>
          </w:p>
        </w:tc>
      </w:tr>
      <w:tr w:rsidR="000E71F0">
        <w:trPr>
          <w:trHeight w:val="649"/>
          <w:tblHeader/>
          <w:jc w:val="cent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r>
      <w:tr w:rsidR="000E71F0">
        <w:trPr>
          <w:jc w:val="center"/>
        </w:trP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rsidR="000E71F0" w:rsidRDefault="0078413E">
            <w:pPr>
              <w:pStyle w:val="aa"/>
              <w:widowControl/>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sz w:val="24"/>
                <w:szCs w:val="24"/>
              </w:rPr>
              <w:t>1</w:t>
            </w:r>
          </w:p>
        </w:tc>
      </w:tr>
      <w:tr w:rsidR="000E71F0">
        <w:trPr>
          <w:jc w:val="center"/>
        </w:trP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rsidR="000E71F0" w:rsidRDefault="0078413E">
            <w:pPr>
              <w:pStyle w:val="aa"/>
              <w:widowControl/>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r w:rsidR="000E71F0">
        <w:trPr>
          <w:jc w:val="center"/>
        </w:trP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sz w:val="24"/>
                <w:szCs w:val="24"/>
              </w:rPr>
              <w:t>0</w:t>
            </w:r>
          </w:p>
        </w:tc>
      </w:tr>
      <w:tr w:rsidR="000E71F0">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sz w:val="24"/>
                <w:szCs w:val="24"/>
              </w:rPr>
              <w:t>1</w:t>
            </w:r>
          </w:p>
        </w:tc>
      </w:tr>
      <w:tr w:rsidR="000E71F0">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rPr>
                <w:sz w:val="24"/>
                <w:szCs w:val="24"/>
              </w:rPr>
            </w:pPr>
            <w:r>
              <w:rPr>
                <w:rFonts w:ascii="楷体" w:eastAsia="楷体" w:cs="楷体" w:hint="eastAsia"/>
                <w:kern w:val="0"/>
                <w:sz w:val="24"/>
                <w:szCs w:val="24"/>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r w:rsidR="000E71F0">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rPr>
                <w:sz w:val="24"/>
                <w:szCs w:val="24"/>
              </w:rPr>
            </w:pPr>
            <w:r>
              <w:rPr>
                <w:rFonts w:ascii="楷体" w:eastAsia="楷体" w:cs="楷体" w:hint="eastAsia"/>
                <w:kern w:val="0"/>
                <w:sz w:val="24"/>
                <w:szCs w:val="24"/>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r w:rsidR="000E71F0">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rPr>
                <w:sz w:val="24"/>
                <w:szCs w:val="24"/>
              </w:rPr>
            </w:pPr>
            <w:r>
              <w:rPr>
                <w:rFonts w:ascii="楷体" w:eastAsia="楷体" w:cs="楷体" w:hint="eastAsia"/>
                <w:kern w:val="0"/>
                <w:sz w:val="24"/>
                <w:szCs w:val="24"/>
              </w:rPr>
              <w:t>3.危及“三安全</w:t>
            </w:r>
            <w:proofErr w:type="gramStart"/>
            <w:r>
              <w:rPr>
                <w:rFonts w:ascii="楷体" w:eastAsia="楷体" w:cs="楷体" w:hint="eastAsia"/>
                <w:kern w:val="0"/>
                <w:sz w:val="24"/>
                <w:szCs w:val="24"/>
              </w:rPr>
              <w:t>一</w:t>
            </w:r>
            <w:proofErr w:type="gramEnd"/>
            <w:r>
              <w:rPr>
                <w:rFonts w:ascii="楷体" w:eastAsia="楷体" w:cs="楷体" w:hint="eastAsia"/>
                <w:kern w:val="0"/>
                <w:sz w:val="24"/>
                <w:szCs w:val="24"/>
              </w:rPr>
              <w:t>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r w:rsidR="000E71F0">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rPr>
                <w:sz w:val="24"/>
                <w:szCs w:val="24"/>
              </w:rPr>
            </w:pPr>
            <w:r>
              <w:rPr>
                <w:rFonts w:ascii="楷体" w:eastAsia="楷体" w:cs="楷体" w:hint="eastAsia"/>
                <w:kern w:val="0"/>
                <w:sz w:val="24"/>
                <w:szCs w:val="24"/>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r w:rsidR="000E71F0">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rPr>
                <w:sz w:val="24"/>
                <w:szCs w:val="24"/>
              </w:rPr>
            </w:pPr>
            <w:r>
              <w:rPr>
                <w:rFonts w:ascii="楷体" w:eastAsia="楷体" w:cs="楷体" w:hint="eastAsia"/>
                <w:kern w:val="0"/>
                <w:sz w:val="24"/>
                <w:szCs w:val="24"/>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r w:rsidR="000E71F0">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rPr>
                <w:sz w:val="24"/>
                <w:szCs w:val="24"/>
              </w:rPr>
            </w:pPr>
            <w:r>
              <w:rPr>
                <w:rFonts w:ascii="楷体" w:eastAsia="楷体" w:cs="楷体" w:hint="eastAsia"/>
                <w:kern w:val="0"/>
                <w:sz w:val="24"/>
                <w:szCs w:val="24"/>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r w:rsidR="000E71F0">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rPr>
                <w:sz w:val="24"/>
                <w:szCs w:val="24"/>
              </w:rPr>
            </w:pPr>
            <w:r>
              <w:rPr>
                <w:rFonts w:ascii="楷体" w:eastAsia="楷体" w:cs="楷体" w:hint="eastAsia"/>
                <w:kern w:val="0"/>
                <w:sz w:val="24"/>
                <w:szCs w:val="24"/>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r w:rsidR="000E71F0">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rPr>
                <w:sz w:val="24"/>
                <w:szCs w:val="24"/>
              </w:rPr>
            </w:pPr>
            <w:r>
              <w:rPr>
                <w:rFonts w:ascii="楷体" w:eastAsia="楷体" w:cs="楷体" w:hint="eastAsia"/>
                <w:kern w:val="0"/>
                <w:sz w:val="24"/>
                <w:szCs w:val="24"/>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r w:rsidR="000E71F0">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rPr>
                <w:sz w:val="24"/>
                <w:szCs w:val="24"/>
              </w:rPr>
            </w:pPr>
            <w:r>
              <w:rPr>
                <w:rFonts w:ascii="楷体" w:eastAsia="楷体" w:cs="楷体" w:hint="eastAsia"/>
                <w:kern w:val="0"/>
                <w:sz w:val="24"/>
                <w:szCs w:val="24"/>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r w:rsidR="000E71F0">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rPr>
                <w:sz w:val="24"/>
                <w:szCs w:val="24"/>
              </w:rPr>
            </w:pPr>
            <w:r>
              <w:rPr>
                <w:rFonts w:ascii="楷体" w:eastAsia="楷体" w:cs="楷体" w:hint="eastAsia"/>
                <w:kern w:val="0"/>
                <w:sz w:val="24"/>
                <w:szCs w:val="24"/>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r w:rsidR="000E71F0">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rPr>
                <w:sz w:val="24"/>
                <w:szCs w:val="24"/>
              </w:rPr>
            </w:pPr>
            <w:r>
              <w:rPr>
                <w:rFonts w:ascii="楷体" w:eastAsia="楷体" w:cs="楷体" w:hint="eastAsia"/>
                <w:kern w:val="0"/>
                <w:sz w:val="24"/>
                <w:szCs w:val="24"/>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r w:rsidR="000E71F0">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rPr>
                <w:sz w:val="24"/>
                <w:szCs w:val="24"/>
              </w:rPr>
            </w:pPr>
            <w:r>
              <w:rPr>
                <w:rFonts w:ascii="楷体" w:eastAsia="楷体" w:cs="楷体" w:hint="eastAsia"/>
                <w:kern w:val="0"/>
                <w:sz w:val="24"/>
                <w:szCs w:val="24"/>
              </w:rPr>
              <w:t>（五）</w:t>
            </w:r>
            <w:proofErr w:type="gramStart"/>
            <w:r>
              <w:rPr>
                <w:rFonts w:ascii="楷体" w:eastAsia="楷体" w:cs="楷体" w:hint="eastAsia"/>
                <w:kern w:val="0"/>
                <w:sz w:val="24"/>
                <w:szCs w:val="24"/>
              </w:rPr>
              <w:t>不予处理</w:t>
            </w:r>
            <w:proofErr w:type="gramEnd"/>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rPr>
                <w:sz w:val="24"/>
                <w:szCs w:val="24"/>
              </w:rPr>
            </w:pPr>
            <w:r>
              <w:rPr>
                <w:rFonts w:ascii="楷体" w:eastAsia="楷体" w:cs="楷体" w:hint="eastAsia"/>
                <w:kern w:val="0"/>
                <w:sz w:val="24"/>
                <w:szCs w:val="24"/>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r w:rsidR="000E71F0">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rPr>
                <w:sz w:val="24"/>
                <w:szCs w:val="24"/>
              </w:rPr>
            </w:pPr>
            <w:r>
              <w:rPr>
                <w:rFonts w:ascii="楷体" w:eastAsia="楷体" w:cs="楷体" w:hint="eastAsia"/>
                <w:kern w:val="0"/>
                <w:sz w:val="24"/>
                <w:szCs w:val="24"/>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r w:rsidR="000E71F0">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rPr>
                <w:sz w:val="24"/>
                <w:szCs w:val="24"/>
              </w:rPr>
            </w:pPr>
            <w:r>
              <w:rPr>
                <w:rFonts w:ascii="楷体" w:eastAsia="楷体" w:cs="楷体" w:hint="eastAsia"/>
                <w:kern w:val="0"/>
                <w:sz w:val="24"/>
                <w:szCs w:val="24"/>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r w:rsidR="000E71F0">
        <w:trPr>
          <w:trHeight w:val="810"/>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rPr>
                <w:sz w:val="24"/>
                <w:szCs w:val="24"/>
              </w:rPr>
            </w:pPr>
            <w:r>
              <w:rPr>
                <w:rFonts w:ascii="楷体" w:eastAsia="楷体" w:cs="楷体" w:hint="eastAsia"/>
                <w:kern w:val="0"/>
                <w:sz w:val="24"/>
                <w:szCs w:val="24"/>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r w:rsidR="000E71F0">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rPr>
                <w:sz w:val="24"/>
                <w:szCs w:val="24"/>
              </w:rPr>
            </w:pPr>
            <w:r>
              <w:rPr>
                <w:rFonts w:ascii="楷体" w:eastAsia="楷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r w:rsidR="000E71F0">
        <w:trPr>
          <w:trHeight w:val="567"/>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Pr>
          <w:p w:rsidR="000E71F0" w:rsidRDefault="0078413E">
            <w:pPr>
              <w:pStyle w:val="aa"/>
              <w:widowControl/>
              <w:rPr>
                <w:rFonts w:ascii="楷体" w:eastAsia="楷体" w:cs="楷体"/>
                <w:kern w:val="0"/>
                <w:sz w:val="24"/>
                <w:szCs w:val="24"/>
              </w:rPr>
            </w:pPr>
            <w:r>
              <w:rPr>
                <w:rFonts w:ascii="楷体" w:eastAsia="楷体" w:cs="楷体" w:hint="eastAsia"/>
                <w:kern w:val="0"/>
                <w:sz w:val="24"/>
                <w:szCs w:val="24"/>
              </w:rPr>
              <w:t>1.申请人无正当理由逾期</w:t>
            </w:r>
            <w:proofErr w:type="gramStart"/>
            <w:r>
              <w:rPr>
                <w:rFonts w:ascii="楷体" w:eastAsia="楷体" w:cs="楷体" w:hint="eastAsia"/>
                <w:kern w:val="0"/>
                <w:sz w:val="24"/>
                <w:szCs w:val="24"/>
              </w:rPr>
              <w:t>不</w:t>
            </w:r>
            <w:proofErr w:type="gramEnd"/>
            <w:r>
              <w:rPr>
                <w:rFonts w:ascii="楷体" w:eastAsia="楷体" w:cs="楷体" w:hint="eastAsia"/>
                <w:kern w:val="0"/>
                <w:sz w:val="24"/>
                <w:szCs w:val="24"/>
              </w:rPr>
              <w:t>补正、行政机关</w:t>
            </w:r>
            <w:proofErr w:type="gramStart"/>
            <w:r>
              <w:rPr>
                <w:rFonts w:ascii="楷体" w:eastAsia="楷体" w:cs="楷体" w:hint="eastAsia"/>
                <w:kern w:val="0"/>
                <w:sz w:val="24"/>
                <w:szCs w:val="24"/>
              </w:rPr>
              <w:t>不</w:t>
            </w:r>
            <w:proofErr w:type="gramEnd"/>
            <w:r>
              <w:rPr>
                <w:rFonts w:ascii="楷体" w:eastAsia="楷体" w:cs="楷体" w:hint="eastAsia"/>
                <w:kern w:val="0"/>
                <w:sz w:val="24"/>
                <w:szCs w:val="24"/>
              </w:rPr>
              <w:t>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r w:rsidR="000E71F0">
        <w:trPr>
          <w:trHeight w:val="567"/>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0E71F0" w:rsidRDefault="000E71F0"/>
        </w:tc>
        <w:tc>
          <w:tcPr>
            <w:tcW w:w="936" w:type="dxa"/>
            <w:vMerge/>
            <w:tcBorders>
              <w:top w:val="nil"/>
              <w:left w:val="nil"/>
              <w:bottom w:val="single" w:sz="8" w:space="0" w:color="auto"/>
              <w:right w:val="single" w:sz="8" w:space="0" w:color="auto"/>
              <w:tl2br w:val="nil"/>
              <w:tr2bl w:val="nil"/>
            </w:tcBorders>
            <w:shd w:val="clear" w:color="auto" w:fill="auto"/>
            <w:vAlign w:val="center"/>
          </w:tcPr>
          <w:p w:rsidR="000E71F0" w:rsidRDefault="000E71F0"/>
        </w:tc>
        <w:tc>
          <w:tcPr>
            <w:tcW w:w="2670" w:type="dxa"/>
            <w:tcBorders>
              <w:top w:val="nil"/>
              <w:left w:val="single" w:sz="8" w:space="0" w:color="auto"/>
              <w:bottom w:val="single" w:sz="8" w:space="0" w:color="auto"/>
              <w:right w:val="single" w:sz="8" w:space="0" w:color="auto"/>
              <w:tl2br w:val="nil"/>
              <w:tr2bl w:val="nil"/>
            </w:tcBorders>
            <w:shd w:val="clear" w:color="auto" w:fill="auto"/>
          </w:tcPr>
          <w:p w:rsidR="000E71F0" w:rsidRDefault="0078413E">
            <w:pPr>
              <w:pStyle w:val="aa"/>
              <w:widowControl/>
              <w:rPr>
                <w:rFonts w:ascii="楷体" w:eastAsia="楷体" w:cs="楷体"/>
                <w:kern w:val="0"/>
                <w:sz w:val="24"/>
                <w:szCs w:val="24"/>
              </w:rPr>
            </w:pPr>
            <w:r>
              <w:rPr>
                <w:rFonts w:ascii="楷体" w:eastAsia="楷体" w:cs="楷体" w:hint="eastAsia"/>
                <w:kern w:val="0"/>
                <w:sz w:val="24"/>
                <w:szCs w:val="24"/>
              </w:rPr>
              <w:t>2.申请人逾期未按收费通知要求缴纳费用、行政机关</w:t>
            </w:r>
            <w:proofErr w:type="gramStart"/>
            <w:r>
              <w:rPr>
                <w:rFonts w:ascii="楷体" w:eastAsia="楷体" w:cs="楷体" w:hint="eastAsia"/>
                <w:kern w:val="0"/>
                <w:sz w:val="24"/>
                <w:szCs w:val="24"/>
              </w:rPr>
              <w:t>不</w:t>
            </w:r>
            <w:proofErr w:type="gramEnd"/>
            <w:r>
              <w:rPr>
                <w:rFonts w:ascii="楷体" w:eastAsia="楷体" w:cs="楷体" w:hint="eastAsia"/>
                <w:kern w:val="0"/>
                <w:sz w:val="24"/>
                <w:szCs w:val="24"/>
              </w:rPr>
              <w:t>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r w:rsidR="000E71F0">
        <w:trPr>
          <w:trHeight w:val="567"/>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0E71F0" w:rsidRDefault="000E71F0"/>
        </w:tc>
        <w:tc>
          <w:tcPr>
            <w:tcW w:w="936" w:type="dxa"/>
            <w:vMerge/>
            <w:tcBorders>
              <w:top w:val="nil"/>
              <w:left w:val="nil"/>
              <w:bottom w:val="single" w:sz="8" w:space="0" w:color="auto"/>
              <w:right w:val="single" w:sz="8" w:space="0" w:color="auto"/>
              <w:tl2br w:val="nil"/>
              <w:tr2bl w:val="nil"/>
            </w:tcBorders>
            <w:shd w:val="clear" w:color="auto" w:fill="auto"/>
            <w:vAlign w:val="center"/>
          </w:tcPr>
          <w:p w:rsidR="000E71F0" w:rsidRDefault="000E71F0"/>
        </w:tc>
        <w:tc>
          <w:tcPr>
            <w:tcW w:w="2670" w:type="dxa"/>
            <w:tcBorders>
              <w:top w:val="nil"/>
              <w:left w:val="single" w:sz="8" w:space="0" w:color="auto"/>
              <w:bottom w:val="single" w:sz="8" w:space="0" w:color="auto"/>
              <w:right w:val="single" w:sz="8" w:space="0" w:color="auto"/>
              <w:tl2br w:val="nil"/>
              <w:tr2bl w:val="nil"/>
            </w:tcBorders>
            <w:shd w:val="clear" w:color="auto" w:fill="auto"/>
          </w:tcPr>
          <w:p w:rsidR="000E71F0" w:rsidRDefault="0078413E">
            <w:pPr>
              <w:pStyle w:val="aa"/>
              <w:widowControl/>
              <w:rPr>
                <w:rFonts w:ascii="楷体" w:eastAsia="楷体" w:cs="楷体"/>
                <w:kern w:val="0"/>
                <w:sz w:val="24"/>
                <w:szCs w:val="24"/>
              </w:rPr>
            </w:pPr>
            <w:r>
              <w:rPr>
                <w:rFonts w:ascii="楷体" w:eastAsia="楷体" w:cs="楷体" w:hint="eastAsia"/>
                <w:kern w:val="0"/>
                <w:sz w:val="24"/>
                <w:szCs w:val="24"/>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r w:rsidR="000E71F0">
        <w:trPr>
          <w:trHeight w:val="486"/>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0E71F0" w:rsidRDefault="000E71F0"/>
        </w:tc>
        <w:tc>
          <w:tcPr>
            <w:tcW w:w="936" w:type="dxa"/>
            <w:vMerge/>
            <w:tcBorders>
              <w:top w:val="nil"/>
              <w:left w:val="nil"/>
              <w:bottom w:val="single" w:sz="8" w:space="0" w:color="auto"/>
              <w:right w:val="single" w:sz="8" w:space="0" w:color="auto"/>
              <w:tl2br w:val="nil"/>
              <w:tr2bl w:val="nil"/>
            </w:tcBorders>
            <w:shd w:val="clear" w:color="auto" w:fill="auto"/>
            <w:vAlign w:val="center"/>
          </w:tcPr>
          <w:p w:rsidR="000E71F0" w:rsidRDefault="000E71F0"/>
        </w:tc>
        <w:tc>
          <w:tcPr>
            <w:tcW w:w="2670" w:type="dxa"/>
            <w:tcBorders>
              <w:top w:val="nil"/>
              <w:left w:val="single" w:sz="8" w:space="0" w:color="auto"/>
              <w:bottom w:val="single" w:sz="8" w:space="0" w:color="auto"/>
              <w:right w:val="single" w:sz="8" w:space="0" w:color="auto"/>
              <w:tl2br w:val="nil"/>
              <w:tr2bl w:val="nil"/>
            </w:tcBorders>
            <w:shd w:val="clear" w:color="auto" w:fill="auto"/>
          </w:tcPr>
          <w:p w:rsidR="000E71F0" w:rsidRDefault="0078413E">
            <w:pPr>
              <w:pStyle w:val="aa"/>
              <w:widowControl/>
              <w:rPr>
                <w:rFonts w:ascii="楷体" w:eastAsia="楷体" w:cs="楷体"/>
                <w:kern w:val="0"/>
                <w:sz w:val="24"/>
                <w:szCs w:val="24"/>
              </w:rPr>
            </w:pPr>
            <w:r>
              <w:rPr>
                <w:rFonts w:ascii="楷体" w:eastAsia="楷体" w:cs="楷体" w:hint="eastAsia"/>
                <w:kern w:val="0"/>
                <w:sz w:val="24"/>
                <w:szCs w:val="24"/>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r w:rsidR="000E71F0">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sz w:val="24"/>
                <w:szCs w:val="24"/>
              </w:rPr>
              <w:t>1</w:t>
            </w:r>
          </w:p>
        </w:tc>
      </w:tr>
      <w:tr w:rsidR="000E71F0">
        <w:trPr>
          <w:jc w:val="center"/>
        </w:trP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jc w:val="center"/>
              <w:rPr>
                <w:rFonts w:eastAsia="方正仿宋_GBK"/>
                <w:sz w:val="24"/>
                <w:szCs w:val="24"/>
              </w:rPr>
            </w:pPr>
            <w:r>
              <w:rPr>
                <w:rFonts w:eastAsia="方正仿宋_GBK" w:hint="eastAsia"/>
                <w:sz w:val="24"/>
                <w:szCs w:val="24"/>
              </w:rPr>
              <w:t>0</w:t>
            </w:r>
          </w:p>
        </w:tc>
      </w:tr>
    </w:tbl>
    <w:p w:rsidR="000E71F0" w:rsidRDefault="000E71F0" w:rsidP="005F695F">
      <w:pPr>
        <w:pStyle w:val="a3"/>
        <w:widowControl/>
        <w:shd w:val="clear" w:color="auto" w:fill="FFFFFF"/>
        <w:spacing w:beforeLines="50" w:beforeAutospacing="0" w:after="120" w:afterAutospacing="0"/>
        <w:ind w:firstLineChars="200" w:firstLine="640"/>
        <w:jc w:val="both"/>
        <w:rPr>
          <w:rFonts w:ascii="方正黑体_GBK" w:eastAsia="方正黑体_GBK" w:cs="楷体_GB2312"/>
          <w:bCs/>
          <w:sz w:val="32"/>
          <w:szCs w:val="32"/>
          <w:shd w:val="clear" w:color="auto" w:fill="FFFFFF"/>
        </w:rPr>
      </w:pPr>
    </w:p>
    <w:p w:rsidR="000E71F0" w:rsidRDefault="000E71F0" w:rsidP="005F695F">
      <w:pPr>
        <w:pStyle w:val="a3"/>
        <w:widowControl/>
        <w:shd w:val="clear" w:color="auto" w:fill="FFFFFF"/>
        <w:spacing w:beforeLines="50" w:beforeAutospacing="0" w:after="120" w:afterAutospacing="0"/>
        <w:ind w:firstLineChars="200" w:firstLine="640"/>
        <w:jc w:val="both"/>
        <w:rPr>
          <w:rFonts w:ascii="方正黑体_GBK" w:eastAsia="方正黑体_GBK" w:cs="楷体_GB2312"/>
          <w:bCs/>
          <w:sz w:val="32"/>
          <w:szCs w:val="32"/>
          <w:shd w:val="clear" w:color="auto" w:fill="FFFFFF"/>
        </w:rPr>
      </w:pPr>
    </w:p>
    <w:p w:rsidR="000E71F0" w:rsidRDefault="0078413E" w:rsidP="005F695F">
      <w:pPr>
        <w:pStyle w:val="a3"/>
        <w:widowControl/>
        <w:shd w:val="clear" w:color="auto" w:fill="FFFFFF"/>
        <w:spacing w:beforeLines="50" w:beforeAutospacing="0" w:after="120" w:afterAutospacing="0"/>
        <w:ind w:firstLineChars="200" w:firstLine="640"/>
        <w:jc w:val="both"/>
        <w:rPr>
          <w:rFonts w:ascii="宋体" w:cs="宋体"/>
          <w:szCs w:val="24"/>
        </w:rPr>
      </w:pPr>
      <w:r>
        <w:rPr>
          <w:rFonts w:ascii="方正黑体_GBK" w:eastAsia="方正黑体_GBK" w:cs="楷体_GB2312" w:hint="eastAsia"/>
          <w:bCs/>
          <w:sz w:val="32"/>
          <w:szCs w:val="32"/>
          <w:shd w:val="clear" w:color="auto" w:fill="FFFFFF"/>
        </w:rPr>
        <w:lastRenderedPageBreak/>
        <w:t>四、政府信息公开行政复议、行政诉讼情况</w:t>
      </w:r>
    </w:p>
    <w:tbl>
      <w:tblPr>
        <w:tblW w:w="9071" w:type="dxa"/>
        <w:jc w:val="center"/>
        <w:tblBorders>
          <w:insideH w:val="outset" w:sz="6" w:space="0" w:color="auto"/>
          <w:insideV w:val="outset" w:sz="6" w:space="0" w:color="auto"/>
        </w:tblBorders>
        <w:tblLayout w:type="fixed"/>
        <w:tblCellMar>
          <w:left w:w="0" w:type="dxa"/>
          <w:right w:w="0" w:type="dxa"/>
        </w:tblCellMar>
        <w:tblLook w:val="0000"/>
      </w:tblPr>
      <w:tblGrid>
        <w:gridCol w:w="604"/>
        <w:gridCol w:w="604"/>
        <w:gridCol w:w="604"/>
        <w:gridCol w:w="604"/>
        <w:gridCol w:w="658"/>
        <w:gridCol w:w="550"/>
        <w:gridCol w:w="605"/>
        <w:gridCol w:w="605"/>
        <w:gridCol w:w="605"/>
        <w:gridCol w:w="605"/>
        <w:gridCol w:w="605"/>
        <w:gridCol w:w="605"/>
        <w:gridCol w:w="605"/>
        <w:gridCol w:w="606"/>
        <w:gridCol w:w="606"/>
      </w:tblGrid>
      <w:tr w:rsidR="000E71F0">
        <w:trPr>
          <w:jc w:val="center"/>
        </w:trP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行政诉讼</w:t>
            </w:r>
          </w:p>
        </w:tc>
      </w:tr>
      <w:tr w:rsidR="000E71F0">
        <w:trPr>
          <w:jc w:val="center"/>
        </w:trP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复议后起诉</w:t>
            </w:r>
          </w:p>
        </w:tc>
      </w:tr>
      <w:tr w:rsidR="000E71F0">
        <w:trPr>
          <w:jc w:val="center"/>
        </w:trP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0E71F0"/>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4"/>
                <w:szCs w:val="24"/>
              </w:rPr>
            </w:pPr>
            <w:r>
              <w:rPr>
                <w:rFonts w:ascii="宋体" w:cs="宋体" w:hint="eastAsia"/>
                <w:kern w:val="0"/>
                <w:sz w:val="24"/>
                <w:szCs w:val="24"/>
              </w:rPr>
              <w:t>总计</w:t>
            </w:r>
          </w:p>
        </w:tc>
      </w:tr>
      <w:tr w:rsidR="000E71F0">
        <w:trPr>
          <w:trHeight w:val="862"/>
          <w:jc w:val="center"/>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8"/>
                <w:szCs w:val="28"/>
              </w:rPr>
            </w:pPr>
            <w:r>
              <w:rPr>
                <w:rFonts w:hint="eastAsia"/>
                <w:sz w:val="28"/>
                <w:szCs w:val="28"/>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8"/>
                <w:szCs w:val="28"/>
              </w:rPr>
            </w:pPr>
            <w:r>
              <w:rPr>
                <w:rFonts w:hint="eastAsia"/>
                <w:sz w:val="28"/>
                <w:szCs w:val="28"/>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sz w:val="28"/>
                <w:szCs w:val="28"/>
              </w:rPr>
            </w:pPr>
            <w:r>
              <w:rPr>
                <w:rFonts w:hint="eastAsia"/>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kern w:val="0"/>
                <w:sz w:val="28"/>
                <w:szCs w:val="28"/>
              </w:rPr>
            </w:pPr>
            <w:r>
              <w:rPr>
                <w:rFonts w:hint="eastAsia"/>
                <w:kern w:val="0"/>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0E71F0" w:rsidRDefault="0078413E">
            <w:pPr>
              <w:pStyle w:val="aa"/>
              <w:widowControl/>
              <w:jc w:val="center"/>
              <w:rPr>
                <w:kern w:val="0"/>
                <w:sz w:val="28"/>
                <w:szCs w:val="28"/>
              </w:rPr>
            </w:pPr>
            <w:r>
              <w:rPr>
                <w:rFonts w:hint="eastAsia"/>
                <w:kern w:val="0"/>
                <w:sz w:val="28"/>
                <w:szCs w:val="28"/>
              </w:rPr>
              <w:t>0</w:t>
            </w:r>
          </w:p>
        </w:tc>
      </w:tr>
    </w:tbl>
    <w:p w:rsidR="000E71F0" w:rsidRDefault="000E71F0" w:rsidP="009542FD">
      <w:pPr>
        <w:pStyle w:val="a7"/>
        <w:ind w:firstLine="640"/>
      </w:pPr>
    </w:p>
    <w:p w:rsidR="000E71F0" w:rsidRDefault="0078413E" w:rsidP="009542FD">
      <w:pPr>
        <w:pStyle w:val="a7"/>
        <w:ind w:firstLine="640"/>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五、存在的主要问题及改进情况</w:t>
      </w:r>
    </w:p>
    <w:p w:rsidR="000E71F0" w:rsidRDefault="0078413E" w:rsidP="009542FD">
      <w:pPr>
        <w:pStyle w:val="a7"/>
        <w:ind w:firstLine="640"/>
      </w:pPr>
      <w:r>
        <w:rPr>
          <w:rFonts w:hint="eastAsia"/>
        </w:rPr>
        <w:t>（一）</w:t>
      </w:r>
      <w:r>
        <w:rPr>
          <w:rFonts w:hint="eastAsia"/>
        </w:rPr>
        <w:t>2022</w:t>
      </w:r>
      <w:r>
        <w:rPr>
          <w:rFonts w:hint="eastAsia"/>
        </w:rPr>
        <w:t>年年报中所提问题整改情况。我</w:t>
      </w:r>
      <w:proofErr w:type="gramStart"/>
      <w:r>
        <w:rPr>
          <w:rFonts w:hint="eastAsia"/>
        </w:rPr>
        <w:t>关政府</w:t>
      </w:r>
      <w:proofErr w:type="gramEnd"/>
      <w:r>
        <w:rPr>
          <w:rFonts w:hint="eastAsia"/>
        </w:rPr>
        <w:t>信息公开内容与公众需求仍存在一定差距，主动公开信息在内容丰富性、更新及时性等方面需要进一步加强。经整改，取得了一定成效，通过进一步强化与地方党委宣传部、地方媒体开展交流与沟通，针对属地需求开展一系列宣传活动，满足公众需求。</w:t>
      </w:r>
    </w:p>
    <w:p w:rsidR="000E71F0" w:rsidRDefault="0078413E" w:rsidP="009542FD">
      <w:pPr>
        <w:pStyle w:val="a7"/>
        <w:ind w:firstLine="640"/>
      </w:pPr>
      <w:r>
        <w:t>（二）</w:t>
      </w:r>
      <w:r>
        <w:rPr>
          <w:rFonts w:hint="eastAsia"/>
        </w:rPr>
        <w:t>目前存在问题。我</w:t>
      </w:r>
      <w:proofErr w:type="gramStart"/>
      <w:r>
        <w:rPr>
          <w:rFonts w:hint="eastAsia"/>
        </w:rPr>
        <w:t>关政府</w:t>
      </w:r>
      <w:proofErr w:type="gramEnd"/>
      <w:r>
        <w:rPr>
          <w:rFonts w:hint="eastAsia"/>
        </w:rPr>
        <w:t>信息公开相关的制度完善、队伍培养上还存在一定的差距。</w:t>
      </w:r>
    </w:p>
    <w:p w:rsidR="000E71F0" w:rsidRDefault="000E71F0">
      <w:pPr>
        <w:pStyle w:val="a7"/>
        <w:ind w:firstLine="640"/>
        <w:rPr>
          <w:rFonts w:ascii="方正黑体_GBK" w:eastAsia="方正黑体_GBK" w:cs="楷体_GB2312"/>
          <w:bCs/>
          <w:szCs w:val="32"/>
          <w:shd w:val="clear" w:color="auto" w:fill="FFFFFF"/>
        </w:rPr>
      </w:pPr>
    </w:p>
    <w:p w:rsidR="000E71F0" w:rsidRDefault="0078413E">
      <w:pPr>
        <w:pStyle w:val="a7"/>
        <w:ind w:firstLine="640"/>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六、其他需要报告的事项</w:t>
      </w:r>
    </w:p>
    <w:p w:rsidR="000E71F0" w:rsidRDefault="0078413E" w:rsidP="009542FD">
      <w:pPr>
        <w:pStyle w:val="a7"/>
        <w:ind w:firstLine="640"/>
      </w:pPr>
      <w:r>
        <w:rPr>
          <w:rFonts w:hint="eastAsia"/>
        </w:rPr>
        <w:t>无其他事项需报告，全年未收取信息处理费。</w:t>
      </w:r>
    </w:p>
    <w:p w:rsidR="000E71F0" w:rsidRDefault="000E71F0" w:rsidP="009542FD">
      <w:pPr>
        <w:pStyle w:val="a7"/>
        <w:ind w:leftChars="200" w:left="420" w:firstLine="640"/>
      </w:pPr>
    </w:p>
    <w:p w:rsidR="000E71F0" w:rsidRDefault="000E71F0" w:rsidP="000E71F0">
      <w:pPr>
        <w:pStyle w:val="a7"/>
        <w:ind w:firstLine="640"/>
      </w:pPr>
    </w:p>
    <w:sectPr w:rsidR="000E71F0" w:rsidSect="000E71F0">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47B" w:rsidRDefault="0074347B" w:rsidP="009542FD">
      <w:r>
        <w:separator/>
      </w:r>
    </w:p>
  </w:endnote>
  <w:endnote w:type="continuationSeparator" w:id="0">
    <w:p w:rsidR="0074347B" w:rsidRDefault="0074347B" w:rsidP="009542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楷体_GB2312">
    <w:altName w:val="楷体"/>
    <w:charset w:val="00"/>
    <w:family w:val="auto"/>
    <w:pitch w:val="variable"/>
    <w:sig w:usb0="00000000" w:usb1="00000000" w:usb2="00000000" w:usb3="00000000" w:csb0="0000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47B" w:rsidRDefault="0074347B" w:rsidP="009542FD">
      <w:r>
        <w:separator/>
      </w:r>
    </w:p>
  </w:footnote>
  <w:footnote w:type="continuationSeparator" w:id="0">
    <w:p w:rsidR="0074347B" w:rsidRDefault="0074347B" w:rsidP="009542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ulTrailSpace/>
    <w:doNotExpandShiftReturn/>
    <w:adjustLineHeightInTable/>
    <w:growAutofit/>
    <w:useFELayout/>
    <w:useAltKinsokuLineBreakRules/>
    <w:splitPgBreakAndParaMark/>
  </w:compat>
  <w:rsids>
    <w:rsidRoot w:val="000E71F0"/>
    <w:rsid w:val="000E71F0"/>
    <w:rsid w:val="005F695F"/>
    <w:rsid w:val="0074347B"/>
    <w:rsid w:val="0078413E"/>
    <w:rsid w:val="009542FD"/>
    <w:rsid w:val="00FC7F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rsid w:val="000E71F0"/>
    <w:pPr>
      <w:widowControl w:val="0"/>
      <w:jc w:val="both"/>
    </w:pPr>
    <w:rPr>
      <w:rFonts w:ascii="Calibri" w:hAnsi="Calibri" w:cs="Arial"/>
      <w:kern w:val="2"/>
      <w:sz w:val="21"/>
      <w:szCs w:val="24"/>
    </w:rPr>
  </w:style>
  <w:style w:type="paragraph" w:styleId="2">
    <w:name w:val="heading 2"/>
    <w:basedOn w:val="a"/>
    <w:next w:val="a"/>
    <w:autoRedefine/>
    <w:rsid w:val="000E71F0"/>
    <w:pPr>
      <w:spacing w:beforeAutospacing="1" w:afterAutospacing="1"/>
      <w:jc w:val="left"/>
      <w:outlineLvl w:val="1"/>
    </w:pPr>
    <w:rPr>
      <w:rFonts w:asci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next w:val="a4"/>
    <w:autoRedefine/>
    <w:rsid w:val="000E71F0"/>
    <w:pPr>
      <w:widowControl w:val="0"/>
      <w:spacing w:beforeAutospacing="1" w:afterAutospacing="1"/>
    </w:pPr>
    <w:rPr>
      <w:sz w:val="24"/>
      <w:szCs w:val="30"/>
    </w:rPr>
  </w:style>
  <w:style w:type="paragraph" w:styleId="a4">
    <w:name w:val="Title"/>
    <w:basedOn w:val="a"/>
    <w:autoRedefine/>
    <w:rsid w:val="000E71F0"/>
    <w:pPr>
      <w:jc w:val="center"/>
      <w:outlineLvl w:val="0"/>
    </w:pPr>
    <w:rPr>
      <w:rFonts w:ascii="Arial" w:hAnsi="Arial"/>
      <w:b/>
      <w:sz w:val="32"/>
    </w:rPr>
  </w:style>
  <w:style w:type="character" w:styleId="a5">
    <w:name w:val="Strong"/>
    <w:basedOn w:val="a0"/>
    <w:rsid w:val="000E71F0"/>
    <w:rPr>
      <w:b/>
    </w:rPr>
  </w:style>
  <w:style w:type="character" w:styleId="a6">
    <w:name w:val="Hyperlink"/>
    <w:basedOn w:val="a0"/>
    <w:autoRedefine/>
    <w:rsid w:val="000E71F0"/>
    <w:rPr>
      <w:color w:val="0000FF"/>
      <w:u w:val="single"/>
    </w:rPr>
  </w:style>
  <w:style w:type="paragraph" w:customStyle="1" w:styleId="a7">
    <w:name w:val="外宣正文"/>
    <w:basedOn w:val="a"/>
    <w:autoRedefine/>
    <w:rsid w:val="000E71F0"/>
    <w:pPr>
      <w:spacing w:line="560" w:lineRule="exact"/>
      <w:ind w:firstLineChars="200" w:firstLine="200"/>
      <w:jc w:val="left"/>
    </w:pPr>
    <w:rPr>
      <w:rFonts w:ascii="Times New Roman" w:eastAsia="方正仿宋_GBK" w:hAnsi="Times New Roman"/>
      <w:sz w:val="32"/>
    </w:rPr>
  </w:style>
  <w:style w:type="paragraph" w:customStyle="1" w:styleId="a8">
    <w:name w:val="外宣标题"/>
    <w:basedOn w:val="a4"/>
    <w:autoRedefine/>
    <w:rsid w:val="000E71F0"/>
    <w:pPr>
      <w:spacing w:line="560" w:lineRule="exact"/>
    </w:pPr>
    <w:rPr>
      <w:rFonts w:ascii="Calibri" w:eastAsia="方正小标宋_GBK" w:hAnsi="Calibri"/>
      <w:b w:val="0"/>
      <w:sz w:val="44"/>
    </w:rPr>
  </w:style>
  <w:style w:type="paragraph" w:styleId="5">
    <w:name w:val="index 5"/>
    <w:basedOn w:val="a"/>
    <w:next w:val="a"/>
    <w:autoRedefine/>
    <w:rsid w:val="000E71F0"/>
    <w:pPr>
      <w:ind w:left="1680"/>
    </w:pPr>
  </w:style>
  <w:style w:type="paragraph" w:styleId="6">
    <w:name w:val="index 6"/>
    <w:basedOn w:val="a"/>
    <w:next w:val="a"/>
    <w:autoRedefine/>
    <w:rsid w:val="000E71F0"/>
    <w:pPr>
      <w:ind w:left="2100"/>
    </w:pPr>
  </w:style>
  <w:style w:type="paragraph" w:styleId="7">
    <w:name w:val="index 7"/>
    <w:basedOn w:val="a"/>
    <w:next w:val="a"/>
    <w:autoRedefine/>
    <w:rsid w:val="000E71F0"/>
    <w:pPr>
      <w:ind w:left="2520"/>
    </w:pPr>
  </w:style>
  <w:style w:type="paragraph" w:styleId="8">
    <w:name w:val="index 8"/>
    <w:basedOn w:val="a"/>
    <w:next w:val="a"/>
    <w:autoRedefine/>
    <w:rsid w:val="000E71F0"/>
    <w:pPr>
      <w:ind w:left="2940"/>
    </w:pPr>
  </w:style>
  <w:style w:type="paragraph" w:styleId="a9">
    <w:name w:val="footer"/>
    <w:next w:val="a4"/>
    <w:rsid w:val="000E71F0"/>
    <w:pPr>
      <w:widowControl w:val="0"/>
      <w:tabs>
        <w:tab w:val="center" w:pos="4153"/>
        <w:tab w:val="right" w:pos="8306"/>
      </w:tabs>
      <w:snapToGrid w:val="0"/>
    </w:pPr>
    <w:rPr>
      <w:rFonts w:eastAsia="方正仿宋_GBK"/>
      <w:kern w:val="2"/>
      <w:sz w:val="18"/>
      <w:szCs w:val="18"/>
    </w:rPr>
  </w:style>
  <w:style w:type="paragraph" w:customStyle="1" w:styleId="50">
    <w:name w:val="样式 50 三号"/>
    <w:rsid w:val="000E71F0"/>
    <w:pPr>
      <w:widowControl w:val="0"/>
      <w:spacing w:line="560" w:lineRule="exact"/>
      <w:jc w:val="both"/>
    </w:pPr>
    <w:rPr>
      <w:rFonts w:eastAsia="方正仿宋_GBK"/>
      <w:spacing w:val="-4"/>
      <w:kern w:val="2"/>
      <w:sz w:val="32"/>
    </w:rPr>
  </w:style>
  <w:style w:type="paragraph" w:customStyle="1" w:styleId="aa">
    <w:name w:val="样式 小三"/>
    <w:rsid w:val="000E71F0"/>
    <w:pPr>
      <w:widowControl w:val="0"/>
      <w:jc w:val="both"/>
    </w:pPr>
    <w:rPr>
      <w:kern w:val="2"/>
      <w:sz w:val="30"/>
      <w:szCs w:val="30"/>
    </w:rPr>
  </w:style>
  <w:style w:type="paragraph" w:customStyle="1" w:styleId="51">
    <w:name w:val="样式 5 小三"/>
    <w:next w:val="a8"/>
    <w:rsid w:val="000E71F0"/>
    <w:pPr>
      <w:widowControl w:val="0"/>
      <w:jc w:val="both"/>
    </w:pPr>
    <w:rPr>
      <w:kern w:val="2"/>
      <w:sz w:val="30"/>
      <w:szCs w:val="30"/>
    </w:rPr>
  </w:style>
  <w:style w:type="paragraph" w:customStyle="1" w:styleId="16">
    <w:name w:val="样式 16 小三"/>
    <w:next w:val="7"/>
    <w:rsid w:val="000E71F0"/>
    <w:pPr>
      <w:widowControl w:val="0"/>
      <w:jc w:val="both"/>
    </w:pPr>
    <w:rPr>
      <w:kern w:val="2"/>
      <w:sz w:val="30"/>
      <w:szCs w:val="30"/>
    </w:rPr>
  </w:style>
  <w:style w:type="paragraph" w:customStyle="1" w:styleId="80">
    <w:name w:val="样式 8 小三"/>
    <w:next w:val="5"/>
    <w:rsid w:val="000E71F0"/>
    <w:pPr>
      <w:widowControl w:val="0"/>
      <w:jc w:val="both"/>
    </w:pPr>
    <w:rPr>
      <w:kern w:val="2"/>
      <w:sz w:val="30"/>
      <w:szCs w:val="30"/>
    </w:rPr>
  </w:style>
  <w:style w:type="paragraph" w:customStyle="1" w:styleId="17">
    <w:name w:val="样式 17 小三"/>
    <w:next w:val="8"/>
    <w:rsid w:val="000E71F0"/>
    <w:pPr>
      <w:widowControl w:val="0"/>
      <w:jc w:val="both"/>
    </w:pPr>
    <w:rPr>
      <w:kern w:val="2"/>
      <w:sz w:val="30"/>
      <w:szCs w:val="30"/>
    </w:rPr>
  </w:style>
  <w:style w:type="paragraph" w:customStyle="1" w:styleId="12">
    <w:name w:val="样式 12 小三"/>
    <w:next w:val="6"/>
    <w:rsid w:val="000E71F0"/>
    <w:pPr>
      <w:widowControl w:val="0"/>
      <w:jc w:val="both"/>
    </w:pPr>
    <w:rPr>
      <w:kern w:val="2"/>
      <w:sz w:val="30"/>
      <w:szCs w:val="30"/>
    </w:rPr>
  </w:style>
  <w:style w:type="paragraph" w:styleId="ab">
    <w:name w:val="header"/>
    <w:basedOn w:val="a"/>
    <w:link w:val="Char"/>
    <w:uiPriority w:val="99"/>
    <w:semiHidden/>
    <w:unhideWhenUsed/>
    <w:rsid w:val="009542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b"/>
    <w:uiPriority w:val="99"/>
    <w:semiHidden/>
    <w:rsid w:val="009542FD"/>
    <w:rPr>
      <w:rFonts w:ascii="Calibri" w:hAnsi="Calibri" w:cs="Arial"/>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chg_zwgk@customs.gov.cn&#1229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407</Words>
  <Characters>2324</Characters>
  <Application>Microsoft Office Word</Application>
  <DocSecurity>0</DocSecurity>
  <Lines>19</Lines>
  <Paragraphs>5</Paragraphs>
  <ScaleCrop>false</ScaleCrop>
  <Company>中国石油大学</Company>
  <LinksUpToDate>false</LinksUpToDate>
  <CharactersWithSpaces>2726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亮亮</dc:creator>
  <cp:lastModifiedBy>2962760</cp:lastModifiedBy>
  <cp:revision>3</cp:revision>
  <dcterms:created xsi:type="dcterms:W3CDTF">2024-01-19T08:25:00Z</dcterms:created>
  <dcterms:modified xsi:type="dcterms:W3CDTF">2024-01-24T08:56:00Z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7DA65C721CED4576AE1B8E158D376FDD_11</vt:lpwstr>
  </property>
</Properties>
</file>