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39"/>
        <w:spacing w:line="58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bookmarkStart w:id="0" w:name="_Hlk25540369"/>
      <w:bookmarkStart w:id="1" w:name="cogw__正文__file"/>
      <w:r>
        <w:rPr>
          <w:rFonts w:ascii="方正小标宋_GBK" w:eastAsia="方正小标宋_GBK" w:cs="方正小标宋_GBK" w:hint="eastAsia"/>
          <w:sz w:val="44"/>
          <w:szCs w:val="44"/>
        </w:rPr>
        <w:t>青茂海关2024年政府信息公开工作年度报告</w:t>
      </w:r>
      <w:bookmarkEnd w:id="0"/>
    </w:p>
    <w:p>
      <w:pPr>
        <w:pStyle w:val="25"/>
        <w:widowControl/>
        <w:shd w:val="clear" w:color="auto" w:fill="FFFFFF"/>
        <w:adjustRightInd w:val="0"/>
        <w:snapToGrid w:val="0"/>
        <w:spacing w:beforeAutospacing="0" w:afterAutospacing="0" w:line="560" w:lineRule="exact"/>
        <w:jc w:val="both"/>
        <w:rPr>
          <w:rFonts w:ascii="楷体_GB2312" w:eastAsia="楷体_GB2312" w:cs="楷体_GB2312"/>
          <w:bCs/>
          <w:sz w:val="32"/>
          <w:szCs w:val="32"/>
          <w:shd w:val="clear" w:color="auto" w:fill="FFFFFF"/>
        </w:rPr>
      </w:pPr>
    </w:p>
    <w:p>
      <w:pPr>
        <w:pStyle w:val="25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一、总体情况</w:t>
      </w:r>
    </w:p>
    <w:p>
      <w:pPr>
        <w:pStyle w:val="69"/>
        <w:adjustRightInd w:val="0"/>
        <w:snapToGrid w:val="0"/>
        <w:spacing w:line="560" w:lineRule="exact"/>
        <w:ind w:firstLineChars="200" w:firstLine="640"/>
        <w:rPr>
          <w:rFonts w:cs="Arial"/>
          <w:szCs w:val="32"/>
        </w:rPr>
      </w:pPr>
      <w:r>
        <w:rPr>
          <w:rFonts w:cs="Arial"/>
          <w:szCs w:val="32"/>
        </w:rPr>
        <w:t>2024</w:t>
      </w:r>
      <w:r>
        <w:rPr>
          <w:rFonts w:cs="Arial" w:hint="eastAsia"/>
          <w:szCs w:val="32"/>
        </w:rPr>
        <w:t>年，青茂海关严格执行《中华人民共和国政府信息公开条例》有关规定，进一步健全工作机制，规范落实政府信息公开形式和内容，充分发挥桥梁纽带作用，持续提升企业群众的满意度和获得感，营造透明高效的政务环境。</w:t>
      </w:r>
    </w:p>
    <w:p>
      <w:pPr>
        <w:pStyle w:val="69"/>
        <w:spacing w:line="560" w:lineRule="exact"/>
        <w:ind w:firstLineChars="200" w:firstLine="640"/>
        <w:rPr>
          <w:rFonts w:ascii="方正楷体_GBK" w:eastAsia="方正楷体_GBK"/>
          <w:b/>
        </w:rPr>
      </w:pPr>
      <w:r>
        <w:rPr>
          <w:rFonts w:ascii="方正楷体_GBK" w:eastAsia="方正楷体_GBK" w:hint="eastAsia"/>
          <w:b/>
        </w:rPr>
        <w:t>（一）以责为先，强化安排部署。</w:t>
      </w:r>
    </w:p>
    <w:p>
      <w:pPr>
        <w:pStyle w:val="69"/>
        <w:spacing w:line="560" w:lineRule="exact"/>
        <w:ind w:firstLineChars="200" w:firstLine="640"/>
      </w:pPr>
      <w:r>
        <w:rPr>
          <w:rFonts w:hint="eastAsia"/>
        </w:rPr>
        <w:t>完善政府信息公开工作机制，压紧压实工作责任，</w:t>
      </w:r>
      <w:r>
        <w:rPr>
          <w:rFonts w:ascii="方正仿宋_GBK" w:hint="eastAsia"/>
          <w:szCs w:val="32"/>
        </w:rPr>
        <w:t>完善“主要领导亲自抓、分管领导具体抓、业务科室协同抓、专岗人员细化抓”的工作机制，结合机构调整情况及时更新机构信息及《青茂海关政府信息主动公开基本目录》，落实</w:t>
      </w:r>
      <w:r>
        <w:rPr>
          <w:rFonts w:hint="eastAsia"/>
        </w:rPr>
        <w:t>主动公开要求，发布“双随机、一公开”信息、</w:t>
      </w:r>
      <w:r>
        <w:t>青茂海关2023年</w:t>
      </w:r>
      <w:r>
        <w:rPr>
          <w:rFonts w:hint="eastAsia"/>
        </w:rPr>
        <w:t>工作总结要点等信息</w:t>
      </w:r>
      <w:r>
        <w:t>33</w:t>
      </w:r>
      <w:r>
        <w:rPr>
          <w:rFonts w:hint="eastAsia"/>
        </w:rPr>
        <w:t>条。健全依申请公开工作机制，结合新修订的《行政复议法》等政策法规</w:t>
      </w:r>
      <w:r>
        <w:t>，及时</w:t>
      </w:r>
      <w:r>
        <w:rPr>
          <w:rFonts w:hint="eastAsia"/>
        </w:rPr>
        <w:t>完善</w:t>
      </w:r>
      <w:r>
        <w:t>申请</w:t>
      </w:r>
      <w:r>
        <w:rPr>
          <w:rFonts w:hint="eastAsia"/>
        </w:rPr>
        <w:t>答复书模板，确保</w:t>
      </w:r>
      <w:r>
        <w:t>政府</w:t>
      </w:r>
      <w:r>
        <w:rPr>
          <w:rFonts w:hint="eastAsia"/>
        </w:rPr>
        <w:t>信息公开工作的准确性和规范性。</w:t>
      </w:r>
      <w:r>
        <w:rPr>
          <w:szCs w:val="32"/>
        </w:rPr>
        <w:t>2024</w:t>
      </w:r>
      <w:r>
        <w:rPr>
          <w:rFonts w:ascii="方正仿宋_GBK" w:hint="eastAsia"/>
          <w:szCs w:val="32"/>
        </w:rPr>
        <w:t>年本关未收到信息公开申请。</w:t>
      </w:r>
    </w:p>
    <w:p>
      <w:pPr>
        <w:pStyle w:val="69"/>
        <w:spacing w:line="560" w:lineRule="exact"/>
        <w:ind w:firstLineChars="200" w:firstLine="640"/>
        <w:rPr>
          <w:rFonts w:ascii="方正楷体_GBK" w:eastAsia="方正楷体_GBK"/>
          <w:b/>
        </w:rPr>
      </w:pPr>
      <w:r>
        <w:rPr>
          <w:rFonts w:ascii="方正楷体_GBK" w:eastAsia="方正楷体_GBK" w:hint="eastAsia"/>
          <w:b/>
        </w:rPr>
        <w:t>（二）以质为准，突出重点工作。</w:t>
      </w:r>
    </w:p>
    <w:p>
      <w:pPr>
        <w:pStyle w:val="69"/>
        <w:spacing w:line="560" w:lineRule="exact"/>
        <w:ind w:firstLineChars="200" w:firstLine="640"/>
        <w:rPr>
          <w:rFonts w:ascii="方正仿宋_GBK"/>
          <w:szCs w:val="32"/>
        </w:rPr>
      </w:pPr>
      <w:r>
        <w:rPr>
          <w:rFonts w:hint="eastAsia"/>
        </w:rPr>
        <w:t>建立健全政府信息管理动态调整机制，加强门户网站专栏管理，强化信息公开程序审查、期限审核，对已发布的信息定期自查，加强敏感信息安全防护，确保</w:t>
      </w:r>
      <w:r>
        <w:rPr>
          <w:rFonts w:ascii="方正仿宋_GBK" w:hint="eastAsia"/>
          <w:szCs w:val="32"/>
        </w:rPr>
        <w:t>信息发布安全有效。深化重点信息公开，及时在线下政务公开专栏发布海关公告等权威信息，聚焦政策法规解读，在海关发布、拱关微发布等载体</w:t>
      </w:r>
      <w:r>
        <w:rPr>
          <w:rFonts w:hint="eastAsia"/>
        </w:rPr>
        <w:t>发布新媒体宣传43条，确保公开信息能更好地服务群众。</w:t>
      </w:r>
      <w:r>
        <w:rPr>
          <w:rFonts w:hint="eastAsia"/>
          <w:szCs w:val="32"/>
        </w:rPr>
        <w:t>主动公布业务咨询及监督投诉电话，</w:t>
      </w:r>
      <w:r>
        <w:rPr>
          <w:rFonts w:hint="eastAsia"/>
        </w:rPr>
        <w:t>及时办结各类信息咨询及投诉事项35宗，坚持以日常监督提升工作作风，营造风清气正的政治生态。</w:t>
      </w:r>
    </w:p>
    <w:p>
      <w:pPr>
        <w:pStyle w:val="69"/>
        <w:spacing w:line="560" w:lineRule="exact"/>
        <w:ind w:firstLineChars="200" w:firstLine="640"/>
        <w:rPr>
          <w:rFonts w:ascii="方正楷体_GBK" w:eastAsia="方正楷体_GBK"/>
          <w:b/>
        </w:rPr>
      </w:pPr>
      <w:r>
        <w:rPr>
          <w:rFonts w:ascii="方正楷体_GBK" w:eastAsia="方正楷体_GBK" w:hint="eastAsia"/>
          <w:b/>
        </w:rPr>
        <w:t>（三）以民为本，提升服务实效。</w:t>
      </w:r>
    </w:p>
    <w:p>
      <w:pPr>
        <w:pStyle w:val="69"/>
        <w:spacing w:line="560" w:lineRule="exact"/>
        <w:ind w:firstLineChars="200" w:firstLine="640"/>
      </w:pPr>
      <w:r>
        <w:rPr>
          <w:rFonts w:hint="eastAsia"/>
        </w:rPr>
        <w:t>加强窗口作风建设，发挥党员志愿服务岗、巾帼文明岗作用，坚持文明执法、高效服务，设立咨询专线及时指导企业业务开展，深化“好差评”系统应用，加强窗口作风检查和内务督察，提升服务质效。深入开展政策解读，</w:t>
      </w:r>
      <w:r>
        <w:rPr>
          <w:rFonts w:hint="eastAsia"/>
          <w:szCs w:val="32"/>
        </w:rPr>
        <w:t>落实</w:t>
      </w:r>
      <w:r>
        <w:rPr>
          <w:rFonts w:ascii="方正仿宋_GBK" w:hint="eastAsia"/>
          <w:szCs w:val="32"/>
        </w:rPr>
        <w:t>“关长接待日”、</w:t>
      </w:r>
      <w:r>
        <w:rPr>
          <w:rFonts w:hint="eastAsia"/>
        </w:rPr>
        <w:t>“青风”惠企政策宣讲会等制度，</w:t>
      </w:r>
      <w:r>
        <w:rPr>
          <w:rFonts w:hint="eastAsia"/>
          <w:szCs w:val="32"/>
        </w:rPr>
        <w:t>打造“植此青茂”国门生物安全普法展厅等普法阵地，结合“</w:t>
      </w:r>
      <w:r>
        <w:rPr>
          <w:szCs w:val="32"/>
        </w:rPr>
        <w:t>8.8</w:t>
      </w:r>
      <w:r>
        <w:rPr>
          <w:rFonts w:hint="eastAsia"/>
          <w:szCs w:val="32"/>
        </w:rPr>
        <w:t>”海关法治宣传日等重要节点开展主题普法活动7场，持续</w:t>
      </w:r>
      <w:r>
        <w:rPr>
          <w:rFonts w:hint="eastAsia"/>
        </w:rPr>
        <w:t>拓宽公众参与渠道，全年</w:t>
      </w:r>
      <w:r>
        <w:rPr>
          <w:rFonts w:ascii="方正仿宋_GBK" w:cs="Arial" w:hint="eastAsia"/>
          <w:szCs w:val="32"/>
        </w:rPr>
        <w:t>开展</w:t>
      </w:r>
      <w:r>
        <w:rPr>
          <w:rFonts w:hint="eastAsia"/>
          <w:szCs w:val="32"/>
        </w:rPr>
        <w:t>政策宣讲、科普教育</w:t>
      </w:r>
      <w:r>
        <w:rPr>
          <w:rFonts w:ascii="方正仿宋_GBK" w:cs="Arial" w:hint="eastAsia"/>
          <w:szCs w:val="32"/>
        </w:rPr>
        <w:t>进校园、进社区、进企业活动</w:t>
      </w:r>
      <w:r>
        <w:rPr>
          <w:szCs w:val="32"/>
        </w:rPr>
        <w:t>10</w:t>
      </w:r>
      <w:r>
        <w:rPr>
          <w:rFonts w:hint="eastAsia"/>
          <w:szCs w:val="32"/>
        </w:rPr>
        <w:t>余次</w:t>
      </w:r>
      <w:r>
        <w:rPr>
          <w:rFonts w:ascii="方正仿宋_GBK" w:cs="Arial" w:hint="eastAsia"/>
          <w:szCs w:val="32"/>
        </w:rPr>
        <w:t>。</w:t>
      </w:r>
    </w:p>
    <w:p>
      <w:pPr>
        <w:pStyle w:val="33"/>
        <w:adjustRightInd w:val="0"/>
        <w:snapToGrid w:val="0"/>
        <w:spacing w:beforeLines="50" w:before="218" w:afterLines="50" w:after="218"/>
        <w:ind w:firstLineChars="200" w:firstLine="624"/>
        <w:rPr>
          <w:rFonts w:ascii="方正黑体_GBK" w:eastAsia="方正黑体_GBK" w:cs="楷体_GB2312"/>
          <w:bCs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Cs w:val="32"/>
          <w:shd w:val="clear" w:color="auto" w:fill="FFFFFF"/>
        </w:rPr>
        <w:t>二、主动公开政府信息情况</w:t>
      </w:r>
    </w:p>
    <w:tbl>
      <w:tblPr>
        <w:jc w:val="center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0"/>
        <w:gridCol w:w="2183"/>
        <w:gridCol w:w="1936"/>
        <w:gridCol w:w="2156"/>
      </w:tblGrid>
      <w:tr>
        <w:trPr>
          <w:trHeight w:val="495"/>
        </w:trPr>
        <w:tc>
          <w:tcPr>
            <w:tcW w:w="89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第二十条第（一）项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</w:t>
            </w:r>
            <w:r>
              <w:rPr>
                <w:kern w:val="0"/>
                <w:sz w:val="24"/>
                <w:szCs w:val="24"/>
              </w:rPr>
              <w:t>制发件数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本年废止件</w:t>
            </w:r>
            <w:r>
              <w:rPr>
                <w:kern w:val="0"/>
                <w:sz w:val="24"/>
                <w:szCs w:val="24"/>
              </w:rPr>
              <w:t>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现行有效件数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435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第二十条第（五）项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2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3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0</w:t>
            </w:r>
          </w:p>
        </w:tc>
      </w:tr>
      <w:tr>
        <w:trPr>
          <w:trHeight w:val="406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第二十条第（六）项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5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10</w:t>
            </w:r>
            <w:r>
              <w:rPr>
                <w:rFonts w:eastAsia="方正仿宋_GBK" w:cs="宋体"/>
                <w:sz w:val="24"/>
                <w:szCs w:val="24"/>
              </w:rPr>
              <w:t>41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4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37</w:t>
            </w:r>
          </w:p>
        </w:tc>
      </w:tr>
      <w:tr>
        <w:trPr>
          <w:trHeight w:val="474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第二十条第（八）项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本年收费金额（单位：万元）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0</w:t>
            </w:r>
          </w:p>
        </w:tc>
      </w:tr>
    </w:tbl>
    <w:p>
      <w:pPr>
        <w:pStyle w:val="16"/>
        <w:tabs>
          <w:tab w:val="center" w:pos="4153"/>
          <w:tab w:val="right" w:pos="8306"/>
        </w:tabs>
      </w:pPr>
    </w:p>
    <w:p>
      <w:pPr>
        <w:pStyle w:val="25"/>
        <w:widowControl/>
        <w:shd w:val="clear" w:color="auto" w:fill="FFFFFF"/>
        <w:adjustRightInd w:val="0"/>
        <w:snapToGrid w:val="0"/>
        <w:spacing w:beforeAutospacing="0" w:afterLines="50" w:after="218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三、收到和处理政府信息公开申请情况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>
        <w:trPr>
          <w:tblHeader/>
        </w:trP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申请人情况</w:t>
            </w:r>
          </w:p>
        </w:tc>
      </w:tr>
      <w:tr>
        <w:trPr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总计</w:t>
            </w:r>
          </w:p>
        </w:tc>
      </w:tr>
      <w:tr>
        <w:trPr>
          <w:trHeight w:val="649"/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8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8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3.危及“三安全一稳定”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（五）不予处理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81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（六）其他处理</w:t>
            </w:r>
          </w:p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8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1.申请人无正当理由逾期不补正、行政机关不再处理其政府信息公开申请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28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2.申请人逾期未按收费通知要求缴纳费用、行政机关不再处理其政府信息公开申请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28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3.咨询事项，指引咨询渠道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28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4.申请人撤销申请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left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</w:tbl>
    <w:p>
      <w:pPr>
        <w:pStyle w:val="25"/>
        <w:widowControl/>
        <w:shd w:val="clear" w:color="auto" w:fill="FFFFFF"/>
        <w:spacing w:beforeLines="50" w:before="218" w:beforeAutospacing="0" w:after="120" w:afterAutospacing="0"/>
        <w:ind w:firstLineChars="200" w:firstLine="640"/>
        <w:jc w:val="both"/>
        <w:rPr>
          <w:rFonts w:ascii="宋体" w:cs="宋体"/>
          <w:szCs w:val="24"/>
        </w:rPr>
      </w:pPr>
      <w:bookmarkStart w:id="2" w:name="_GoBack"/>
      <w:bookmarkEnd w:id="2"/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行政诉讼</w:t>
            </w:r>
          </w:p>
        </w:tc>
      </w:tr>
      <w:t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复议后起诉</w:t>
            </w:r>
          </w:p>
        </w:tc>
      </w:tr>
      <w:t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</w:tr>
      <w:tr>
        <w:trPr>
          <w:trHeight w:val="862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0</w:t>
            </w:r>
          </w:p>
        </w:tc>
      </w:tr>
    </w:tbl>
    <w:p>
      <w:pPr>
        <w:pStyle w:val="25"/>
        <w:widowControl/>
        <w:shd w:val="clear" w:color="auto" w:fill="FFFFFF"/>
        <w:spacing w:beforeLines="50" w:before="218"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五、存在的主要问题及改进情况</w:t>
      </w:r>
    </w:p>
    <w:p>
      <w:pPr>
        <w:pStyle w:val="41"/>
        <w:adjustRightInd w:val="0"/>
        <w:snapToGrid w:val="0"/>
        <w:ind w:firstLineChars="200" w:firstLine="624"/>
      </w:pPr>
      <w:r>
        <w:rPr>
          <w:rFonts w:ascii="方正楷体_GBK" w:eastAsia="方正楷体_GBK" w:hint="eastAsia"/>
          <w:b/>
          <w:bCs/>
        </w:rPr>
        <w:t>（一）2023年年报中所提问题整改情况。</w:t>
      </w:r>
      <w:r>
        <w:rPr>
          <w:rFonts w:ascii="方正仿宋_GBK" w:hint="eastAsia"/>
          <w:bCs/>
          <w:szCs w:val="22"/>
        </w:rPr>
        <w:t>对于</w:t>
      </w:r>
      <w:r>
        <w:rPr>
          <w:rFonts w:ascii="方正仿宋_GBK" w:hint="eastAsia"/>
          <w:bCs/>
          <w:szCs w:val="32"/>
        </w:rPr>
        <w:t>加强和规范海关政策解读工作的问题，本关持续拓展政策解读渠道，</w:t>
      </w:r>
      <w:r>
        <w:rPr>
          <w:rFonts w:ascii="方正仿宋_GBK" w:cs="Arial" w:hint="eastAsia"/>
          <w:szCs w:val="32"/>
        </w:rPr>
        <w:t>深入了解企业群众诉求，</w:t>
      </w:r>
      <w:r>
        <w:rPr>
          <w:rFonts w:hint="eastAsia"/>
          <w:bCs/>
          <w:color w:val="000000"/>
          <w:kern w:val="0"/>
          <w:szCs w:val="32"/>
        </w:rPr>
        <w:t>开展“关长送政策上门”</w:t>
      </w:r>
      <w:r>
        <w:rPr>
          <w:bCs/>
          <w:color w:val="000000"/>
          <w:kern w:val="0"/>
          <w:szCs w:val="32"/>
        </w:rPr>
        <w:t>15</w:t>
      </w:r>
      <w:r>
        <w:rPr>
          <w:rFonts w:hint="eastAsia"/>
          <w:bCs/>
          <w:color w:val="000000"/>
          <w:kern w:val="0"/>
          <w:szCs w:val="32"/>
        </w:rPr>
        <w:t>次，</w:t>
      </w:r>
      <w:r>
        <w:rPr>
          <w:bCs/>
          <w:color w:val="000000"/>
          <w:kern w:val="0"/>
          <w:szCs w:val="32"/>
        </w:rPr>
        <w:t>组织</w:t>
      </w:r>
      <w:r>
        <w:rPr>
          <w:rFonts w:hint="eastAsia"/>
          <w:bCs/>
          <w:color w:val="000000"/>
          <w:kern w:val="0"/>
          <w:szCs w:val="32"/>
        </w:rPr>
        <w:t>“青风”惠企政策宣讲会</w:t>
      </w:r>
      <w:r>
        <w:rPr>
          <w:bCs/>
          <w:color w:val="000000"/>
          <w:kern w:val="0"/>
          <w:szCs w:val="32"/>
        </w:rPr>
        <w:t>8</w:t>
      </w:r>
      <w:r>
        <w:rPr>
          <w:rFonts w:hint="eastAsia"/>
          <w:bCs/>
          <w:color w:val="000000"/>
          <w:kern w:val="0"/>
          <w:szCs w:val="32"/>
        </w:rPr>
        <w:t>场</w:t>
      </w:r>
      <w:r>
        <w:rPr>
          <w:rFonts w:cs="Arial" w:hint="eastAsia"/>
          <w:bCs/>
          <w:color w:val="000000"/>
          <w:szCs w:val="32"/>
        </w:rPr>
        <w:t>，收集解决企业通关疑难问题</w:t>
      </w:r>
      <w:r>
        <w:rPr>
          <w:rFonts w:cs="Arial"/>
          <w:bCs/>
          <w:color w:val="000000"/>
          <w:szCs w:val="32"/>
        </w:rPr>
        <w:t>30余个；</w:t>
      </w:r>
      <w:r>
        <w:rPr>
          <w:rFonts w:ascii="方正仿宋_GBK" w:cs="Arial" w:hint="eastAsia"/>
          <w:szCs w:val="32"/>
        </w:rPr>
        <w:t>开展</w:t>
      </w:r>
      <w:r>
        <w:rPr>
          <w:rFonts w:hint="eastAsia"/>
          <w:szCs w:val="32"/>
        </w:rPr>
        <w:t>政策宣讲、科普教育</w:t>
      </w:r>
      <w:r>
        <w:rPr>
          <w:rFonts w:ascii="方正仿宋_GBK" w:cs="Arial" w:hint="eastAsia"/>
          <w:szCs w:val="32"/>
        </w:rPr>
        <w:t>进校园、进社区、进企业活动</w:t>
      </w:r>
      <w:r>
        <w:rPr>
          <w:szCs w:val="32"/>
        </w:rPr>
        <w:t>7</w:t>
      </w:r>
      <w:r>
        <w:rPr>
          <w:rFonts w:ascii="方正仿宋_GBK" w:cs="Arial" w:hint="eastAsia"/>
          <w:szCs w:val="32"/>
        </w:rPr>
        <w:t>场，针对口岸通关人群特点，</w:t>
      </w:r>
      <w:r>
        <w:rPr>
          <w:rFonts w:cs="Arial" w:hint="eastAsia"/>
          <w:szCs w:val="32"/>
        </w:rPr>
        <w:t>打造“植此青茂”国门生物安全普法展厅、“青绿之美”植物文化长廊普法基地等普法阵地，</w:t>
      </w:r>
      <w:r>
        <w:rPr>
          <w:rFonts w:cs="Arial"/>
          <w:szCs w:val="32"/>
        </w:rPr>
        <w:t>持续</w:t>
      </w:r>
      <w:r>
        <w:rPr>
          <w:rFonts w:ascii="方正仿宋_GBK" w:hint="eastAsia"/>
          <w:bCs/>
        </w:rPr>
        <w:t>推动</w:t>
      </w:r>
      <w:r>
        <w:rPr>
          <w:rFonts w:hint="eastAsia"/>
        </w:rPr>
        <w:t>政策解读形式</w:t>
      </w:r>
      <w:r>
        <w:t>多样化</w:t>
      </w:r>
      <w:r>
        <w:rPr>
          <w:rFonts w:hint="eastAsia"/>
          <w:szCs w:val="32"/>
        </w:rPr>
        <w:t>。</w:t>
      </w:r>
    </w:p>
    <w:p>
      <w:pPr>
        <w:pStyle w:val="34"/>
        <w:adjustRightInd w:val="0"/>
        <w:snapToGrid w:val="0"/>
        <w:ind w:firstLineChars="200" w:firstLine="624"/>
      </w:pPr>
      <w:r>
        <w:rPr>
          <w:rFonts w:ascii="方正楷体_GBK" w:eastAsia="方正楷体_GBK" w:hint="eastAsia"/>
          <w:b/>
          <w:bCs/>
        </w:rPr>
        <w:t>（二）目前存在问题。</w:t>
      </w:r>
      <w:r>
        <w:t>政务公开工作规范化水平还需进一步提升，主动公开信息效率还有提升空间，各科室间的信息整合与协同效应未充分发挥。</w:t>
      </w:r>
    </w:p>
    <w:p>
      <w:pPr>
        <w:pStyle w:val="25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六、其他需要报告的事项</w:t>
      </w:r>
      <w:bookmarkEnd w:id="1"/>
    </w:p>
    <w:p>
      <w:pPr>
        <w:pStyle w:val="40"/>
        <w:adjustRightInd w:val="0"/>
        <w:snapToGrid w:val="0"/>
        <w:ind w:firstLineChars="200" w:firstLine="624"/>
      </w:pPr>
      <w:r>
        <w:t>本关无需要报告的其他事项，无收取信息处理费情况。</w:t>
      </w:r>
    </w:p>
    <w:p>
      <w:pPr>
        <w:pStyle w:val="16"/>
        <w:tabs>
          <w:tab w:val="center" w:pos="4153"/>
          <w:tab w:val="right" w:pos="8306"/>
        </w:tabs>
      </w:pPr>
    </w:p>
    <w:p>
      <w:pPr>
        <w:pStyle w:val="16"/>
        <w:tabs>
          <w:tab w:val="center" w:pos="4153"/>
          <w:tab w:val="right" w:pos="8306"/>
        </w:tabs>
      </w:pPr>
    </w:p>
    <w:sectPr>
      <w:footerReference w:type="default" r:id="rId2"/>
      <w:footerReference w:type="even" r:id="rId3"/>
      <w:footerReference w:type="first" r:id="rId4"/>
      <w:pgSz w:w="11906" w:h="16838"/>
      <w:pgMar w:top="2098" w:right="1474" w:bottom="1985" w:left="1588" w:header="851" w:footer="992" w:gutter="0"/>
      <w:pgNumType w:fmt="numberInDash" w:start="1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楷体_GB2312">
    <w:altName w:val="楷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方正楷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等线">
    <w:altName w:val="SimSun-ExtB"/>
    <w:panose1 w:val="00000000000000000000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outside" w:y="1" w:anchorLock="0"/>
      <w:tabs>
        <w:tab w:val="center" w:pos="4153"/>
        <w:tab w:val="right" w:pos="8306"/>
      </w:tabs>
    </w:pPr>
    <w:r>
      <w:rPr>
        <w:rStyle w:val="17"/>
      </w:rPr>
      <w:fldChar w:fldCharType="begin"/>
    </w:r>
    <w:r>
      <w:rPr>
        <w:rStyle w:val="17"/>
      </w:rPr>
      <w:instrText>Page</w:instrText>
    </w:r>
    <w:r>
      <w:rPr>
        <w:rStyle w:val="17"/>
      </w:rPr>
      <w:fldChar w:fldCharType="separate"/>
    </w:r>
    <w:r>
      <w:rPr>
        <w:rStyle w:val="17"/>
      </w:rPr>
      <w:t>- 5 -</w:t>
    </w:r>
    <w:r>
      <w:rPr>
        <w:rStyle w:val="17"/>
      </w:rPr>
      <w:fldChar w:fldCharType="end"/>
    </w:r>
  </w:p>
  <w:p>
    <w:pPr>
      <w:pStyle w:val="16"/>
      <w:tabs>
        <w:tab w:val="center" w:pos="4153"/>
        <w:tab w:val="right" w:pos="8306"/>
      </w:tabs>
      <w:ind w:right="360" w:firstLine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outside" w:y="1" w:anchorLock="0"/>
      <w:tabs>
        <w:tab w:val="center" w:pos="4153"/>
        <w:tab w:val="right" w:pos="8306"/>
      </w:tabs>
    </w:pPr>
    <w:r>
      <w:rPr>
        <w:rStyle w:val="17"/>
      </w:rPr>
      <w:fldChar w:fldCharType="begin"/>
    </w:r>
    <w:r>
      <w:rPr>
        <w:rStyle w:val="17"/>
      </w:rPr>
      <w:instrText>Page</w:instrText>
    </w:r>
    <w:r>
      <w:rPr>
        <w:rStyle w:val="17"/>
      </w:rPr>
      <w:fldChar w:fldCharType="separate"/>
    </w:r>
    <w:r>
      <w:rPr>
        <w:rStyle w:val="17"/>
      </w:rPr>
      <w:t>- 4 -</w:t>
    </w:r>
    <w:r>
      <w:rPr>
        <w:rStyle w:val="17"/>
      </w:rPr>
      <w:fldChar w:fldCharType="end"/>
    </w:r>
  </w:p>
  <w:p>
    <w:pPr>
      <w:pStyle w:val="16"/>
      <w:tabs>
        <w:tab w:val="center" w:pos="4153"/>
        <w:tab w:val="right" w:pos="8306"/>
      </w:tabs>
      <w:ind w:right="360" w:firstLine="360"/>
    </w:pP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tabs>
        <w:tab w:val="center" w:pos="4153"/>
        <w:tab w:val="right" w:pos="8306"/>
      </w:tabs>
      <w:jc w:val="right"/>
    </w:pP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NumPages</w:instrText>
    </w:r>
    <w:r>
      <w:fldChar w:fldCharType="separate"/>
    </w:r>
    <w:r>
      <w:t>6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</w:p>
  <w:p>
    <w:pPr>
      <w:pStyle w:val="16"/>
      <w:tabs>
        <w:tab w:val="center" w:pos="4153"/>
        <w:tab w:val="right" w:pos="8306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trackRevisions/>
  <w:defaultTabStop w:val="420"/>
  <w:evenAndOddHeaders/>
  <w:drawingGridHorizontalSpacing w:val="160"/>
  <w:drawingGridVerticalSpacing w:val="435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eastAsia="黑体"/>
      <w:b/>
      <w:bCs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Cs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17">
    <w:name w:val="page number"/>
    <w:basedOn w:val="10"/>
  </w:style>
  <w:style w:type="paragraph" w:customStyle="1" w:styleId="18">
    <w:name w:val="样式 三号"/>
    <w:next w:val="27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styleId="19">
    <w:name w:val="index 5"/>
    <w:basedOn w:val="0"/>
    <w:autoRedefine/>
    <w:next w:val="0"/>
    <w:pPr>
      <w:ind w:left="1680"/>
    </w:pPr>
  </w:style>
  <w:style w:type="paragraph" w:styleId="20">
    <w:name w:val="index 6"/>
    <w:basedOn w:val="0"/>
    <w:autoRedefine/>
    <w:next w:val="0"/>
    <w:pPr>
      <w:ind w:left="2100"/>
    </w:pPr>
  </w:style>
  <w:style w:type="paragraph" w:styleId="21">
    <w:name w:val="index 7"/>
    <w:basedOn w:val="0"/>
    <w:autoRedefine/>
    <w:next w:val="0"/>
    <w:pPr>
      <w:ind w:left="2520"/>
    </w:pPr>
  </w:style>
  <w:style w:type="paragraph" w:styleId="22">
    <w:name w:val="index 8"/>
    <w:basedOn w:val="0"/>
    <w:autoRedefine/>
    <w:next w:val="0"/>
    <w:pPr>
      <w:ind w:left="2940"/>
    </w:pPr>
  </w:style>
  <w:style w:type="paragraph" w:styleId="23">
    <w:name w:val="toc 1"/>
    <w:basedOn w:val="0"/>
    <w:autoRedefine/>
    <w:next w:val="0"/>
  </w:style>
  <w:style w:type="paragraph" w:styleId="24">
    <w:name w:val="toc 2"/>
    <w:basedOn w:val="0"/>
    <w:autoRedefine/>
    <w:next w:val="0"/>
    <w:pPr>
      <w:ind w:left="420"/>
    </w:pPr>
  </w:style>
  <w:style w:type="paragraph" w:styleId="25">
    <w:name w:val="Normal (Web)"/>
    <w:next w:val="16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26">
    <w:name w:val="样式 1 三号"/>
    <w:next w:val="23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2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28">
    <w:name w:val="样式 小三"/>
    <w:next w:val="24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9">
    <w:name w:val="样式 1 小四"/>
    <w:next w:val="0"/>
    <w:pPr>
      <w:widowControl w:val="0"/>
    </w:pPr>
    <w:rPr>
      <w:rFonts w:ascii="宋体" w:eastAsia="宋体" w:cs="Times New Roman"/>
      <w:kern w:val="2"/>
      <w:sz w:val="24"/>
      <w:lang w:val="en-US" w:eastAsia="zh-CN" w:bidi="ar-SA"/>
    </w:rPr>
  </w:style>
  <w:style w:type="paragraph" w:customStyle="1" w:styleId="30">
    <w:name w:val="样式 6 小四"/>
    <w:next w:val="0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31">
    <w:name w:val="样式 20 小四"/>
    <w:next w:val="19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32">
    <w:name w:val="样式 12 三号"/>
    <w:next w:val="22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3">
    <w:name w:val="样式 50 三号"/>
    <w:next w:val="20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34">
    <w:name w:val="样式 13 三号"/>
    <w:next w:val="21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35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36">
    <w:name w:val="样式 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37">
    <w:name w:val="样式 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38">
    <w:name w:val="样式 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39">
    <w:name w:val="样式 6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40">
    <w:name w:val="样式 7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41">
    <w:name w:val="样式 8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42">
    <w:name w:val="样式 小四"/>
    <w:pPr>
      <w:widowControl w:val="0"/>
    </w:pPr>
    <w:rPr>
      <w:rFonts w:ascii="宋体" w:eastAsia="宋体" w:cs="Times New Roman"/>
      <w:kern w:val="2"/>
      <w:sz w:val="24"/>
      <w:lang w:val="en-US" w:eastAsia="zh-CN" w:bidi="ar-SA"/>
    </w:rPr>
  </w:style>
  <w:style w:type="paragraph" w:customStyle="1" w:styleId="43">
    <w:name w:val="样式 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4">
    <w:name w:val="样式 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5">
    <w:name w:val="样式 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6">
    <w:name w:val="样式 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7">
    <w:name w:val="样式 9 三号"/>
    <w:pPr>
      <w:widowControl w:val="0"/>
      <w:ind w:left="42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48">
    <w:name w:val="样式 2 小四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49">
    <w:name w:val="样式 10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50">
    <w:name w:val="样式 3 小四"/>
    <w:pPr>
      <w:widowControl w:val="0"/>
    </w:pPr>
    <w:rPr>
      <w:rFonts w:ascii="宋体" w:eastAsia="宋体" w:cs="Times New Roman"/>
      <w:kern w:val="2"/>
      <w:sz w:val="24"/>
      <w:lang w:val="en-US" w:eastAsia="zh-CN" w:bidi="ar-SA"/>
    </w:rPr>
  </w:style>
  <w:style w:type="paragraph" w:styleId="51">
    <w:name w:val="List Number 2"/>
    <w:basedOn w:val="0"/>
    <w:pPr>
      <w:tabs>
        <w:tab w:val="left" w:pos="780"/>
      </w:tabs>
      <w:ind w:left="780" w:hanging="360"/>
    </w:pPr>
  </w:style>
  <w:style w:type="paragraph" w:customStyle="1" w:styleId="52">
    <w:name w:val="样式 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3">
    <w:name w:val="样式 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4">
    <w:name w:val="样式 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5">
    <w:name w:val="样式 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6">
    <w:name w:val="样式 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7">
    <w:name w:val="样式 1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8">
    <w:name w:val="样式 1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9">
    <w:name w:val="样式 1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0">
    <w:name w:val="样式 1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1">
    <w:name w:val="样式 1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2">
    <w:name w:val="样式 1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3">
    <w:name w:val="样式 1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4">
    <w:name w:val="样式 1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5">
    <w:name w:val="样式 1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6">
    <w:name w:val="样式 1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7">
    <w:name w:val="样式 2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character" w:styleId="68">
    <w:name w:val="Hyperlink"/>
    <w:rPr>
      <w:color w:val="0000FF"/>
      <w:u w:val="single"/>
    </w:rPr>
  </w:style>
  <w:style w:type="paragraph" w:customStyle="1" w:styleId="69">
    <w:name w:val="样式 1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70">
    <w:name w:val="样式 1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71">
    <w:name w:val="样式 1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72">
    <w:name w:val="样式 1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73">
    <w:name w:val="样式 17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74">
    <w:name w:val="样式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5">
    <w:name w:val="样式 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6">
    <w:name w:val="样式 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7">
    <w:name w:val="样式 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8">
    <w:name w:val="样式 18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79">
    <w:name w:val="样式 1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80">
    <w:name w:val="Balloon Text"/>
    <w:basedOn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</TotalTime>
  <Application>Yozo_Office</Application>
  <Pages>6</Pages>
  <Words>2042</Words>
  <Characters>2089</Characters>
  <Lines>415</Lines>
  <Paragraphs>304</Paragraphs>
  <CharactersWithSpaces>2089</CharactersWithSpaces>
  <Company>ccic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吕大良</dc:creator>
  <cp:lastModifiedBy>黄嘉浩</cp:lastModifiedBy>
  <cp:revision>5</cp:revision>
  <cp:lastPrinted>2025-01-21T03:01:00Z</cp:lastPrinted>
  <dcterms:created xsi:type="dcterms:W3CDTF">2025-01-23T07:07:00Z</dcterms:created>
  <dcterms:modified xsi:type="dcterms:W3CDTF">2025-01-27T00:22:05Z</dcterms:modified>
</cp:coreProperties>
</file>