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napToGrid w:val="0"/>
        <w:spacing w:line="560" w:lineRule="exact"/>
        <w:jc w:val="center"/>
        <w:rPr>
          <w:rFonts w:eastAsia="方正黑体_GBK"/>
          <w:color w:val="000000"/>
          <w:sz w:val="44"/>
          <w:szCs w:val="44"/>
        </w:rPr>
      </w:pPr>
      <w:bookmarkStart w:id="0" w:name="_GoBack"/>
      <w:bookmarkEnd w:id="0"/>
      <w:r>
        <w:rPr>
          <w:rFonts w:eastAsia="方正黑体_GBK"/>
          <w:color w:val="000000"/>
          <w:sz w:val="44"/>
          <w:szCs w:val="44"/>
        </w:rPr>
        <w:t>中华人民共和国</w:t>
      </w:r>
      <w:r>
        <w:rPr>
          <w:rFonts w:eastAsia="方正黑体_GBK" w:hint="eastAsia"/>
          <w:color w:val="000000"/>
          <w:sz w:val="44"/>
          <w:szCs w:val="44"/>
        </w:rPr>
        <w:t>邵阳</w:t>
      </w:r>
      <w:r>
        <w:rPr>
          <w:rFonts w:eastAsia="方正黑体_GBK"/>
          <w:color w:val="000000"/>
          <w:sz w:val="44"/>
          <w:szCs w:val="44"/>
        </w:rPr>
        <w:t>海关</w:t>
      </w:r>
    </w:p>
    <w:p>
      <w:pPr>
        <w:snapToGrid w:val="0"/>
        <w:spacing w:line="560" w:lineRule="exact"/>
        <w:jc w:val="center"/>
        <w:rPr>
          <w:rFonts w:eastAsia="方正黑体_GBK"/>
          <w:color w:val="000000"/>
          <w:sz w:val="44"/>
          <w:szCs w:val="44"/>
        </w:rPr>
      </w:pPr>
      <w:r>
        <w:rPr>
          <w:rFonts w:eastAsia="方正黑体_GBK"/>
          <w:color w:val="000000"/>
          <w:sz w:val="44"/>
          <w:szCs w:val="44"/>
        </w:rPr>
        <w:t>行政处罚决定书</w:t>
      </w:r>
    </w:p>
    <w:p>
      <w:pPr>
        <w:snapToGrid w:val="0"/>
        <w:spacing w:line="560" w:lineRule="exact"/>
        <w:jc w:val="right"/>
        <w:rPr>
          <w:rFonts w:eastAsia="方正仿宋简体"/>
          <w:color w:val="000000"/>
          <w:sz w:val="32"/>
        </w:rPr>
      </w:pPr>
    </w:p>
    <w:p>
      <w:pPr>
        <w:snapToGrid w:val="0"/>
        <w:spacing w:line="560" w:lineRule="exact"/>
        <w:jc w:val="right"/>
        <w:rPr>
          <w:rFonts w:ascii="方正仿宋_GBK" w:eastAsia="方正仿宋_GBK"/>
          <w:color w:val="000000"/>
          <w:sz w:val="28"/>
        </w:rPr>
      </w:pPr>
      <w:r>
        <w:rPr>
          <w:rFonts w:ascii="Times New Roman" w:eastAsia="方正仿宋_GBK" w:hAnsi="Times New Roman"/>
          <w:color w:val="000000"/>
          <w:sz w:val="32"/>
        </w:rPr>
        <w:t>邵</w:t>
      </w:r>
      <w:r>
        <w:rPr>
          <w:rFonts w:ascii="Times New Roman" w:eastAsia="方正仿宋_GBK" w:hAnsi="Times New Roman"/>
          <w:color w:val="000000"/>
          <w:sz w:val="32"/>
          <w:szCs w:val="32"/>
        </w:rPr>
        <w:t>关</w:t>
      </w:r>
      <w:r>
        <w:rPr>
          <w:rFonts w:ascii="Times New Roman" w:eastAsia="方正仿宋_GBK" w:hAnsi="Times New Roman" w:hint="eastAsia"/>
          <w:color w:val="000000"/>
          <w:sz w:val="32"/>
          <w:szCs w:val="32"/>
        </w:rPr>
        <w:t>缉违</w:t>
      </w:r>
      <w:r>
        <w:rPr>
          <w:rFonts w:ascii="Times New Roman" w:eastAsia="方正仿宋_GBK" w:hAnsi="Times New Roman"/>
          <w:color w:val="000000"/>
          <w:sz w:val="32"/>
          <w:szCs w:val="32"/>
        </w:rPr>
        <w:t>字</w:t>
      </w:r>
      <w:r>
        <w:rPr>
          <w:rFonts w:ascii="Times New Roman" w:eastAsia="方正仿宋_GBK" w:hAnsi="Times New Roman"/>
          <w:color w:val="000000"/>
          <w:sz w:val="32"/>
          <w:szCs w:val="32"/>
        </w:rPr>
        <w:t>〔</w:t>
      </w:r>
      <w:r>
        <w:rPr>
          <w:rFonts w:ascii="Times New Roman" w:eastAsia="方正仿宋_GBK" w:hAnsi="Times New Roman"/>
          <w:color w:val="000000"/>
          <w:sz w:val="32"/>
          <w:szCs w:val="32"/>
        </w:rPr>
        <w:t>202</w:t>
      </w:r>
      <w:r>
        <w:rPr>
          <w:rFonts w:ascii="Times New Roman" w:eastAsia="方正仿宋_GBK" w:hAnsi="Times New Roman" w:hint="eastAsia"/>
          <w:color w:val="000000"/>
          <w:sz w:val="32"/>
          <w:szCs w:val="32"/>
        </w:rPr>
        <w:t>6</w:t>
      </w:r>
      <w:r>
        <w:rPr>
          <w:rFonts w:ascii="Times New Roman" w:eastAsia="方正仿宋_GBK" w:hAnsi="Times New Roman"/>
          <w:color w:val="000000"/>
          <w:sz w:val="32"/>
          <w:szCs w:val="32"/>
        </w:rPr>
        <w:t>〕</w:t>
      </w:r>
      <w:r>
        <w:rPr>
          <w:rFonts w:ascii="Times New Roman" w:eastAsia="方正仿宋_GBK" w:hAnsi="Times New Roman" w:hint="eastAsia"/>
          <w:color w:val="000000"/>
          <w:sz w:val="32"/>
          <w:szCs w:val="32"/>
        </w:rPr>
        <w:t>13</w:t>
      </w:r>
      <w:r>
        <w:rPr>
          <w:rFonts w:ascii="方正仿宋_GBK" w:eastAsia="方正仿宋_GBK" w:hint="eastAsia"/>
          <w:color w:val="000000"/>
          <w:sz w:val="32"/>
          <w:szCs w:val="32"/>
        </w:rPr>
        <w:t>号</w:t>
      </w:r>
    </w:p>
    <w:p>
      <w:pPr>
        <w:snapToGrid w:val="0"/>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当事人：邵阳市庆隆国际贸易有限公司，法定代表人：刘秀莲，统一社会信用代码：91430524MAEDFMBT37</w:t>
      </w:r>
    </w:p>
    <w:p>
      <w:pPr>
        <w:snapToGrid w:val="0"/>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地址：湖南省邵阳市隆回县桃花坪街道城东南工业园（焕兴置业内）</w:t>
      </w:r>
    </w:p>
    <w:p>
      <w:pPr>
        <w:snapToGrid w:val="0"/>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color w:val="000000"/>
          <w:sz w:val="32"/>
          <w:szCs w:val="32"/>
        </w:rPr>
        <w:t>经我关调查，当事人有以下违法行为：</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2025年3月至4月期间，当事人以一般贸易方式向海关申报516620250660279110、516620250660300633、</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516620250660286323、516620250660280412、</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516620250660280278、516620250660286504、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516620250660278735、516620250660286341、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516620250660286275、516620250660286429、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516620250660300016、516620250660284876、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516620250660284924、516620250660290303、</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516620250660286367、516620250660306313、</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516620250660283177、516620250660281036、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516620250660281154、516620250660284375、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516620250660400088、516620250660399761、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516620250660285532、516620250660277016、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516620250660400080、516620250660274360、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516620250660389358、516620250660399596、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516620250660274129、516620250660276895、</w:t>
      </w:r>
    </w:p>
    <w:p>
      <w:pPr>
        <w:topLinePunct/>
        <w:snapToGrid w:val="0"/>
        <w:spacing w:line="560" w:lineRule="exact"/>
        <w:ind w:firstLineChars="200" w:firstLine="640"/>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516620250660390944、516620250660277259、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516620250660399223、516620250660388949、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516620250660279407、516620250660274131、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516620250660276856、516620250660397546、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516620250660389655、516620250660274604、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516620250660279803、516620250660279415、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516620250660277042、516620250660277060、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516620250660399746、516620250660278445、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516620250660399213、516620250660388985、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516620250660286576、516620250660389485、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516620250660275297、516620250660390707、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516620250660399878、516620250660399594、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516620250660398947、516620250660398334、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516620250660388054、516620250660393882、</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516620250660279691、516620250660393951、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516620250660393870、516620250660278427、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516620250660389343、516620250660389369、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516620250660398112、516620250660388941、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516620250660391156、516620250660279679、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516620250660393836、516620250660279007、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516620250660284728、516620250660398879、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516620250660279688、516620250660400091、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516620250660389450、516620250660279685、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516620250660277556、516620250660279044、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516620250660285128、516620250660387955、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516620250660280804、516620250660276877、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516620250660389366、516620250660398343、</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516620250660400078、516620250660279410、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516620250660276924、516620250660286360、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516620250660399880、516620250660398872、</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516620250660388997、516620250660278669、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516620250660280166、516620250660393996、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516620250660388091、516620250660388987、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516620250660398125、516620250660274230、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516620250660398108、516620250660276681、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516620250660276921、516620250660275175、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516620250660280159、516620250660388475、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516620250660388978、516620250660388950、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516620250660399883、516620250660276956、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516620250660279066、516620250660278114、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516620250660278454、516620250660399399、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516620250660277271、516620250660285545、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516620250660284703、516620250660279604、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516620250660389672、516620250660276908、</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516620250660388939、516620250660275386、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516620250660390303、516620250660276696、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516620250660277144、516620250660275203、</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516620250660280155、516620250660387198、</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516620250660282126、516620250660274715、</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516620250660393824、516620250660284688、</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516620250660279675、516620250660398870、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516620250660389346、516620250660387488、</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516620250660398347、516620250660284629、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516620250660276938、516620250660390840、</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516620250660387502、516620250660277448、</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516620250660389662、516620250660398651、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516620250660388331、516620250660389444、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516620250660398118、516620250660279404、</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516620250660398616、516620250660394221、</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516620250660389668、516620250660277989、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516620250660399229、516620250660389597、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516620250660399406、516620250660276837、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516620250660277394、516620250660284736、</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516620250660277714、516620250660390612、</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516620250660394166、516620250660284957、</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516620250660394225、516620250660285133、</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516620250660393866、516620250660277339、</w:t>
      </w:r>
    </w:p>
    <w:p>
      <w:pPr>
        <w:topLinePunct/>
        <w:snapToGrid w:val="0"/>
        <w:spacing w:line="560" w:lineRule="exact"/>
        <w:ind w:firstLine="629"/>
        <w:jc w:val="distribute"/>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516620250660389502、516620250660277031、</w:t>
      </w:r>
    </w:p>
    <w:p>
      <w:pPr>
        <w:snapToGrid w:val="0"/>
        <w:spacing w:line="560" w:lineRule="exact"/>
        <w:rPr>
          <w:rFonts w:ascii="Times New Roman" w:eastAsia="方正仿宋_GBK" w:hAnsi="Times New Roman"/>
          <w:color w:val="000000"/>
          <w:sz w:val="32"/>
          <w:szCs w:val="32"/>
        </w:rPr>
      </w:pPr>
      <w:r>
        <w:rPr>
          <w:rFonts w:ascii="Times New Roman" w:eastAsia="方正仿宋_GBK" w:hAnsi="Times New Roman"/>
          <w:color w:val="000000"/>
          <w:sz w:val="32"/>
          <w:szCs w:val="32"/>
        </w:rPr>
        <w:t>516620250660277319、516620250660393833共168票报关单，申报货值共10781.2万元人民币。经查，上述168票报关单申报的境内货源地为</w:t>
      </w:r>
      <w:r>
        <w:rPr>
          <w:rFonts w:ascii="方正仿宋_GBK" w:eastAsia="方正仿宋_GBK" w:hAnsi="Times New Roman" w:hint="eastAsia"/>
          <w:color w:val="000000"/>
          <w:sz w:val="32"/>
          <w:szCs w:val="32"/>
        </w:rPr>
        <w:t>“广州其他”“深圳特区”“湖州”</w:t>
      </w:r>
      <w:r>
        <w:rPr>
          <w:rFonts w:ascii="Times New Roman" w:eastAsia="方正仿宋_GBK" w:hAnsi="Times New Roman"/>
          <w:color w:val="000000"/>
          <w:sz w:val="32"/>
          <w:szCs w:val="32"/>
        </w:rPr>
        <w:t>等地，</w:t>
      </w:r>
      <w:r>
        <w:rPr>
          <w:rFonts w:ascii="Times New Roman" w:eastAsia="方正仿宋_GBK" w:hAnsi="Times New Roman" w:hint="eastAsia"/>
          <w:color w:val="000000"/>
          <w:sz w:val="32"/>
          <w:szCs w:val="32"/>
        </w:rPr>
        <w:t>实际境内货源地为长沙，申报</w:t>
      </w:r>
      <w:r>
        <w:rPr>
          <w:rFonts w:ascii="Times New Roman" w:eastAsia="方正仿宋_GBK" w:hAnsi="Times New Roman"/>
          <w:color w:val="000000"/>
          <w:sz w:val="32"/>
          <w:szCs w:val="32"/>
        </w:rPr>
        <w:t>与实际不符。该行为违反了《中华人民共和国海关法》第二十四条第一款之规定，构成《中华人民共和国海关法》第八十六条第三项所列之违规行为。</w:t>
      </w:r>
    </w:p>
    <w:p>
      <w:pPr>
        <w:snapToGrid w:val="0"/>
        <w:spacing w:line="560" w:lineRule="exact"/>
        <w:ind w:firstLine="630"/>
        <w:rPr>
          <w:rFonts w:ascii="方正仿宋_GBK" w:eastAsia="方正仿宋_GBK"/>
          <w:color w:val="000000"/>
          <w:sz w:val="32"/>
          <w:szCs w:val="32"/>
        </w:rPr>
      </w:pPr>
      <w:r>
        <w:rPr>
          <w:rFonts w:ascii="方正仿宋_GBK" w:eastAsia="方正仿宋_GBK"/>
          <w:color w:val="000000"/>
          <w:sz w:val="32"/>
          <w:szCs w:val="32"/>
        </w:rPr>
        <w:t>以上行为有出口报关单、报关单汇总表、情况说明、</w:t>
      </w:r>
      <w:r>
        <w:rPr>
          <w:rFonts w:ascii="方正仿宋_GBK" w:eastAsia="方正仿宋_GBK" w:hint="eastAsia"/>
          <w:color w:val="000000"/>
          <w:sz w:val="32"/>
          <w:szCs w:val="32"/>
        </w:rPr>
        <w:t>购销合同、</w:t>
      </w:r>
      <w:r>
        <w:rPr>
          <w:rFonts w:ascii="方正仿宋_GBK" w:eastAsia="方正仿宋_GBK"/>
          <w:color w:val="000000"/>
          <w:sz w:val="32"/>
          <w:szCs w:val="32"/>
        </w:rPr>
        <w:t>授权委托书、身份证明、营业执照副本复印件、核查移交资料等证据为证。</w:t>
      </w:r>
    </w:p>
    <w:p>
      <w:pPr>
        <w:snapToGrid w:val="0"/>
        <w:spacing w:line="560" w:lineRule="exact"/>
        <w:ind w:firstLine="630"/>
        <w:rPr>
          <w:rFonts w:ascii="Times New Roman" w:eastAsia="方正仿宋_GBK" w:hAnsi="Times New Roman"/>
          <w:color w:val="000000"/>
          <w:sz w:val="32"/>
          <w:szCs w:val="32"/>
        </w:rPr>
      </w:pPr>
      <w:r>
        <w:rPr>
          <w:rFonts w:ascii="Times New Roman" w:eastAsia="方正仿宋_GBK" w:hAnsi="Times New Roman"/>
          <w:color w:val="000000"/>
          <w:sz w:val="32"/>
          <w:szCs w:val="32"/>
        </w:rPr>
        <w:t>当事</w:t>
      </w:r>
      <w:r>
        <w:rPr>
          <w:rFonts w:ascii="方正仿宋_GBK" w:eastAsia="方正仿宋_GBK" w:hAnsi="Times New Roman" w:hint="eastAsia"/>
          <w:color w:val="000000"/>
          <w:sz w:val="32"/>
          <w:szCs w:val="32"/>
        </w:rPr>
        <w:t>人“境内货源地”项</w:t>
      </w:r>
      <w:r>
        <w:rPr>
          <w:rFonts w:ascii="Times New Roman" w:eastAsia="方正仿宋_GBK" w:hAnsi="Times New Roman"/>
          <w:color w:val="000000"/>
          <w:sz w:val="32"/>
          <w:szCs w:val="32"/>
        </w:rPr>
        <w:t>目申报不实影响海关统计，且无特殊情节，依照《中华人民共和国海关行政处罚实施条例》第十五条第一项、《中华人民共和国海关行政处罚裁量基准（一）》（海关总署公告2023年第182号）第六条第二款、第十八条及附件3《海关简易程序和快速办理行政处罚案件裁量基准（一）》序号1之规定，决定对当事人作出如下行政处罚：</w:t>
      </w:r>
    </w:p>
    <w:p>
      <w:pPr>
        <w:snapToGrid w:val="0"/>
        <w:spacing w:line="560" w:lineRule="exact"/>
        <w:ind w:firstLine="630"/>
        <w:rPr>
          <w:rFonts w:ascii="Times New Roman" w:eastAsia="方正仿宋_GBK" w:hAnsi="Times New Roman"/>
          <w:color w:val="000000"/>
          <w:sz w:val="32"/>
          <w:szCs w:val="32"/>
        </w:rPr>
      </w:pPr>
      <w:r>
        <w:rPr>
          <w:rFonts w:ascii="Times New Roman" w:eastAsia="方正仿宋_GBK" w:hAnsi="Times New Roman"/>
          <w:color w:val="000000"/>
          <w:sz w:val="32"/>
          <w:szCs w:val="32"/>
        </w:rPr>
        <w:t>科处罚款人民币0.6万元。</w:t>
      </w:r>
    </w:p>
    <w:p>
      <w:pPr>
        <w:snapToGrid w:val="0"/>
        <w:spacing w:line="560" w:lineRule="exact"/>
        <w:ind w:firstLine="630"/>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当事人应当自收到本决定书之日起十五日内，依照《中华人民共和国行政处罚法》第六十六条、第六十七条之规定，到指定的银行缴纳罚款。</w:t>
      </w:r>
    </w:p>
    <w:p>
      <w:pPr>
        <w:snapToGrid w:val="0"/>
        <w:spacing w:line="560" w:lineRule="exact"/>
        <w:ind w:firstLine="630"/>
        <w:rPr>
          <w:rFonts w:ascii="Times New Roman" w:eastAsia="方正仿宋_GBK" w:hAnsi="Times New Roman"/>
          <w:color w:val="000000"/>
          <w:sz w:val="32"/>
          <w:szCs w:val="32"/>
        </w:rPr>
      </w:pPr>
      <w:r>
        <w:rPr>
          <w:rFonts w:ascii="Times New Roman" w:eastAsia="方正仿宋_GBK" w:hAnsi="Times New Roman"/>
          <w:color w:val="000000"/>
          <w:sz w:val="32"/>
          <w:szCs w:val="32"/>
        </w:rPr>
        <w:t>当事人不服本处罚决定的，依照《中华人民共和国行政复议法》第二十条、第二十七条、《中华人民共和国行政诉讼法》第四十六条之规定，可自收到本决定书之日起六十日内向中华人民共和国长沙海关申请行政复议，或者自收到本决定书之日起六个月内，直接向邵阳市中级人民法院提起诉讼。依照《中华人民共和国行政处罚法》第七十二条、《中华人民共和国海关法》第九十三条之规定，当事人到期不缴纳罚款的，每日可以按罚款数额的百分之三加处罚款，加处罚款的数额不超出罚款数额；当事人逾期不履行处罚决定又不申请复议或者向人民法院提起诉讼的，海关可以将扣留的货物、物品、运输工具依法变价抵缴，或者以当事人提供的保证金抵缴；也可以采取法律规定的其他行政强制执行方式或者申请人民法院强制执行。</w:t>
      </w:r>
    </w:p>
    <w:p>
      <w:pPr>
        <w:snapToGrid w:val="0"/>
        <w:spacing w:line="560" w:lineRule="exact"/>
        <w:ind w:firstLine="630"/>
        <w:rPr>
          <w:rFonts w:ascii="Times New Roman" w:eastAsia="方正仿宋_GBK" w:hAnsi="Times New Roman"/>
          <w:color w:val="000000"/>
          <w:sz w:val="32"/>
          <w:szCs w:val="32"/>
        </w:rPr>
      </w:pPr>
    </w:p>
    <w:p>
      <w:pPr>
        <w:snapToGrid w:val="0"/>
        <w:spacing w:line="560" w:lineRule="exact"/>
        <w:ind w:firstLine="630"/>
        <w:rPr>
          <w:rFonts w:ascii="Times New Roman" w:eastAsia="方正仿宋_GBK" w:hAnsi="Times New Roman"/>
          <w:color w:val="000000"/>
          <w:sz w:val="32"/>
          <w:szCs w:val="32"/>
        </w:rPr>
      </w:pPr>
    </w:p>
    <w:p>
      <w:pPr>
        <w:snapToGrid w:val="0"/>
        <w:spacing w:line="560" w:lineRule="exact"/>
        <w:ind w:firstLine="630"/>
        <w:rPr>
          <w:rFonts w:ascii="Times New Roman" w:eastAsia="方正仿宋_GBK" w:hAnsi="Times New Roman" w:hint="eastAsia"/>
          <w:color w:val="000000"/>
          <w:sz w:val="32"/>
          <w:szCs w:val="32"/>
        </w:rPr>
      </w:pPr>
    </w:p>
    <w:p>
      <w:pPr>
        <w:snapToGrid w:val="0"/>
        <w:spacing w:line="560" w:lineRule="exact"/>
        <w:ind w:firstLineChars="1095" w:firstLine="3504"/>
        <w:rPr>
          <w:rFonts w:ascii="Times New Roman" w:eastAsia="方正仿宋_GBK" w:hAnsi="Times New Roman"/>
          <w:color w:val="000000"/>
          <w:sz w:val="32"/>
          <w:szCs w:val="32"/>
        </w:rPr>
      </w:pPr>
      <w:r>
        <w:rPr>
          <w:rFonts w:ascii="Times New Roman" w:eastAsia="方正仿宋_GBK" w:hAnsi="Times New Roman" w:hint="eastAsia"/>
          <w:color w:val="000000"/>
          <w:sz w:val="32"/>
          <w:szCs w:val="32"/>
        </w:rPr>
        <w:t>中华人民共和国邵阳海关</w:t>
      </w:r>
    </w:p>
    <w:p>
      <w:pPr>
        <w:snapToGrid w:val="0"/>
        <w:spacing w:line="560" w:lineRule="exact"/>
        <w:ind w:right="640"/>
        <w:jc w:val="center"/>
        <w:rPr>
          <w:rFonts w:ascii="Times New Roman" w:eastAsia="方正仿宋_GBK" w:hAnsi="Times New Roman"/>
          <w:color w:val="000000"/>
          <w:sz w:val="32"/>
        </w:rPr>
      </w:pPr>
      <w:r>
        <w:rPr>
          <w:rFonts w:ascii="Times New Roman" w:eastAsia="方正仿宋_GBK" w:hAnsi="Times New Roman" w:hint="eastAsia"/>
          <w:color w:val="000000"/>
          <w:sz w:val="32"/>
        </w:rPr>
        <w:t xml:space="preserve">                  </w:t>
      </w:r>
      <w:r>
        <w:rPr>
          <w:rFonts w:ascii="Times New Roman" w:eastAsia="方正仿宋_GBK" w:hAnsi="Times New Roman"/>
          <w:color w:val="000000"/>
          <w:sz w:val="32"/>
        </w:rPr>
        <w:t>2026年0</w:t>
      </w:r>
      <w:r>
        <w:rPr>
          <w:rFonts w:ascii="Times New Roman" w:eastAsia="方正仿宋_GBK" w:hAnsi="Times New Roman" w:hint="eastAsia"/>
          <w:color w:val="000000"/>
          <w:sz w:val="32"/>
        </w:rPr>
        <w:t>7</w:t>
      </w:r>
      <w:r>
        <w:rPr>
          <w:rFonts w:ascii="Times New Roman" w:eastAsia="方正仿宋_GBK" w:hAnsi="Times New Roman"/>
          <w:color w:val="000000"/>
          <w:sz w:val="32"/>
        </w:rPr>
        <w:t>月</w:t>
      </w:r>
      <w:r>
        <w:rPr>
          <w:rFonts w:ascii="Times New Roman" w:eastAsia="方正仿宋_GBK" w:hAnsi="Times New Roman" w:hint="eastAsia"/>
          <w:color w:val="000000"/>
          <w:sz w:val="32"/>
        </w:rPr>
        <w:t>27</w:t>
      </w:r>
      <w:r>
        <w:rPr>
          <w:rFonts w:ascii="Times New Roman" w:eastAsia="方正仿宋_GBK" w:hAnsi="Times New Roman"/>
          <w:color w:val="000000"/>
          <w:sz w:val="32"/>
        </w:rPr>
        <w:t>日</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仿宋简体">
    <w:altName w:val="方正仿宋_GBK"/>
    <w:panose1 w:val="00000000000000000000"/>
    <w:charset w:val="86"/>
    <w:family w:val="auto"/>
    <w:pitch w:val="variable"/>
    <w:sig w:usb0="00000001"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10002FF" w:usb1="4000ACFF" w:usb2="00000009" w:usb3="00000000" w:csb0="0000019F" w:csb1="00000000"/>
  </w:font>
  <w:font w:name="方正兰亭黑_GBK">
    <w:panose1 w:val="02000000000000000000"/>
    <w:charset w:val="86"/>
    <w:family w:val="script"/>
    <w:pitch w:val="variable"/>
    <w:sig w:usb0="A00002BF" w:usb1="3ACF7CFA" w:usb2="00080016" w:usb3="00000000" w:csb0="00040001" w:csb1="00000000"/>
  </w:font>
  <w:font w:name="黑体">
    <w:altName w:val="方正黑体_GBK"/>
    <w:panose1 w:val="02000000000000000000"/>
    <w:charset w:val="86"/>
    <w:family w:val="script"/>
    <w:pitch w:val="variable"/>
    <w:sig w:usb0="A00002BF" w:usb1="38CF7CFA" w:usb2="00082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等线">
    <w:altName w:val="阳光吾坚体"/>
    <w:panose1 w:val="00000000000000000000"/>
    <w:charset w:val="00"/>
    <w:family w:val="auto"/>
    <w:pitch w:val="variable"/>
    <w:sig w:usb0="00000000" w:usb1="38CF7CFA" w:usb2="00000016" w:usb3="00000000" w:csb0="0004000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7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ulTrailSpace/>
    <w:doNotExpandShiftReturn/>
    <w:adjustLineHeightInTable/>
    <w:compatSetting w:name="compatibilityMode" w:uri="http://schemas.microsoft.com/office/word" w:val="12"/>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rFonts w:ascii="Calibri" w:eastAsia="宋体" w:cs="Arial" w:hAnsi="Calibri"/>
      <w:sz w:val="18"/>
      <w:szCs w:val="18"/>
    </w:rPr>
  </w:style>
  <w:style w:type="paragraph" w:styleId="16">
    <w:name w:val="footer"/>
    <w:basedOn w:val="0"/>
    <w:pPr>
      <w:tabs>
        <w:tab w:val="center" w:pos="4153"/>
        <w:tab w:val="right" w:pos="8306"/>
      </w:tabs>
      <w:snapToGrid w:val="0"/>
      <w:jc w:val="left"/>
    </w:pPr>
    <w:rPr>
      <w:rFonts w:ascii="Calibri" w:eastAsia="宋体" w:cs="Arial" w:hAnsi="Calibri"/>
      <w:sz w:val="18"/>
      <w:szCs w:val="18"/>
    </w:rPr>
  </w:style>
  <w:style w:type="paragraph" w:styleId="17">
    <w:name w:val="Body Text Indent 2"/>
    <w:basedOn w:val="0"/>
    <w:pPr>
      <w:spacing w:after="120" w:line="480" w:lineRule="auto"/>
      <w:ind w:leftChars="200" w:left="200"/>
    </w:pPr>
  </w:style>
  <w:style w:type="paragraph" w:customStyle="1" w:styleId="18">
    <w:name w:val="样式 12 10 磅"/>
    <w:pPr>
      <w:widowControl w:val="0"/>
      <w:jc w:val="both"/>
    </w:pPr>
    <w:rPr>
      <w:rFonts w:ascii="等线" w:eastAsia="等线" w:cs="Arial" w:hAnsi="Times New Roman"/>
      <w:kern w:val="2"/>
      <w:sz w:val="21"/>
      <w:szCs w:val="22"/>
      <w:lang w:val="en-US" w:eastAsia="zh-CN" w:bidi="ar-SA"/>
    </w:rPr>
  </w:style>
  <w:style w:type="paragraph" w:customStyle="1" w:styleId="19">
    <w:name w:val="样式 20 10 磅"/>
    <w:pPr>
      <w:widowControl w:val="0"/>
      <w:jc w:val="both"/>
    </w:pPr>
    <w:rPr>
      <w:rFonts w:ascii="等线" w:eastAsia="等线" w:cs="Arial" w:hAnsi="Times New Roman"/>
      <w:kern w:val="2"/>
      <w:sz w:val="21"/>
      <w:szCs w:val="22"/>
      <w:lang w:val="en-US" w:eastAsia="zh-CN" w:bidi="ar-SA"/>
    </w:rPr>
  </w:style>
  <w:style w:type="paragraph" w:customStyle="1" w:styleId="20">
    <w:name w:val="样式 4 小三"/>
    <w:pPr>
      <w:widowControl w:val="0"/>
      <w:spacing w:line="394" w:lineRule="auto"/>
      <w:ind w:firstLine="400"/>
    </w:pPr>
    <w:rPr>
      <w:rFonts w:ascii="宋体" w:eastAsia="宋体" w:cs="Times New Roman" w:hAnsi="Times New Roman"/>
      <w:color w:val="000000"/>
      <w:kern w:val="0"/>
      <w:sz w:val="30"/>
      <w:szCs w:val="24"/>
      <w:lang w:val="zh-CN" w:eastAsia="zh-CN" w:bidi="ar-SA"/>
    </w:rPr>
  </w:style>
  <w:style w:type="paragraph" w:customStyle="1" w:styleId="21">
    <w:name w:val="样式 22 10 磅"/>
    <w:pPr>
      <w:widowControl w:val="0"/>
      <w:jc w:val="both"/>
    </w:pPr>
    <w:rPr>
      <w:rFonts w:ascii="等线" w:eastAsia="等线" w:cs="Arial" w:hAnsi="Times New Roman"/>
      <w:kern w:val="2"/>
      <w:sz w:val="21"/>
      <w:szCs w:val="22"/>
      <w:lang w:val="en-US" w:eastAsia="zh-CN" w:bidi="ar-SA"/>
    </w:rPr>
  </w:style>
  <w:style w:type="paragraph" w:customStyle="1" w:styleId="22">
    <w:name w:val="样式 23 10 磅"/>
    <w:pPr>
      <w:widowControl w:val="0"/>
      <w:jc w:val="both"/>
    </w:pPr>
    <w:rPr>
      <w:rFonts w:ascii="等线" w:eastAsia="等线" w:cs="Arial" w:hAnsi="Times New Roman"/>
      <w:kern w:val="2"/>
      <w:sz w:val="21"/>
      <w:szCs w:val="22"/>
      <w:lang w:val="en-US" w:eastAsia="zh-CN" w:bidi="ar-SA"/>
    </w:rPr>
  </w:style>
  <w:style w:type="paragraph" w:customStyle="1" w:styleId="23">
    <w:name w:val="样式 26 10 磅"/>
    <w:pPr>
      <w:widowControl w:val="0"/>
      <w:jc w:val="both"/>
    </w:pPr>
    <w:rPr>
      <w:rFonts w:ascii="等线" w:eastAsia="等线" w:cs="Arial" w:hAnsi="Times New Roman"/>
      <w:kern w:val="2"/>
      <w:sz w:val="21"/>
      <w:szCs w:val="22"/>
      <w:lang w:val="en-US" w:eastAsia="zh-CN" w:bidi="ar-SA"/>
    </w:rPr>
  </w:style>
  <w:style w:type="paragraph" w:customStyle="1" w:styleId="24">
    <w:name w:val="样式 29 10 磅"/>
    <w:pPr>
      <w:widowControl w:val="0"/>
      <w:jc w:val="both"/>
    </w:pPr>
    <w:rPr>
      <w:rFonts w:ascii="等线" w:eastAsia="等线" w:cs="Arial" w:hAnsi="Times New Roman"/>
      <w:kern w:val="2"/>
      <w:sz w:val="21"/>
      <w:szCs w:val="22"/>
      <w:lang w:val="en-US" w:eastAsia="zh-CN" w:bidi="ar-SA"/>
    </w:rPr>
  </w:style>
  <w:style w:type="paragraph" w:customStyle="1" w:styleId="25">
    <w:name w:val="样式 32 10 磅"/>
    <w:pPr>
      <w:widowControl w:val="0"/>
      <w:jc w:val="both"/>
    </w:pPr>
    <w:rPr>
      <w:rFonts w:ascii="等线" w:eastAsia="等线" w:cs="Arial" w:hAnsi="Times New Roman"/>
      <w:kern w:val="2"/>
      <w:sz w:val="21"/>
      <w:szCs w:val="22"/>
      <w:lang w:val="en-US" w:eastAsia="zh-CN" w:bidi="ar-SA"/>
    </w:rPr>
  </w:style>
  <w:style w:type="paragraph" w:customStyle="1" w:styleId="26">
    <w:name w:val="样式 35 10 磅"/>
    <w:pPr>
      <w:widowControl w:val="0"/>
      <w:jc w:val="both"/>
    </w:pPr>
    <w:rPr>
      <w:rFonts w:ascii="等线" w:eastAsia="等线" w:cs="Arial" w:hAnsi="Times New Roman"/>
      <w:kern w:val="2"/>
      <w:sz w:val="21"/>
      <w:szCs w:val="22"/>
      <w:lang w:val="en-US" w:eastAsia="zh-CN" w:bidi="ar-SA"/>
    </w:rPr>
  </w:style>
  <w:style w:type="paragraph" w:customStyle="1" w:styleId="27">
    <w:name w:val="样式 36 10 磅"/>
    <w:pPr>
      <w:widowControl w:val="0"/>
      <w:jc w:val="both"/>
    </w:pPr>
    <w:rPr>
      <w:rFonts w:ascii="等线" w:eastAsia="等线" w:cs="Arial" w:hAnsi="Times New Roman"/>
      <w:kern w:val="2"/>
      <w:sz w:val="21"/>
      <w:szCs w:val="22"/>
      <w:lang w:val="en-US" w:eastAsia="zh-CN" w:bidi="ar-SA"/>
    </w:rPr>
  </w:style>
  <w:style w:type="paragraph" w:customStyle="1" w:styleId="28">
    <w:name w:val="样式 37 10 磅"/>
    <w:pPr>
      <w:widowControl w:val="0"/>
      <w:jc w:val="both"/>
    </w:pPr>
    <w:rPr>
      <w:rFonts w:ascii="等线" w:eastAsia="等线" w:cs="Arial" w:hAnsi="Times New Roman"/>
      <w:kern w:val="2"/>
      <w:sz w:val="21"/>
      <w:szCs w:val="22"/>
      <w:lang w:val="en-US" w:eastAsia="zh-CN" w:bidi="ar-SA"/>
    </w:rPr>
  </w:style>
  <w:style w:type="paragraph" w:customStyle="1" w:styleId="29">
    <w:name w:val="样式 5 小三"/>
    <w:pPr>
      <w:widowControl w:val="0"/>
      <w:spacing w:line="394" w:lineRule="auto"/>
      <w:ind w:firstLine="400"/>
    </w:pPr>
    <w:rPr>
      <w:rFonts w:ascii="宋体" w:eastAsia="宋体" w:cs="Times New Roman" w:hAnsi="Times New Roman"/>
      <w:color w:val="000000"/>
      <w:kern w:val="0"/>
      <w:sz w:val="30"/>
      <w:szCs w:val="24"/>
      <w:lang w:val="zh-CN"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60FD41E4-5197-407A-A176-1EA7A0A2EC6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TotalTime>
  <Application>Yozo_Office27021597764231179</Application>
  <Pages>6</Pages>
  <Words>0</Words>
  <Characters>3195</Characters>
  <Lines>0</Lines>
  <Paragraphs>101</Paragraphs>
  <CharactersWithSpaces>4261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lichengjian</dc:creator>
  <cp:lastModifiedBy>信息编辑员</cp:lastModifiedBy>
  <cp:revision>3</cp:revision>
  <cp:lastPrinted>2026-06-24T02:58:00Z</cp:lastPrinted>
  <dcterms:created xsi:type="dcterms:W3CDTF">2026-07-28T06:05:00Z</dcterms:created>
  <dcterms:modified xsi:type="dcterms:W3CDTF">2026-07-29T01:17:45Z</dcterms:modified>
</cp:coreProperties>
</file>