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val="0"/>
        <w:spacing w:line="560" w:lineRule="exact"/>
        <w:jc w:val="center"/>
        <w:rPr>
          <w:rFonts w:ascii="Times New Roman" w:eastAsia="方正黑体_GBK" w:cs="Times New Roman" w:hAnsi="Times New Roman" w:hint="eastAsia"/>
          <w:sz w:val="44"/>
          <w:szCs w:val="44"/>
        </w:rPr>
      </w:pPr>
      <w:r>
        <w:rPr>
          <w:rFonts w:ascii="Times New Roman" w:eastAsia="方正黑体_GBK" w:cs="Times New Roman" w:hAnsi="Times New Roman"/>
          <w:sz w:val="44"/>
          <w:szCs w:val="44"/>
        </w:rPr>
        <w:t>中华人民共和国星沙海关</w:t>
      </w:r>
    </w:p>
    <w:p>
      <w:pPr>
        <w:snapToGrid w:val="0"/>
        <w:spacing w:line="560" w:lineRule="exact"/>
        <w:jc w:val="center"/>
        <w:rPr>
          <w:rFonts w:ascii="Times New Roman" w:eastAsia="方正黑体_GBK" w:cs="Times New Roman" w:hAnsi="Times New Roman" w:hint="eastAsia"/>
          <w:sz w:val="44"/>
          <w:szCs w:val="44"/>
        </w:rPr>
      </w:pPr>
      <w:r>
        <w:rPr>
          <w:rFonts w:ascii="Times New Roman" w:eastAsia="方正黑体_GBK" w:cs="Times New Roman" w:hAnsi="Times New Roman"/>
          <w:sz w:val="44"/>
          <w:szCs w:val="44"/>
        </w:rPr>
        <w:t>行政处罚决定书</w:t>
      </w:r>
    </w:p>
    <w:p>
      <w:pPr>
        <w:jc w:val="righ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星关缉违字〔2026〕10号</w:t>
      </w:r>
    </w:p>
    <w:p>
      <w:pPr>
        <w:snapToGrid w:val="0"/>
        <w:spacing w:line="480" w:lineRule="exact"/>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当事人：海口含彭商贸有限公司，法定代表人：谭敦菊，统一社会信用代码：</w:t>
      </w:r>
      <w:bookmarkStart w:id="0" w:name="_GoBack"/>
      <w:bookmarkEnd w:id="0"/>
      <w:r>
        <w:rPr>
          <w:rFonts w:ascii="Times New Roman" w:eastAsia="方正仿宋_GBK" w:cs="Times New Roman" w:hAnsi="Times New Roman"/>
          <w:sz w:val="32"/>
          <w:szCs w:val="32"/>
        </w:rPr>
        <w:t>91460000MAK7HWAM3P</w:t>
      </w:r>
    </w:p>
    <w:p>
      <w:pPr>
        <w:snapToGrid w:val="0"/>
        <w:spacing w:line="480" w:lineRule="exact"/>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海关编码：4601161EMM </w:t>
      </w:r>
    </w:p>
    <w:p>
      <w:pPr>
        <w:snapToGrid w:val="0"/>
        <w:spacing w:line="480" w:lineRule="exact"/>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地址：海南省海口市琼山区府城街道办南海大道9号明光国际大厦4112室 </w:t>
      </w:r>
    </w:p>
    <w:p>
      <w:pPr>
        <w:snapToGrid w:val="0"/>
        <w:spacing w:line="480" w:lineRule="exact"/>
        <w:jc w:val="right"/>
        <w:rPr>
          <w:rFonts w:ascii="Times New Roman" w:eastAsia="方正仿宋_GBK" w:cs="Times New Roman" w:hAnsi="Times New Roman" w:hint="eastAsia"/>
          <w:sz w:val="32"/>
          <w:szCs w:val="32"/>
        </w:rPr>
      </w:pPr>
    </w:p>
    <w:p>
      <w:pPr>
        <w:snapToGrid w:val="0"/>
        <w:spacing w:line="480" w:lineRule="exact"/>
        <w:ind w:firstLine="645"/>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2026年2月28日，当事人海口含彭商贸有限公司（以下简称“含彭公司”）委托湖南外运报关有限公司以一般贸易方式向我关申报出口一批货物，报关单号为490520260000010380，第1项商品申报品名为数控工具磨床 （3|0|刃磨金属工具用|数控|VMC|VMC1690|非中韩自贸协定 项下进口数控机床），申报数量为2台，实际为1套，货值 为人民币559000元，申报商品编号为8460310000，申报货 物其它项为此套设备的零配件。 </w:t>
      </w:r>
    </w:p>
    <w:p>
      <w:pPr>
        <w:snapToGrid w:val="0"/>
        <w:spacing w:line="480" w:lineRule="exact"/>
        <w:ind w:firstLine="645"/>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经调查，含彭公司将1套数控工具磨床申报为2台的原因系出厂时为了货物包装运输安全，将主机与配套配件机械手拆分包装，但工作人员在制单过程中产生疏忽，将数量填报为2台，并无错报的主观故意。 </w:t>
      </w:r>
    </w:p>
    <w:p>
      <w:pPr>
        <w:snapToGrid w:val="0"/>
        <w:spacing w:line="480" w:lineRule="exact"/>
        <w:ind w:firstLineChars="200" w:firstLine="640"/>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以上事实有询问笔录、星沙海关移交线索材料、海口含彭商贸有限公司《情况说明》、中国机床工具工业协会 出具的说明及你来检检测认证（惠州）有限公司出具的《检测报告》等资料、东莞市千岛机械制造有限公司营业 执照、情况说明、产品《使用说明书》、《设备供货协议》、《代理出口协议》、东莞市千岛机械制造有限公司 数控工具磨床现场照片等证据材料为证。 </w:t>
      </w:r>
    </w:p>
    <w:p>
      <w:pPr>
        <w:snapToGrid w:val="0"/>
        <w:spacing w:line="480" w:lineRule="exact"/>
        <w:ind w:firstLineChars="200" w:firstLine="640"/>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我关认为，含彭公司在向我关申报出口货物数量时，将实际是1套型号为“VMC1690”的数控工具磨床商品申报为2台，该行为构成《中华人民共和国海关行政处罚实施条例》（以下简称《实施条例》）第十五条第一项之申报不实影响海关统计准确性的违规行为，根据《实施条例》第十五条第一项之规定，决定对含彭公司作出如下行政处罚： </w:t>
      </w:r>
    </w:p>
    <w:p>
      <w:pPr>
        <w:snapToGrid w:val="0"/>
        <w:spacing w:line="480" w:lineRule="exact"/>
        <w:ind w:firstLineChars="200" w:firstLine="640"/>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科处罚款人民币1000元整。 </w:t>
      </w:r>
    </w:p>
    <w:p>
      <w:pPr>
        <w:snapToGrid w:val="0"/>
        <w:spacing w:line="480" w:lineRule="exact"/>
        <w:ind w:firstLineChars="200" w:firstLine="640"/>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当事人应当自收到本决定书之日起十五日内，依照 《中华人民共和国行政处罚法》第六十六条、第六十七条之规定，向海关罚款缴纳帐户兴业银行长沙分行缴纳罚款。 </w:t>
      </w:r>
    </w:p>
    <w:p>
      <w:pPr>
        <w:snapToGrid w:val="0"/>
        <w:spacing w:line="480" w:lineRule="exact"/>
        <w:ind w:firstLineChars="200" w:firstLine="640"/>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 xml:space="preserve">当事人不服本处罚决定的，依照《中华人民共和国行政复议法》第二十条、第二十七条、《中华人民共和国行政诉讼法》第四十六条之规定，可自收到本决定书之日起 六十日内向长沙海关申请行政复议，或者自收到本决定书之日起六个月内，直接向长沙市中级人民法院提起诉讼。 </w:t>
      </w:r>
    </w:p>
    <w:p>
      <w:pPr>
        <w:snapToGrid w:val="0"/>
        <w:spacing w:line="480" w:lineRule="exact"/>
        <w:ind w:firstLineChars="200" w:firstLine="640"/>
        <w:jc w:val="left"/>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依照《中华人民共和国行政处罚法》第七十二条、《中华人民共和国海关法》第九十三条之规定，当事人到期不缴纳罚款的，每日可以按罚款数额的百分之三加处罚款，加处罚款的数额不超出罚款数额；当事人逾期不履行处罚决定又不申请复议或者向人民法院提起诉讼的，海关可以将扣留的货物、物品、运输工具依法变价抵缴，或者以当事人提供的保证金抵缴；也可以采取法律规定的其他行政强制执行方式或者申请人民法院强制执行。</w:t>
      </w:r>
    </w:p>
    <w:p>
      <w:pPr>
        <w:snapToGrid w:val="0"/>
        <w:spacing w:line="480" w:lineRule="exact"/>
        <w:jc w:val="right"/>
        <w:rPr>
          <w:rFonts w:ascii="Times New Roman" w:eastAsia="方正仿宋_GBK" w:cs="Times New Roman" w:hAnsi="Times New Roman" w:hint="eastAsia"/>
          <w:sz w:val="32"/>
          <w:szCs w:val="32"/>
        </w:rPr>
      </w:pPr>
    </w:p>
    <w:p>
      <w:pPr>
        <w:snapToGrid w:val="0"/>
        <w:spacing w:line="480" w:lineRule="exact"/>
        <w:jc w:val="right"/>
        <w:rPr>
          <w:rFonts w:ascii="Times New Roman" w:eastAsia="方正仿宋_GBK" w:cs="Times New Roman" w:hAnsi="Times New Roman" w:hint="eastAsia"/>
          <w:sz w:val="32"/>
          <w:szCs w:val="32"/>
        </w:rPr>
      </w:pPr>
    </w:p>
    <w:p>
      <w:pPr>
        <w:snapToGrid w:val="0"/>
        <w:spacing w:line="480" w:lineRule="exact"/>
        <w:jc w:val="right"/>
        <w:rPr>
          <w:rFonts w:ascii="Times New Roman" w:eastAsia="方正仿宋_GBK" w:cs="Times New Roman" w:hAnsi="Times New Roman" w:hint="eastAsia"/>
          <w:sz w:val="32"/>
          <w:szCs w:val="32"/>
        </w:rPr>
      </w:pPr>
    </w:p>
    <w:p>
      <w:pPr>
        <w:snapToGrid w:val="0"/>
        <w:spacing w:line="480" w:lineRule="exact"/>
        <w:jc w:val="right"/>
        <w:rPr>
          <w:rFonts w:ascii="Times New Roman" w:eastAsia="方正仿宋_GBK" w:cs="Times New Roman" w:hAnsi="Times New Roman" w:hint="eastAsia"/>
          <w:sz w:val="32"/>
          <w:szCs w:val="32"/>
        </w:rPr>
      </w:pPr>
      <w:r>
        <w:rPr>
          <w:rFonts w:ascii="Times New Roman" w:eastAsia="方正仿宋_GBK" w:hAnsi="Times New Roman" w:hint="eastAsia"/>
          <w:sz w:val="32"/>
        </w:rPr>
        <w:t>（关印）</w:t>
      </w:r>
    </w:p>
    <w:p>
      <w:pPr>
        <w:snapToGrid w:val="0"/>
        <w:spacing w:line="480" w:lineRule="exact"/>
        <w:jc w:val="right"/>
        <w:rPr>
          <w:rFonts w:ascii="Times New Roman" w:eastAsia="方正仿宋_GBK" w:cs="Times New Roman" w:hAnsi="Times New Roman"/>
          <w:sz w:val="32"/>
          <w:szCs w:val="32"/>
        </w:rPr>
      </w:pPr>
      <w:r>
        <w:rPr>
          <w:rFonts w:ascii="Times New Roman" w:eastAsia="方正仿宋_GBK" w:cs="Times New Roman" w:hAnsi="Times New Roman"/>
          <w:sz w:val="32"/>
          <w:szCs w:val="32"/>
        </w:rPr>
        <w:t>2026年07月02日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2A87" w:usb1="00000000" w:usb2="00000000" w:usb3="00000000" w:csb0="000001FF"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Application>
  <Pages>2</Pages>
  <Words>1076</Words>
  <Characters>1175</Characters>
  <Lines>56</Lines>
  <Paragraphs>16</Paragraphs>
  <CharactersWithSpaces>1193</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肖湘</dc:creator>
  <cp:lastModifiedBy>信息编辑员</cp:lastModifiedBy>
  <cp:revision>3</cp:revision>
  <dcterms:created xsi:type="dcterms:W3CDTF">2026-07-03T07:09:00Z</dcterms:created>
  <dcterms:modified xsi:type="dcterms:W3CDTF">2026-07-03T08:56:29Z</dcterms:modified>
</cp:coreProperties>
</file>