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napToGrid w:val="0"/>
        <w:spacing w:line="540" w:lineRule="exact"/>
        <w:jc w:val="center"/>
        <w:rPr>
          <w:rFonts w:ascii="方正小标宋_GBK" w:eastAsia="方正小标宋_GBK"/>
          <w:color w:val="000000"/>
          <w:sz w:val="44"/>
          <w:szCs w:val="44"/>
        </w:rPr>
      </w:pPr>
      <w:bookmarkStart w:id="0" w:name="_GoBack"/>
      <w:bookmarkEnd w:id="0"/>
      <w:r>
        <w:rPr>
          <w:rFonts w:ascii="方正小标宋_GBK" w:eastAsia="方正小标宋_GBK" w:hint="eastAsia"/>
          <w:color w:val="000000"/>
          <w:sz w:val="44"/>
          <w:szCs w:val="44"/>
        </w:rPr>
        <w:t>中华人民共和国韶山海关</w:t>
      </w:r>
    </w:p>
    <w:p>
      <w:pPr>
        <w:snapToGrid w:val="0"/>
        <w:spacing w:line="54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行政处罚决定书</w:t>
      </w:r>
    </w:p>
    <w:p>
      <w:pPr>
        <w:snapToGrid w:val="0"/>
        <w:spacing w:line="540" w:lineRule="exact"/>
        <w:jc w:val="center"/>
        <w:rPr>
          <w:rFonts w:ascii="方正小标宋_GBK" w:eastAsia="方正小标宋_GBK"/>
          <w:color w:val="000000"/>
          <w:sz w:val="44"/>
          <w:szCs w:val="44"/>
        </w:rPr>
      </w:pPr>
    </w:p>
    <w:p>
      <w:pPr>
        <w:snapToGrid w:val="0"/>
        <w:spacing w:line="580" w:lineRule="exact"/>
        <w:jc w:val="right"/>
        <w:rPr>
          <w:rFonts w:ascii="Times New Roman" w:eastAsia="方正仿宋_GBK" w:hAnsi="Times New Roman"/>
          <w:color w:val="000000"/>
          <w:sz w:val="32"/>
          <w:szCs w:val="32"/>
        </w:rPr>
      </w:pPr>
      <w:r>
        <w:rPr>
          <w:rFonts w:eastAsia="方正仿宋简体"/>
          <w:color w:val="000000"/>
          <w:sz w:val="32"/>
        </w:rPr>
        <w:t xml:space="preserve">                          </w:t>
      </w:r>
      <w:r>
        <w:rPr>
          <w:rFonts w:ascii="Times New Roman" w:eastAsia="方正仿宋_GBK" w:hAnsi="Times New Roman"/>
          <w:color w:val="000000"/>
          <w:sz w:val="32"/>
          <w:szCs w:val="32"/>
        </w:rPr>
        <w:t>韶关罚决字〔2025〕2号</w:t>
      </w:r>
    </w:p>
    <w:p>
      <w:pPr>
        <w:snapToGrid w:val="0"/>
        <w:spacing w:line="58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当事人：湘潭新阳光农化有限公司，法定代表人：胡曙霞，统一社会信用代码：91430300MA4L9TE35D</w:t>
      </w:r>
    </w:p>
    <w:p>
      <w:pPr>
        <w:snapToGrid w:val="0"/>
        <w:spacing w:line="58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地 址：湖南省湘潭市高新区芙蓉路40号帝景国际综合楼</w:t>
      </w:r>
    </w:p>
    <w:p>
      <w:pPr>
        <w:snapToGrid w:val="0"/>
        <w:spacing w:line="58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开心阁二区9单元220910号</w:t>
      </w:r>
    </w:p>
    <w:p>
      <w:pPr>
        <w:snapToGrid w:val="0"/>
        <w:spacing w:line="580" w:lineRule="exact"/>
        <w:ind w:firstLine="634"/>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经我关调查，当事人有以下违法行为：</w:t>
      </w:r>
    </w:p>
    <w:p>
      <w:pPr>
        <w:snapToGrid w:val="0"/>
        <w:spacing w:line="580" w:lineRule="exact"/>
        <w:ind w:firstLine="634"/>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2025年4月1日查发当事人2023年5月7日以一般贸易方式申报出口水解海藻提取物2000千克，申报商品编号3824999999（无检验检疫监管条件），经查，以上商品应归入商品编号3105909000（检验检疫类别为M/N），当事人擅自出口未报检的属于法定检验的出口商品，涉及货值52717元人民币，报关单编号222920230001424967，违反《中华人民共和国进出口商品检验法》第十五条和《中华人民共和国进出口商品检验法实施条例》第二十四条第一款之规定。</w:t>
      </w:r>
    </w:p>
    <w:p>
      <w:pPr>
        <w:snapToGrid w:val="0"/>
        <w:spacing w:line="58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 xml:space="preserve">    以上行为有企业情况说明、报关单及随附资料、营业执照复印件、法定代表人身份证复印件等证据为证。</w:t>
      </w:r>
    </w:p>
    <w:p>
      <w:pPr>
        <w:snapToGrid w:val="0"/>
        <w:spacing w:line="58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依照《中华人民共和国海关办理行政处罚案件程序规定》第二十九条之规定，决定对当事人立案调查。当事人擅自出口未报检的属于法定检验的出口商品，积极配合海关查处违法行为缴纳足额保证金且认错认罚，依照《海关</w:t>
      </w:r>
      <w:r>
        <w:rPr>
          <w:rFonts w:ascii="Times New Roman" w:eastAsia="方正仿宋_GBK" w:hAnsi="Times New Roman"/>
          <w:color w:val="000000"/>
          <w:sz w:val="32"/>
          <w:szCs w:val="32"/>
        </w:rPr>
        <w:t>总署关于修订〈中华人民共和国海关行政处罚裁量基准（二）〉的公告》（海关总署公告2025年第21号）第九条第二项之规定，综合考虑本案违法行为的事实、性质、情节以及社会危害程度，当事人的违法行为具有从轻处罚情节。依照《中华人民共和国进出口商品检验法》第三十二条、《中华人民共和国进出口商品检验法实施条例》第四十三条之规定，并按照《海关总署关于修订〈中华人民共和国海关行政处罚裁量基准（二）〉的公告》（海关总署公告2025年第21号）第九条第二项及其附件3《海关检验检疫行政处罚常见案件裁量基准》第45项裁量，决定对当事人作出如下行政处罚：</w:t>
      </w:r>
    </w:p>
    <w:p>
      <w:pPr>
        <w:snapToGrid w:val="0"/>
        <w:spacing w:line="580" w:lineRule="exact"/>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 xml:space="preserve">    处罚款人民币0.37万元。</w:t>
      </w:r>
    </w:p>
    <w:p>
      <w:pPr>
        <w:snapToGrid w:val="0"/>
        <w:spacing w:line="58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当事人应当自本决定书送达之日起十五日内，依照《中华人民共和国行政处罚法》第六十六条、第六十七条、第六十九条之规定，履行上述处罚决定。</w:t>
      </w:r>
    </w:p>
    <w:p>
      <w:pPr>
        <w:snapToGrid w:val="0"/>
        <w:spacing w:line="580" w:lineRule="exact"/>
        <w:ind w:firstLineChars="200" w:firstLine="640"/>
        <w:rPr>
          <w:rFonts w:ascii="Times New Roman" w:eastAsia="方正仿宋_GBK" w:hAnsi="Times New Roman" w:hint="eastAsia"/>
          <w:color w:val="000000"/>
          <w:sz w:val="32"/>
          <w:szCs w:val="32"/>
        </w:rPr>
      </w:pPr>
      <w:r>
        <w:rPr>
          <w:rFonts w:ascii="Times New Roman" w:eastAsia="方正仿宋_GBK" w:hAnsi="Times New Roman" w:hint="eastAsia"/>
          <w:color w:val="000000"/>
          <w:sz w:val="32"/>
          <w:szCs w:val="32"/>
        </w:rPr>
        <w:t>当事人不服本处罚决定的，依照《中华人民共和国行政复议法》第十一条、第二十条、第二十七条、《中华人民共和国行政诉讼法》第四十六条之规定，可自收到本决定书之日起六十日内向中华人民共和国长沙海关申请行政复议，或者自收到本决定书之日起六个月内，直接向湘潭市中级人民法院提起诉讼。</w:t>
      </w:r>
    </w:p>
    <w:p>
      <w:pPr>
        <w:snapToGrid w:val="0"/>
        <w:spacing w:line="58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依照《中华人民共和国行政处罚法》第七十二条、《中华人民共和国海关办理行政处罚案件程序规定》第一百零九条之规定，当事人到期不缴纳罚款的，每日可以按</w:t>
      </w:r>
      <w:r>
        <w:rPr>
          <w:rFonts w:ascii="Times New Roman" w:eastAsia="方正仿宋_GBK" w:hAnsi="Times New Roman"/>
          <w:color w:val="000000"/>
          <w:sz w:val="32"/>
          <w:szCs w:val="32"/>
        </w:rPr>
        <w:t>罚款数额的百分之三加处罚款，加处罚款的数额不超出罚款数额；当事人逾期不履行处罚决定又不申请复议或者向人民法院提起诉讼的，海关可以将扣留的货物、物品、运输工具依法变价抵缴，或者以当事人提供的担保抵缴；也可以采取法律规定的其他行政强制执行方式或者申请人民法院强制执行。</w:t>
      </w:r>
    </w:p>
    <w:p>
      <w:pPr>
        <w:snapToGrid w:val="0"/>
        <w:spacing w:line="580" w:lineRule="exact"/>
        <w:ind w:firstLineChars="200" w:firstLine="640"/>
        <w:rPr>
          <w:rFonts w:ascii="Times New Roman" w:eastAsia="方正仿宋_GBK" w:hAnsi="Times New Roman" w:hint="eastAsia"/>
          <w:color w:val="000000"/>
          <w:sz w:val="32"/>
          <w:szCs w:val="32"/>
        </w:rPr>
      </w:pPr>
    </w:p>
    <w:p>
      <w:pPr>
        <w:snapToGrid w:val="0"/>
        <w:spacing w:line="580" w:lineRule="exact"/>
        <w:ind w:firstLineChars="100" w:firstLine="320"/>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 xml:space="preserve">  </w:t>
      </w:r>
    </w:p>
    <w:p>
      <w:pPr>
        <w:snapToGrid w:val="0"/>
        <w:spacing w:line="540" w:lineRule="exact"/>
        <w:jc w:val="right"/>
        <w:rPr>
          <w:rFonts w:ascii="方正仿宋_GBK" w:eastAsia="方正仿宋_GBK"/>
          <w:color w:val="000000"/>
          <w:sz w:val="32"/>
        </w:rPr>
      </w:pPr>
    </w:p>
    <w:p>
      <w:pPr>
        <w:snapToGrid w:val="0"/>
        <w:spacing w:line="540" w:lineRule="exact"/>
        <w:jc w:val="right"/>
        <w:rPr>
          <w:rFonts w:ascii="Times New Roman" w:eastAsia="方正仿宋_GBK" w:hAnsi="Times New Roman"/>
          <w:color w:val="000000"/>
          <w:sz w:val="32"/>
        </w:rPr>
      </w:pPr>
      <w:r>
        <w:rPr>
          <w:rFonts w:ascii="方正仿宋_GBK" w:eastAsia="方正仿宋_GBK" w:hint="eastAsia"/>
          <w:color w:val="000000"/>
          <w:sz w:val="32"/>
        </w:rPr>
        <w:t xml:space="preserve"> </w:t>
      </w:r>
      <w:r>
        <w:rPr>
          <w:rFonts w:ascii="Times New Roman" w:eastAsia="方正仿宋_GBK" w:hAnsi="Times New Roman" w:hint="eastAsia"/>
          <w:color w:val="000000"/>
          <w:sz w:val="32"/>
        </w:rPr>
        <w:t>202</w:t>
      </w:r>
      <w:r>
        <w:rPr>
          <w:rFonts w:ascii="Times New Roman" w:eastAsia="方正仿宋_GBK" w:hAnsi="Times New Roman"/>
          <w:color w:val="000000"/>
          <w:sz w:val="32"/>
        </w:rPr>
        <w:t>5</w:t>
      </w:r>
      <w:r>
        <w:rPr>
          <w:rFonts w:ascii="Times New Roman" w:eastAsia="方正仿宋_GBK" w:hAnsi="Times New Roman" w:hint="eastAsia"/>
          <w:color w:val="000000"/>
          <w:sz w:val="32"/>
        </w:rPr>
        <w:t>年</w:t>
      </w:r>
      <w:r>
        <w:rPr>
          <w:rFonts w:ascii="Times New Roman" w:eastAsia="方正仿宋_GBK" w:hAnsi="Times New Roman"/>
          <w:color w:val="000000"/>
          <w:sz w:val="32"/>
        </w:rPr>
        <w:t>11</w:t>
      </w:r>
      <w:r>
        <w:rPr>
          <w:rFonts w:ascii="Times New Roman" w:eastAsia="方正仿宋_GBK" w:hAnsi="Times New Roman" w:hint="eastAsia"/>
          <w:color w:val="000000"/>
          <w:sz w:val="32"/>
        </w:rPr>
        <w:t>月</w:t>
      </w:r>
      <w:r>
        <w:rPr>
          <w:rFonts w:ascii="Times New Roman" w:eastAsia="方正仿宋_GBK" w:hAnsi="Times New Roman"/>
          <w:color w:val="000000"/>
          <w:sz w:val="32"/>
        </w:rPr>
        <w:t>13</w:t>
      </w:r>
      <w:r>
        <w:rPr>
          <w:rFonts w:ascii="Times New Roman" w:eastAsia="方正仿宋_GBK" w:hAnsi="Times New Roman" w:hint="eastAsia"/>
          <w:color w:val="000000"/>
          <w:sz w:val="32"/>
        </w:rPr>
        <w:t>日</w:t>
      </w:r>
      <w:r>
        <w:rPr>
          <w:rFonts w:ascii="Times New Roman" w:eastAsia="方正仿宋_GBK" w:hAnsi="Times New Roman"/>
          <w:color w:val="000000"/>
          <w:sz w:val="32"/>
        </w:rPr>
        <w:tab/>
      </w:r>
    </w:p>
    <w:sectPr>
      <w:footerReference w:type="default" r:id="rId2"/>
      <w:pgSz w:w="11907" w:h="16840"/>
      <w:pgMar w:top="1440" w:right="1928" w:bottom="851" w:left="1928" w:header="851" w:footer="198"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楷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简体">
    <w:altName w:val="Arial Unicode MS"/>
    <w:panose1 w:val="00000000000000000000"/>
    <w:charset w:val="86"/>
    <w:family w:val="auto"/>
    <w:pitch w:val="variable"/>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Unicode MS"/>
    <w:panose1 w:val="00000000000000000000"/>
    <w:charset w:val="00"/>
    <w:family w:val="swiss"/>
    <w:pitch w:val="variable"/>
    <w:sig w:usb0="00000000"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rPr>
        <w:rFonts w:ascii="方正楷体_GBK" w:eastAsia="方正楷体_GBK"/>
        <w:sz w:val="28"/>
        <w:szCs w:val="28"/>
      </w:rPr>
    </w:pPr>
    <w:r>
      <w:rPr>
        <w:sz w:val="28"/>
        <w:szCs w:val="28"/>
      </w:rPr>
      <w:tab/>
    </w:r>
    <w:r>
      <w:rPr>
        <w:rFonts w:ascii="方正楷体_GBK" w:eastAsia="方正楷体_GBK" w:hint="eastAsia"/>
        <w:sz w:val="28"/>
        <w:szCs w:val="28"/>
      </w:rPr>
      <w:t xml:space="preserve">第  </w:t>
    </w:r>
    <w:r>
      <w:rPr>
        <w:rFonts w:ascii="方正楷体_GBK" w:eastAsia="方正楷体_GBK" w:hint="eastAsia"/>
        <w:sz w:val="28"/>
        <w:szCs w:val="28"/>
      </w:rPr>
      <w:fldChar w:fldCharType="begin"/>
    </w:r>
    <w:r>
      <w:rPr>
        <w:rFonts w:ascii="方正楷体_GBK" w:eastAsia="方正楷体_GBK"/>
        <w:sz w:val="28"/>
        <w:szCs w:val="28"/>
      </w:rPr>
      <w:instrText xml:space="preserve"> </w:instrText>
    </w:r>
    <w:r>
      <w:rPr>
        <w:rFonts w:ascii="方正楷体_GBK" w:eastAsia="方正楷体_GBK" w:hint="eastAsia"/>
        <w:sz w:val="28"/>
        <w:szCs w:val="28"/>
      </w:rPr>
      <w:instrText>PAGE  \* Arabic  \* MERGEFORMAT</w:instrText>
    </w:r>
    <w:r>
      <w:rPr>
        <w:rFonts w:ascii="方正楷体_GBK" w:eastAsia="方正楷体_GBK"/>
        <w:sz w:val="28"/>
        <w:szCs w:val="28"/>
      </w:rPr>
      <w:instrText xml:space="preserve"> </w:instrText>
    </w:r>
    <w:r>
      <w:rPr>
        <w:rFonts w:ascii="方正楷体_GBK" w:eastAsia="方正楷体_GBK"/>
        <w:sz w:val="28"/>
        <w:szCs w:val="28"/>
      </w:rPr>
      <w:fldChar w:fldCharType="separate"/>
    </w:r>
    <w:r>
      <w:rPr>
        <w:rFonts w:ascii="方正楷体_GBK" w:eastAsia="方正楷体_GBK"/>
        <w:sz w:val="28"/>
        <w:szCs w:val="28"/>
      </w:rPr>
      <w:t>1</w:t>
    </w:r>
    <w:r>
      <w:rPr>
        <w:rFonts w:ascii="方正楷体_GBK" w:eastAsia="方正楷体_GBK"/>
        <w:sz w:val="28"/>
        <w:szCs w:val="28"/>
      </w:rPr>
      <w:fldChar w:fldCharType="end"/>
    </w:r>
    <w:r>
      <w:rPr>
        <w:rFonts w:ascii="方正楷体_GBK" w:eastAsia="方正楷体_GBK" w:hint="eastAsia"/>
        <w:sz w:val="28"/>
        <w:szCs w:val="28"/>
      </w:rPr>
      <w:t xml:space="preserve">  页，共  </w:t>
    </w:r>
    <w:r>
      <w:rPr>
        <w:rFonts w:ascii="方正楷体_GBK" w:eastAsia="方正楷体_GBK"/>
        <w:sz w:val="28"/>
        <w:szCs w:val="28"/>
      </w:rPr>
      <w:t>3</w:t>
    </w:r>
    <w:r>
      <w:rPr>
        <w:rFonts w:ascii="方正楷体_GBK" w:eastAsia="方正楷体_GBK" w:hint="eastAsia"/>
        <w:sz w:val="28"/>
        <w:szCs w:val="28"/>
      </w:rPr>
      <w:t xml:space="preserve">  页</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YmQxOGEyZTljNGU2MGM4ZWJjYTk2YmIwMjdmZGJhOW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4">
    <w:name w:val="heading 4"/>
    <w:basedOn w:val="0"/>
    <w:next w:val="0"/>
    <w:pPr>
      <w:keepNext/>
      <w:keepLines/>
      <w:widowControl w:val="0"/>
      <w:spacing w:before="280" w:after="290" w:line="372" w:lineRule="auto"/>
      <w:outlineLvl w:val="3"/>
    </w:pPr>
    <w:rPr>
      <w:rFonts w:ascii="Calibri Light" w:hAnsi="Calibri Light"/>
      <w:b/>
      <w:sz w:val="30"/>
    </w:rPr>
  </w:style>
  <w:style w:type="character" w:default="1" w:styleId="10">
    <w:name w:val="Default Paragraph Font"/>
  </w:style>
  <w:style w:type="paragraph" w:styleId="15">
    <w:name w:val="Body Text Indent 2"/>
    <w:basedOn w:val="0"/>
    <w:pPr>
      <w:spacing w:after="120" w:line="480" w:lineRule="auto"/>
      <w:ind w:leftChars="200" w:left="200"/>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3</Pages>
  <Words>1119</Words>
  <Characters>1212</Characters>
  <Lines>58</Lines>
  <Paragraphs>15</Paragraphs>
  <CharactersWithSpaces>1251</CharactersWithSpaces>
  <Company>HG</Company>
</Properties>
</file>

<file path=docProps/core.xml><?xml version="1.0" encoding="utf-8"?>
<cp:coreProperties xmlns:cp="http://schemas.openxmlformats.org/package/2006/metadata/core-properties" xmlns:dc="http://purl.org/dc/elements/1.1/" xmlns:dcterms="http://purl.org/dc/terms/" xmlns:xsi="http://www.w3.org/2001/XMLSchema-instance">
  <dc:creator>你的骄傲</dc:creator>
  <cp:lastModifiedBy>杨炎</cp:lastModifiedBy>
  <cp:revision>4</cp:revision>
  <cp:lastPrinted>2025-04-10T07:46:00Z</cp:lastPrinted>
  <dcterms:created xsi:type="dcterms:W3CDTF">2025-06-20T01:22:00Z</dcterms:created>
  <dcterms:modified xsi:type="dcterms:W3CDTF">2025-11-20T02:14:01Z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2052-12.1.0.15990</vt:lpwstr>
  </property>
</Properties>
</file>