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中华人民共和国韶山海关</w:t>
      </w:r>
    </w:p>
    <w:p>
      <w:pPr>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行政处罚决定书</w:t>
      </w:r>
    </w:p>
    <w:p>
      <w:pPr>
        <w:snapToGrid w:val="0"/>
        <w:spacing w:line="560" w:lineRule="exact"/>
        <w:jc w:val="center"/>
        <w:rPr>
          <w:rFonts w:ascii="方正小标宋_GBK" w:eastAsia="方正小标宋_GBK"/>
          <w:color w:val="000000"/>
          <w:sz w:val="44"/>
          <w:szCs w:val="44"/>
        </w:rPr>
      </w:pPr>
    </w:p>
    <w:p>
      <w:pPr>
        <w:snapToGrid w:val="0"/>
        <w:spacing w:line="560" w:lineRule="exact"/>
        <w:jc w:val="right"/>
        <w:rPr>
          <w:rFonts w:ascii="Times New Roman" w:eastAsia="方正仿宋_GBK" w:hAnsi="Times New Roman"/>
          <w:color w:val="000000"/>
          <w:sz w:val="32"/>
          <w:szCs w:val="32"/>
        </w:rPr>
      </w:pPr>
      <w:r>
        <w:rPr>
          <w:rFonts w:eastAsia="方正仿宋简体"/>
          <w:color w:val="000000"/>
          <w:sz w:val="32"/>
        </w:rPr>
        <w:t xml:space="preserve">                          </w:t>
      </w:r>
      <w:r>
        <w:rPr>
          <w:rFonts w:ascii="Times New Roman" w:eastAsia="方正仿宋_GBK" w:hAnsi="Times New Roman"/>
          <w:color w:val="000000"/>
          <w:sz w:val="32"/>
          <w:szCs w:val="32"/>
        </w:rPr>
        <w:t>韶关罚决字〔2025〕1号</w:t>
      </w:r>
    </w:p>
    <w:p>
      <w:pPr>
        <w:snapToGrid w:val="0"/>
        <w:spacing w:line="56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当事人：湘潭新阳光贸易有限公司，法定代表人：胡曙霞，统一社会信用代码：91430300668551080F</w:t>
      </w:r>
    </w:p>
    <w:p>
      <w:pPr>
        <w:snapToGrid w:val="0"/>
        <w:spacing w:line="56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地 址：湖南省湘潭市高新区芙蓉路40号帝景国际综合楼</w:t>
      </w:r>
    </w:p>
    <w:p>
      <w:pPr>
        <w:snapToGrid w:val="0"/>
        <w:spacing w:line="56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开心阁二区9单元220907号</w:t>
      </w:r>
    </w:p>
    <w:p>
      <w:pPr>
        <w:snapToGrid w:val="0"/>
        <w:spacing w:line="560" w:lineRule="exact"/>
        <w:ind w:firstLine="634"/>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经我关调查，当事人有以下违法行为：</w:t>
      </w:r>
    </w:p>
    <w:p>
      <w:pPr>
        <w:snapToGrid w:val="0"/>
        <w:spacing w:line="560" w:lineRule="exact"/>
        <w:ind w:firstLine="634"/>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2025年4月1日查发当事人2023年6月23日以一般贸易方式申报出口水解海藻提取物10000千克、氨基酸粉30000千克，报关单编号222920230002027120，存在以下违法行为：</w:t>
      </w:r>
    </w:p>
    <w:p>
      <w:pPr>
        <w:snapToGrid w:val="0"/>
        <w:spacing w:line="560" w:lineRule="exact"/>
        <w:ind w:firstLine="634"/>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1.当事人出口水解海藻提取物10000千克、氨基酸粉30000千克，申报商品编号3824999999（无检验检疫监管条件），经查，以上2种商品应归入商品编号3105909000（检验检疫类别为M/N），当事人擅自出口未报检的属于法定检验的出口商品，涉及货值94.65万元。当事人上述行为违反《中华人民共和国进出口商品检验法》第十五条和《中华人民共和国进出口商品检验法实施条例》第二十四条第一款之规定。</w:t>
      </w:r>
    </w:p>
    <w:p>
      <w:pPr>
        <w:snapToGrid w:val="0"/>
        <w:spacing w:line="560" w:lineRule="exact"/>
        <w:ind w:firstLine="634"/>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2.当事人出口氨基酸粉30000千克，申报规格型号氯化铵含量为12%，实际氯化铵含量为38%，涉及货值69.01万元。当事人上述行为违反《中华人民共和国海关法》第二</w:t>
      </w:r>
      <w:r>
        <w:rPr>
          <w:rFonts w:ascii="Times New Roman" w:eastAsia="方正仿宋_GBK" w:hAnsi="Times New Roman"/>
          <w:color w:val="000000"/>
          <w:sz w:val="32"/>
          <w:szCs w:val="32"/>
        </w:rPr>
        <w:t>十四条第一款之规定，影响海关监管秩序。</w:t>
      </w:r>
    </w:p>
    <w:p>
      <w:pPr>
        <w:snapToGrid w:val="0"/>
        <w:spacing w:line="56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 xml:space="preserve">    以上行为有企业情况说明、报关单及随附资料、营业执照复印件、法定代表人身份证复印件等证据为证。</w:t>
      </w:r>
    </w:p>
    <w:p>
      <w:pPr>
        <w:snapToGrid w:val="0"/>
        <w:spacing w:line="56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依照《中华人民共和国海关办理行政处罚案件程序规定》第二十九条之规定，决定对当事人立案调查。</w:t>
      </w:r>
    </w:p>
    <w:p>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擅自出口未报检的属于法定检验的出口商品，积极配合海关查处违法行为缴纳足额保证金且认错认罚，依照《海关总署关于修订〈中华人民共和国海关行政处罚裁量基准（二）〉的公告》（海关总署公告2025年第21号）第九条第二项之规定，综合考虑本案违法行为的事实、性质、情节以及社会危害程度，当事人的违法行为具有从轻处罚情节。依照《中华人民共和国进出口商品检验法》第三十二条、《中华人民共和国进出口商品检验法实施条例》第四十三条之规定，并按照《海关总署关于修订〈中华人民共和国海关行政处罚裁量基准（二）〉的公告》（海关总署公告2025年第21号）第九条第二项及其附件3《海关检验检疫行政处罚常见案件裁量基准》第45项裁量，决定对当事人作出如下行政处罚：处罚款人民币6.63万元。</w:t>
      </w:r>
    </w:p>
    <w:p>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规格型号申报不实影响海关监管秩序，积极配合海关查处违法行为缴纳足额保证金且认错认罚，依照《海关总署关于发布〈中华人民共和国海关行政处罚裁量基准（一）〉的公告》（海关总署公告2023年第182号）第九条第二项之规定，综合考虑本案违法行为的事实、性质、情节以及社会危害程度，当事人的违法行为具有从轻处罚情节。依照《中华人民共和国海关行政处罚实施条例》第十五条第二项之规定，并参考《海关总署关于发布〈中华人民共和国海关行政处罚裁量基准（一）〉的公告》（海关总署公告2023年第182号）附件3《海关简易程序和快速办理行政处罚案件裁量基准（一）》第2项裁量，决定对当事人作出如下行政处罚：处罚款人民币0.1万元。</w:t>
      </w:r>
    </w:p>
    <w:p>
      <w:pPr>
        <w:snapToGrid w:val="0"/>
        <w:spacing w:line="56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color w:val="000000"/>
          <w:sz w:val="32"/>
          <w:szCs w:val="32"/>
        </w:rPr>
        <w:t>综上，决定对当事人作出如下行政处罚：</w:t>
      </w:r>
    </w:p>
    <w:p>
      <w:pPr>
        <w:snapToGrid w:val="0"/>
        <w:spacing w:line="56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 xml:space="preserve">    合并处罚款人民币6.73万元。</w:t>
      </w:r>
    </w:p>
    <w:p>
      <w:pPr>
        <w:snapToGrid w:val="0"/>
        <w:spacing w:line="56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当事人应当自收到本决定书之日起十五日内，依照《中华人民共和国行政处罚法》第六十六条、第六十七条、第六十九条之规定，履行上述处罚决定。</w:t>
      </w:r>
    </w:p>
    <w:p>
      <w:pPr>
        <w:snapToGrid w:val="0"/>
        <w:spacing w:line="56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当事人不服本处罚决定的，依照《中华人民共和国行政复议法》第十一条、第二十条、第二十七条、《中华人民共和国行政诉讼法》第四十六条之规定，可自收到本决定书之日起六十日内向中华人民共和国长沙海关申请行政复议，或者自收到本决定书之日起六个月内，直接向湘潭市中级人民法院提起诉讼。</w:t>
      </w:r>
    </w:p>
    <w:p>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中华人民共和国行政处罚法》第七十二条、《中华人民共和国海关办理行政处罚案件程序规定》第一百零九条之规定，当事人到期不缴纳罚款的，每日可以按罚款数额的百分之三加处罚款，加处罚款的数额不超出罚款数额；当事人逾期不履行处罚决定又不申请复议或者向人民法院提起诉讼的，海关可以将扣留的货物、物品、运</w:t>
      </w:r>
      <w:r>
        <w:rPr>
          <w:rFonts w:ascii="Times New Roman" w:eastAsia="方正仿宋_GBK" w:hAnsi="Times New Roman"/>
          <w:color w:val="000000"/>
          <w:sz w:val="32"/>
          <w:szCs w:val="32"/>
        </w:rPr>
        <w:t>输工具依法变价抵缴，或者以当事人提供的担保抵缴；也可以采取法律规定的其他行政强制执行方式或者申请人民法院强制执行。</w:t>
      </w:r>
    </w:p>
    <w:p>
      <w:pPr>
        <w:snapToGrid w:val="0"/>
        <w:spacing w:line="560" w:lineRule="exact"/>
        <w:ind w:firstLineChars="200" w:firstLine="640"/>
        <w:rPr>
          <w:rFonts w:ascii="Times New Roman" w:eastAsia="方正仿宋_GBK" w:hAnsi="Times New Roman"/>
          <w:color w:val="000000"/>
          <w:sz w:val="32"/>
          <w:szCs w:val="32"/>
        </w:rPr>
      </w:pPr>
    </w:p>
    <w:p>
      <w:pPr>
        <w:snapToGrid w:val="0"/>
        <w:spacing w:line="560" w:lineRule="exact"/>
        <w:ind w:firstLineChars="200" w:firstLine="640"/>
        <w:rPr>
          <w:rFonts w:ascii="Times New Roman" w:eastAsia="方正仿宋_GBK" w:hAnsi="Times New Roman" w:hint="eastAsia"/>
          <w:color w:val="000000"/>
          <w:sz w:val="32"/>
          <w:szCs w:val="32"/>
        </w:rPr>
      </w:pPr>
    </w:p>
    <w:p>
      <w:pPr>
        <w:snapToGrid w:val="0"/>
        <w:spacing w:line="560" w:lineRule="exact"/>
        <w:ind w:firstLineChars="100" w:firstLine="32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w:t>
      </w:r>
    </w:p>
    <w:p>
      <w:pPr>
        <w:snapToGrid w:val="0"/>
        <w:spacing w:line="560" w:lineRule="exact"/>
        <w:jc w:val="right"/>
        <w:rPr>
          <w:rFonts w:ascii="方正仿宋_GBK" w:eastAsia="方正仿宋_GBK"/>
          <w:color w:val="000000"/>
          <w:sz w:val="32"/>
        </w:rPr>
      </w:pPr>
    </w:p>
    <w:p>
      <w:pPr>
        <w:snapToGrid w:val="0"/>
        <w:spacing w:line="560" w:lineRule="exact"/>
        <w:jc w:val="right"/>
        <w:rPr>
          <w:rFonts w:ascii="Times New Roman" w:eastAsia="方正仿宋_GBK" w:hAnsi="Times New Roman"/>
          <w:color w:val="000000"/>
          <w:sz w:val="32"/>
        </w:rPr>
      </w:pPr>
      <w:r>
        <w:rPr>
          <w:rFonts w:ascii="方正仿宋_GBK" w:eastAsia="方正仿宋_GBK" w:hint="eastAsia"/>
          <w:color w:val="000000"/>
          <w:sz w:val="32"/>
        </w:rPr>
        <w:t xml:space="preserve"> </w:t>
      </w:r>
      <w:r>
        <w:rPr>
          <w:rFonts w:ascii="Times New Roman" w:eastAsia="方正仿宋_GBK" w:hAnsi="Times New Roman" w:hint="eastAsia"/>
          <w:color w:val="000000"/>
          <w:sz w:val="32"/>
        </w:rPr>
        <w:t>202</w:t>
      </w:r>
      <w:r>
        <w:rPr>
          <w:rFonts w:ascii="Times New Roman" w:eastAsia="方正仿宋_GBK" w:hAnsi="Times New Roman"/>
          <w:color w:val="000000"/>
          <w:sz w:val="32"/>
        </w:rPr>
        <w:t>5</w:t>
      </w:r>
      <w:r>
        <w:rPr>
          <w:rFonts w:ascii="Times New Roman" w:eastAsia="方正仿宋_GBK" w:hAnsi="Times New Roman" w:hint="eastAsia"/>
          <w:color w:val="000000"/>
          <w:sz w:val="32"/>
        </w:rPr>
        <w:t>年</w:t>
      </w:r>
      <w:r>
        <w:rPr>
          <w:rFonts w:ascii="Times New Roman" w:eastAsia="方正仿宋_GBK" w:hAnsi="Times New Roman"/>
          <w:color w:val="000000"/>
          <w:sz w:val="32"/>
        </w:rPr>
        <w:t>11</w:t>
      </w:r>
      <w:r>
        <w:rPr>
          <w:rFonts w:ascii="Times New Roman" w:eastAsia="方正仿宋_GBK" w:hAnsi="Times New Roman" w:hint="eastAsia"/>
          <w:color w:val="000000"/>
          <w:sz w:val="32"/>
        </w:rPr>
        <w:t>月</w:t>
      </w:r>
      <w:r>
        <w:rPr>
          <w:rFonts w:ascii="Times New Roman" w:eastAsia="方正仿宋_GBK" w:hAnsi="Times New Roman"/>
          <w:color w:val="000000"/>
          <w:sz w:val="32"/>
        </w:rPr>
        <w:t>13</w:t>
      </w:r>
      <w:r>
        <w:rPr>
          <w:rFonts w:ascii="Times New Roman" w:eastAsia="方正仿宋_GBK" w:hAnsi="Times New Roman" w:hint="eastAsia"/>
          <w:color w:val="000000"/>
          <w:sz w:val="32"/>
        </w:rPr>
        <w:t>日</w:t>
      </w:r>
      <w:r>
        <w:rPr>
          <w:rFonts w:ascii="Times New Roman" w:eastAsia="方正仿宋_GBK" w:hAnsi="Times New Roman"/>
          <w:color w:val="000000"/>
          <w:sz w:val="32"/>
        </w:rPr>
        <w:tab/>
      </w:r>
    </w:p>
    <w:sectPr>
      <w:footerReference w:type="default" r:id="rId2"/>
      <w:pgSz w:w="11907" w:h="16840"/>
      <w:pgMar w:top="1440" w:right="1928" w:bottom="851" w:left="1928" w:header="851" w:footer="198"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楷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简体">
    <w:altName w:val="Arial Unicode MS"/>
    <w:panose1 w:val="00000000000000000000"/>
    <w:charset w:val="86"/>
    <w:family w:val="auto"/>
    <w:pitch w:val="variable"/>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Unicode MS"/>
    <w:panose1 w:val="00000000000000000000"/>
    <w:charset w:val="00"/>
    <w:family w:val="swiss"/>
    <w:pitch w:val="variable"/>
    <w:sig w:usb0="00000000"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rPr>
        <w:rFonts w:ascii="方正楷体_GBK" w:eastAsia="方正楷体_GBK"/>
        <w:sz w:val="28"/>
        <w:szCs w:val="28"/>
      </w:rPr>
    </w:pPr>
    <w:r>
      <w:rPr>
        <w:sz w:val="28"/>
        <w:szCs w:val="28"/>
      </w:rPr>
      <w:tab/>
    </w:r>
    <w:r>
      <w:rPr>
        <w:rFonts w:ascii="方正楷体_GBK" w:eastAsia="方正楷体_GBK" w:hint="eastAsia"/>
        <w:sz w:val="28"/>
        <w:szCs w:val="28"/>
      </w:rPr>
      <w:t xml:space="preserve">第  </w:t>
    </w:r>
    <w:r>
      <w:rPr>
        <w:rFonts w:ascii="方正楷体_GBK" w:eastAsia="方正楷体_GBK" w:hint="eastAsia"/>
        <w:sz w:val="28"/>
        <w:szCs w:val="28"/>
      </w:rPr>
      <w:fldChar w:fldCharType="begin"/>
    </w:r>
    <w:r>
      <w:rPr>
        <w:rFonts w:ascii="方正楷体_GBK" w:eastAsia="方正楷体_GBK"/>
        <w:sz w:val="28"/>
        <w:szCs w:val="28"/>
      </w:rPr>
      <w:instrText xml:space="preserve"> </w:instrText>
    </w:r>
    <w:r>
      <w:rPr>
        <w:rFonts w:ascii="方正楷体_GBK" w:eastAsia="方正楷体_GBK" w:hint="eastAsia"/>
        <w:sz w:val="28"/>
        <w:szCs w:val="28"/>
      </w:rPr>
      <w:instrText>PAGE  \* Arabic  \* MERGEFORMAT</w:instrText>
    </w:r>
    <w:r>
      <w:rPr>
        <w:rFonts w:ascii="方正楷体_GBK" w:eastAsia="方正楷体_GBK"/>
        <w:sz w:val="28"/>
        <w:szCs w:val="28"/>
      </w:rPr>
      <w:instrText xml:space="preserve"> </w:instrText>
    </w:r>
    <w:r>
      <w:rPr>
        <w:rFonts w:ascii="方正楷体_GBK" w:eastAsia="方正楷体_GBK"/>
        <w:sz w:val="28"/>
        <w:szCs w:val="28"/>
      </w:rPr>
      <w:fldChar w:fldCharType="separate"/>
    </w:r>
    <w:r>
      <w:rPr>
        <w:rFonts w:ascii="方正楷体_GBK" w:eastAsia="方正楷体_GBK"/>
        <w:sz w:val="28"/>
        <w:szCs w:val="28"/>
      </w:rPr>
      <w:t>1</w:t>
    </w:r>
    <w:r>
      <w:rPr>
        <w:rFonts w:ascii="方正楷体_GBK" w:eastAsia="方正楷体_GBK"/>
        <w:sz w:val="28"/>
        <w:szCs w:val="28"/>
      </w:rPr>
      <w:fldChar w:fldCharType="end"/>
    </w:r>
    <w:r>
      <w:rPr>
        <w:rFonts w:ascii="方正楷体_GBK" w:eastAsia="方正楷体_GBK" w:hint="eastAsia"/>
        <w:sz w:val="28"/>
        <w:szCs w:val="28"/>
      </w:rPr>
      <w:t xml:space="preserve">  页，共  </w:t>
    </w:r>
    <w:r>
      <w:rPr>
        <w:rFonts w:ascii="方正楷体_GBK" w:eastAsia="方正楷体_GBK"/>
        <w:sz w:val="28"/>
        <w:szCs w:val="28"/>
      </w:rPr>
      <w:t>4</w:t>
    </w:r>
    <w:r>
      <w:rPr>
        <w:rFonts w:ascii="方正楷体_GBK" w:eastAsia="方正楷体_GBK" w:hint="eastAsia"/>
        <w:sz w:val="28"/>
        <w:szCs w:val="28"/>
      </w:rPr>
      <w:t xml:space="preserve">  页</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mQxOGEyZTljNGU2MGM4ZWJjYTk2YmIwMjdmZGJhO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4">
    <w:name w:val="heading 4"/>
    <w:basedOn w:val="0"/>
    <w:next w:val="0"/>
    <w:pPr>
      <w:keepNext/>
      <w:keepLines/>
      <w:widowControl w:val="0"/>
      <w:spacing w:before="280" w:after="290" w:line="372" w:lineRule="auto"/>
      <w:outlineLvl w:val="3"/>
    </w:pPr>
    <w:rPr>
      <w:rFonts w:ascii="Calibri Light" w:hAnsi="Calibri Light"/>
      <w:b/>
      <w:sz w:val="30"/>
    </w:rPr>
  </w:style>
  <w:style w:type="character" w:default="1" w:styleId="10">
    <w:name w:val="Default Paragraph Font"/>
  </w:style>
  <w:style w:type="paragraph" w:styleId="15">
    <w:name w:val="Body Text Indent 2"/>
    <w:basedOn w:val="0"/>
    <w:pPr>
      <w:spacing w:after="120" w:line="480" w:lineRule="auto"/>
      <w:ind w:leftChars="200" w:left="200"/>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166</TotalTime>
  <Application>Yozo_Office</Application>
  <Pages>1</Pages>
  <Words>65</Words>
  <Characters>80</Characters>
  <Lines>4</Lines>
  <Paragraphs>1</Paragraphs>
  <CharactersWithSpaces>80</CharactersWithSpaces>
  <Company>HG</Company>
</Properties>
</file>

<file path=docProps/core.xml><?xml version="1.0" encoding="utf-8"?>
<cp:coreProperties xmlns:cp="http://schemas.openxmlformats.org/package/2006/metadata/core-properties" xmlns:dc="http://purl.org/dc/elements/1.1/" xmlns:dcterms="http://purl.org/dc/terms/" xmlns:xsi="http://www.w3.org/2001/XMLSchema-instance">
  <dc:creator>你的骄傲</dc:creator>
  <cp:lastModifiedBy>杨炎</cp:lastModifiedBy>
  <cp:revision>4</cp:revision>
  <cp:lastPrinted>2025-04-10T07:46:00Z</cp:lastPrinted>
  <dcterms:created xsi:type="dcterms:W3CDTF">2025-06-20T01:22:00Z</dcterms:created>
  <dcterms:modified xsi:type="dcterms:W3CDTF">2025-11-20T02:13:06Z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2052-12.1.0.15990</vt:lpwstr>
  </property>
</Properties>
</file>