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4D3B07">
      <w:pPr>
        <w:spacing w:line="560" w:lineRule="exact"/>
        <w:ind w:firstLine="660" w:firstLineChars="150"/>
        <w:jc w:val="center"/>
        <w:rPr>
          <w:rFonts w:eastAsia="方正小标宋_GBK"/>
          <w:sz w:val="44"/>
          <w:szCs w:val="44"/>
        </w:rPr>
      </w:pPr>
      <w:r>
        <w:rPr>
          <w:rFonts w:hint="eastAsia" w:eastAsia="方正小标宋_GBK"/>
          <w:sz w:val="44"/>
          <w:szCs w:val="44"/>
        </w:rPr>
        <w:t>“</w:t>
      </w:r>
      <w:r>
        <w:rPr>
          <w:rFonts w:eastAsia="方正小标宋_GBK"/>
          <w:sz w:val="44"/>
          <w:szCs w:val="44"/>
        </w:rPr>
        <w:t>特殊物品出入境卫生检疫审批</w:t>
      </w:r>
      <w:r>
        <w:rPr>
          <w:rFonts w:hint="eastAsia" w:eastAsia="方正小标宋_GBK"/>
          <w:sz w:val="44"/>
          <w:szCs w:val="44"/>
        </w:rPr>
        <w:t>”</w:t>
      </w:r>
      <w:r>
        <w:rPr>
          <w:rFonts w:eastAsia="方正小标宋_GBK"/>
          <w:sz w:val="44"/>
          <w:szCs w:val="44"/>
        </w:rPr>
        <w:t>行政审批事项服务指南</w:t>
      </w:r>
    </w:p>
    <w:p w14:paraId="203FB7EE">
      <w:pPr>
        <w:spacing w:line="560" w:lineRule="exact"/>
        <w:rPr>
          <w:rFonts w:eastAsia="方正仿宋_GBK"/>
          <w:szCs w:val="32"/>
        </w:rPr>
      </w:pPr>
    </w:p>
    <w:p w14:paraId="6279EA1D">
      <w:pPr>
        <w:spacing w:line="560" w:lineRule="exact"/>
        <w:ind w:firstLine="640" w:firstLineChars="200"/>
        <w:rPr>
          <w:rFonts w:eastAsia="方正仿宋_GBK"/>
          <w:szCs w:val="32"/>
        </w:rPr>
      </w:pPr>
      <w:r>
        <w:rPr>
          <w:rFonts w:eastAsia="方正黑体_GBK"/>
          <w:szCs w:val="32"/>
        </w:rPr>
        <w:t>一、事项名称：</w:t>
      </w:r>
      <w:r>
        <w:rPr>
          <w:rFonts w:eastAsia="方正仿宋_GBK"/>
          <w:szCs w:val="32"/>
        </w:rPr>
        <w:t>特殊物品出入境卫生检疫审批</w:t>
      </w:r>
    </w:p>
    <w:p w14:paraId="4BE19570">
      <w:pPr>
        <w:spacing w:line="560" w:lineRule="exact"/>
        <w:ind w:firstLine="640" w:firstLineChars="200"/>
        <w:rPr>
          <w:rFonts w:eastAsia="方正黑体_GBK"/>
          <w:szCs w:val="32"/>
        </w:rPr>
      </w:pPr>
      <w:r>
        <w:rPr>
          <w:rFonts w:eastAsia="方正黑体_GBK"/>
          <w:szCs w:val="32"/>
        </w:rPr>
        <w:t>二、事项类型：</w:t>
      </w:r>
      <w:r>
        <w:rPr>
          <w:rFonts w:eastAsia="方正仿宋_GBK"/>
          <w:bCs/>
          <w:szCs w:val="32"/>
        </w:rPr>
        <w:t>行政许可</w:t>
      </w:r>
    </w:p>
    <w:p w14:paraId="61042F24">
      <w:pPr>
        <w:spacing w:line="560" w:lineRule="exact"/>
        <w:ind w:firstLine="640" w:firstLineChars="200"/>
        <w:rPr>
          <w:rFonts w:eastAsia="方正黑体_GBK"/>
          <w:szCs w:val="32"/>
        </w:rPr>
      </w:pPr>
      <w:r>
        <w:rPr>
          <w:rFonts w:eastAsia="方正黑体_GBK"/>
          <w:szCs w:val="32"/>
        </w:rPr>
        <w:t>三、设立依据：</w:t>
      </w:r>
    </w:p>
    <w:p w14:paraId="3DDE9EF2">
      <w:pPr>
        <w:pStyle w:val="51"/>
        <w:spacing w:line="560" w:lineRule="exact"/>
        <w:ind w:left="0" w:firstLine="640" w:firstLineChars="200"/>
        <w:rPr>
          <w:rFonts w:ascii="方正仿宋_GBK" w:eastAsia="方正仿宋_GBK"/>
          <w:b/>
          <w:bCs/>
          <w:szCs w:val="32"/>
        </w:rPr>
      </w:pPr>
      <w:r>
        <w:rPr>
          <w:rFonts w:eastAsia="方正仿宋_GBK"/>
          <w:b/>
          <w:bCs/>
          <w:szCs w:val="32"/>
        </w:rPr>
        <w:t>（一）</w:t>
      </w:r>
      <w:r>
        <w:rPr>
          <w:rFonts w:hint="eastAsia" w:ascii="方正仿宋_GBK" w:eastAsia="方正仿宋_GBK"/>
          <w:b/>
          <w:bCs/>
          <w:szCs w:val="32"/>
        </w:rPr>
        <w:t>《中华人民共和国国境卫生检疫法》</w:t>
      </w:r>
    </w:p>
    <w:p w14:paraId="4D47C148">
      <w:pPr>
        <w:spacing w:line="560" w:lineRule="exact"/>
        <w:ind w:left="0" w:firstLine="640" w:firstLineChars="200"/>
        <w:rPr>
          <w:rFonts w:eastAsia="方正仿宋_GBK"/>
          <w:bCs/>
          <w:szCs w:val="32"/>
        </w:rPr>
      </w:pPr>
      <w:r>
        <w:rPr>
          <w:rFonts w:eastAsia="方正仿宋_GBK"/>
          <w:bCs/>
          <w:szCs w:val="32"/>
        </w:rPr>
        <w:t>第二十二条 血液等人体组织、病原微生物、生物制品等关系公共卫生安全的货物、物品进境出境，除纳入药品、兽药、医疗器械管理的外，应当由海关事先实施卫生检疫审批，并经检疫查验合格后方可进境出境。</w:t>
      </w:r>
    </w:p>
    <w:p w14:paraId="12278BC6">
      <w:pPr>
        <w:wordWrap w:val="0"/>
        <w:adjustRightInd w:val="0"/>
        <w:snapToGrid w:val="0"/>
        <w:spacing w:line="560" w:lineRule="exact"/>
        <w:ind w:firstLine="640" w:firstLineChars="200"/>
        <w:rPr>
          <w:rFonts w:eastAsia="方正仿宋_GBK"/>
          <w:b/>
          <w:bCs/>
          <w:szCs w:val="32"/>
        </w:rPr>
      </w:pPr>
      <w:r>
        <w:rPr>
          <w:rFonts w:hint="eastAsia" w:ascii="方正仿宋_GBK" w:eastAsia="方正仿宋_GBK"/>
          <w:b/>
          <w:bCs/>
          <w:sz w:val="32"/>
          <w:szCs w:val="32"/>
        </w:rPr>
        <w:t>（二）</w:t>
      </w:r>
      <w:r>
        <w:rPr>
          <w:rFonts w:eastAsia="方正仿宋_GBK"/>
          <w:b/>
          <w:bCs/>
          <w:szCs w:val="32"/>
        </w:rPr>
        <w:t>《中华人民共和国国境卫生检疫法实施细则》</w:t>
      </w:r>
    </w:p>
    <w:p w14:paraId="6358621F">
      <w:pPr>
        <w:wordWrap w:val="0"/>
        <w:adjustRightInd w:val="0"/>
        <w:snapToGrid w:val="0"/>
        <w:spacing w:line="560" w:lineRule="exact"/>
        <w:ind w:firstLine="640" w:firstLineChars="200"/>
        <w:rPr>
          <w:rFonts w:eastAsia="方正仿宋_GBK"/>
          <w:bCs/>
          <w:szCs w:val="32"/>
        </w:rPr>
      </w:pPr>
      <w:bookmarkStart w:id="0" w:name="11"/>
      <w:r>
        <w:rPr>
          <w:rFonts w:eastAsia="方正仿宋_GBK"/>
          <w:bCs/>
          <w:szCs w:val="32"/>
        </w:rPr>
        <w:t>第十一条</w:t>
      </w:r>
      <w:bookmarkEnd w:id="0"/>
      <w:r>
        <w:rPr>
          <w:rFonts w:eastAsia="方正仿宋_GBK"/>
          <w:bCs/>
          <w:szCs w:val="32"/>
        </w:rPr>
        <w:t>　入境、出境的微生物、人体组织、生物制品、血液及其制品等特殊物品的携带人、托运人或者邮递人，必须向卫生检疫机关申报并接受卫生检疫，凭卫生检疫机关签发的特殊物品审批单办理通关手续。未经卫生检疫机关许可，不准入境、出境。</w:t>
      </w:r>
    </w:p>
    <w:p w14:paraId="44146ADC">
      <w:pPr>
        <w:pStyle w:val="38"/>
        <w:spacing w:line="560" w:lineRule="exact"/>
        <w:ind w:firstLine="640" w:firstLineChars="200"/>
        <w:rPr>
          <w:rFonts w:hint="eastAsia" w:ascii="方正仿宋_GBK" w:eastAsia="方正仿宋_GBK"/>
          <w:b/>
          <w:bCs/>
          <w:sz w:val="32"/>
          <w:szCs w:val="32"/>
        </w:rPr>
      </w:pPr>
      <w:r>
        <w:rPr>
          <w:rFonts w:hint="eastAsia" w:ascii="方正仿宋_GBK" w:eastAsia="方正仿宋_GBK"/>
          <w:b/>
          <w:bCs/>
          <w:sz w:val="32"/>
          <w:szCs w:val="32"/>
        </w:rPr>
        <w:t>（三）《出入境特殊物品卫生检疫管理规定》（海关总署令第</w:t>
      </w:r>
      <w:r>
        <w:rPr>
          <w:rFonts w:eastAsia="方正仿宋_GBK"/>
          <w:b/>
          <w:bCs/>
          <w:sz w:val="32"/>
          <w:szCs w:val="32"/>
        </w:rPr>
        <w:t>243</w:t>
      </w:r>
      <w:r>
        <w:rPr>
          <w:rFonts w:hint="eastAsia" w:ascii="方正仿宋_GBK" w:eastAsia="方正仿宋_GBK"/>
          <w:b/>
          <w:bCs/>
          <w:sz w:val="32"/>
          <w:szCs w:val="32"/>
        </w:rPr>
        <w:t>号）</w:t>
      </w:r>
    </w:p>
    <w:p w14:paraId="35313A35">
      <w:pPr>
        <w:pStyle w:val="39"/>
        <w:widowControl/>
        <w:spacing w:line="560" w:lineRule="exact"/>
        <w:ind w:firstLine="640" w:firstLineChars="200"/>
        <w:rPr>
          <w:rFonts w:eastAsia="方正仿宋_GBK"/>
          <w:bCs/>
          <w:sz w:val="32"/>
          <w:szCs w:val="32"/>
        </w:rPr>
      </w:pPr>
      <w:r>
        <w:rPr>
          <w:rFonts w:hint="eastAsia" w:eastAsia="方正仿宋_GBK"/>
          <w:bCs/>
          <w:sz w:val="32"/>
          <w:szCs w:val="32"/>
        </w:rPr>
        <w:t>第</w:t>
      </w:r>
      <w:r>
        <w:rPr>
          <w:rFonts w:eastAsia="方正仿宋_GBK"/>
          <w:bCs/>
          <w:sz w:val="32"/>
          <w:szCs w:val="32"/>
        </w:rPr>
        <w:t>六</w:t>
      </w:r>
      <w:r>
        <w:rPr>
          <w:rFonts w:hint="eastAsia" w:eastAsia="方正仿宋_GBK"/>
          <w:bCs/>
          <w:sz w:val="32"/>
          <w:szCs w:val="32"/>
        </w:rPr>
        <w:t xml:space="preserve">条  </w:t>
      </w:r>
      <w:r>
        <w:rPr>
          <w:rFonts w:eastAsia="方正仿宋_GBK"/>
          <w:bCs/>
          <w:sz w:val="32"/>
          <w:szCs w:val="32"/>
        </w:rPr>
        <w:t>直属海关负责辖区内出入境特殊物品的卫生检疫审批（以下简称特殊物品审批）工作。</w:t>
      </w:r>
    </w:p>
    <w:p w14:paraId="43BB0A68">
      <w:pPr>
        <w:pStyle w:val="11"/>
        <w:spacing w:line="560" w:lineRule="exact"/>
        <w:ind w:left="0" w:firstLine="640" w:firstLineChars="200"/>
        <w:rPr>
          <w:rFonts w:eastAsia="方正黑体_GBK"/>
          <w:szCs w:val="32"/>
        </w:rPr>
      </w:pPr>
      <w:r>
        <w:rPr>
          <w:rFonts w:eastAsia="方正黑体_GBK"/>
          <w:szCs w:val="32"/>
        </w:rPr>
        <w:t>四、实施机构：</w:t>
      </w:r>
      <w:r>
        <w:rPr>
          <w:rFonts w:eastAsia="方正仿宋_GBK"/>
          <w:bCs/>
          <w:szCs w:val="32"/>
        </w:rPr>
        <w:t>长沙海关</w:t>
      </w:r>
    </w:p>
    <w:p w14:paraId="28F7FD8D">
      <w:pPr>
        <w:wordWrap w:val="0"/>
        <w:spacing w:line="560" w:lineRule="exact"/>
        <w:ind w:firstLine="640" w:firstLineChars="200"/>
        <w:rPr>
          <w:rFonts w:eastAsia="方正仿宋_GBK"/>
          <w:bCs/>
          <w:szCs w:val="32"/>
        </w:rPr>
      </w:pPr>
      <w:r>
        <w:rPr>
          <w:rFonts w:eastAsia="方正黑体_GBK"/>
          <w:szCs w:val="32"/>
        </w:rPr>
        <w:t>五、法定办结时限：</w:t>
      </w:r>
      <w:r>
        <w:rPr>
          <w:rFonts w:eastAsia="方正仿宋_GBK"/>
          <w:bCs/>
          <w:szCs w:val="32"/>
        </w:rPr>
        <w:t>自受理申请之日起20日内作出是否核准的决定。20日内不能作出决定的，经直属海关负责人批准，可以延长10日，并将延长期限的理由书面告知申请单位。专家资料审核、现场评估、实验室检测等时间不纳入法定办结时限。</w:t>
      </w:r>
    </w:p>
    <w:p w14:paraId="08F939CA">
      <w:pPr>
        <w:wordWrap w:val="0"/>
        <w:adjustRightInd w:val="0"/>
        <w:snapToGrid w:val="0"/>
        <w:spacing w:line="560" w:lineRule="exact"/>
        <w:ind w:firstLine="640" w:firstLineChars="200"/>
        <w:rPr>
          <w:rFonts w:eastAsia="方正仿宋_GBK"/>
          <w:bCs/>
          <w:szCs w:val="32"/>
        </w:rPr>
      </w:pPr>
      <w:r>
        <w:rPr>
          <w:rFonts w:eastAsia="方正黑体_GBK"/>
          <w:szCs w:val="32"/>
        </w:rPr>
        <w:t>六、承诺办结时限：</w:t>
      </w:r>
      <w:r>
        <w:rPr>
          <w:rFonts w:eastAsia="方正仿宋_GBK"/>
          <w:bCs/>
          <w:szCs w:val="32"/>
        </w:rPr>
        <w:t>15个工作日。</w:t>
      </w:r>
    </w:p>
    <w:p w14:paraId="175DF33D">
      <w:pPr>
        <w:wordWrap w:val="0"/>
        <w:adjustRightInd w:val="0"/>
        <w:snapToGrid w:val="0"/>
        <w:spacing w:line="560" w:lineRule="exact"/>
        <w:ind w:firstLine="640" w:firstLineChars="200"/>
        <w:rPr>
          <w:rFonts w:eastAsia="方正仿宋_GBK"/>
          <w:bCs/>
          <w:sz w:val="32"/>
          <w:szCs w:val="32"/>
        </w:rPr>
      </w:pPr>
      <w:r>
        <w:rPr>
          <w:rFonts w:eastAsia="方正黑体_GBK"/>
          <w:szCs w:val="32"/>
        </w:rPr>
        <w:t>七、结果名称：</w:t>
      </w:r>
      <w:r>
        <w:rPr>
          <w:rFonts w:eastAsia="方正仿宋_GBK"/>
          <w:spacing w:val="-6"/>
          <w:szCs w:val="32"/>
        </w:rPr>
        <w:t>《中华人民共和国XX海关准予行政许可决定书》《中华人民共和国XX海关不予行政许可决定书》</w:t>
      </w:r>
      <w:r>
        <w:rPr>
          <w:rFonts w:hint="eastAsia" w:eastAsia="方正仿宋_GBK"/>
          <w:bCs/>
          <w:sz w:val="32"/>
          <w:szCs w:val="32"/>
        </w:rPr>
        <w:t>《</w:t>
      </w:r>
      <w:r>
        <w:rPr>
          <w:rFonts w:eastAsia="方正仿宋_GBK"/>
          <w:spacing w:val="-6"/>
          <w:szCs w:val="32"/>
        </w:rPr>
        <w:t>中华人民共和国海关</w:t>
      </w:r>
      <w:r>
        <w:rPr>
          <w:rFonts w:hint="eastAsia" w:eastAsia="方正仿宋_GBK"/>
          <w:bCs/>
          <w:sz w:val="32"/>
          <w:szCs w:val="32"/>
        </w:rPr>
        <w:t>特殊物品出入境卫生检疫审批单》</w:t>
      </w:r>
      <w:r>
        <w:rPr>
          <w:rFonts w:eastAsia="方正仿宋_GBK"/>
          <w:bCs/>
          <w:sz w:val="32"/>
          <w:szCs w:val="32"/>
        </w:rPr>
        <w:t>。</w:t>
      </w:r>
    </w:p>
    <w:p w14:paraId="425E5EC0">
      <w:pPr>
        <w:wordWrap w:val="0"/>
        <w:spacing w:line="560" w:lineRule="exact"/>
        <w:ind w:firstLine="640" w:firstLineChars="200"/>
        <w:rPr>
          <w:rFonts w:eastAsia="方正仿宋_GBK"/>
          <w:b/>
          <w:bCs/>
          <w:szCs w:val="32"/>
        </w:rPr>
      </w:pPr>
      <w:r>
        <w:rPr>
          <w:rFonts w:eastAsia="方正黑体_GBK"/>
          <w:szCs w:val="32"/>
        </w:rPr>
        <w:t>八、结果样本：</w:t>
      </w:r>
    </w:p>
    <w:p w14:paraId="4CE3EEC0">
      <w:pPr>
        <w:wordWrap w:val="0"/>
        <w:spacing w:line="560" w:lineRule="exact"/>
        <w:ind w:firstLine="640" w:firstLineChars="200"/>
        <w:rPr>
          <w:rFonts w:eastAsia="方正仿宋_GBK"/>
          <w:spacing w:val="-6"/>
          <w:szCs w:val="32"/>
        </w:rPr>
      </w:pPr>
      <w:r>
        <w:rPr>
          <w:rFonts w:eastAsia="方正仿宋_GBK"/>
          <w:b/>
          <w:bCs/>
          <w:szCs w:val="32"/>
        </w:rPr>
        <w:t>（一）</w:t>
      </w:r>
      <w:r>
        <w:rPr>
          <w:rFonts w:eastAsia="方正仿宋_GBK"/>
          <w:spacing w:val="-6"/>
          <w:szCs w:val="32"/>
        </w:rPr>
        <w:t>《中华人民共和国XX海关准予行政许可决定书》（附件1）；</w:t>
      </w:r>
    </w:p>
    <w:p w14:paraId="7B9299C3">
      <w:pPr>
        <w:spacing w:line="560" w:lineRule="exact"/>
        <w:ind w:firstLine="640" w:firstLineChars="200"/>
        <w:rPr>
          <w:rFonts w:eastAsia="方正仿宋_GBK"/>
          <w:spacing w:val="-6"/>
          <w:szCs w:val="32"/>
        </w:rPr>
      </w:pPr>
      <w:r>
        <w:rPr>
          <w:rFonts w:eastAsia="方正仿宋_GBK"/>
          <w:b/>
          <w:bCs/>
          <w:szCs w:val="32"/>
        </w:rPr>
        <w:t>（二）</w:t>
      </w:r>
      <w:r>
        <w:rPr>
          <w:rFonts w:eastAsia="方正仿宋_GBK"/>
          <w:spacing w:val="-6"/>
          <w:szCs w:val="32"/>
        </w:rPr>
        <w:t>《中华人民共和国XX海关不予行政许可决定书》（附件2）；</w:t>
      </w:r>
    </w:p>
    <w:p w14:paraId="7F459E2C">
      <w:pPr>
        <w:spacing w:line="560" w:lineRule="exact"/>
        <w:ind w:firstLine="640" w:firstLineChars="200"/>
        <w:rPr>
          <w:rFonts w:eastAsia="方正仿宋_GBK"/>
          <w:spacing w:val="-6"/>
          <w:szCs w:val="32"/>
        </w:rPr>
      </w:pPr>
      <w:r>
        <w:rPr>
          <w:rFonts w:eastAsia="方正仿宋_GBK"/>
          <w:b/>
          <w:bCs/>
          <w:szCs w:val="32"/>
        </w:rPr>
        <w:t>（三）</w:t>
      </w:r>
      <w:r>
        <w:rPr>
          <w:rFonts w:hint="eastAsia" w:eastAsia="方正仿宋_GBK"/>
          <w:bCs/>
          <w:sz w:val="32"/>
          <w:szCs w:val="32"/>
        </w:rPr>
        <w:t>《</w:t>
      </w:r>
      <w:r>
        <w:rPr>
          <w:rFonts w:eastAsia="方正仿宋_GBK"/>
          <w:spacing w:val="-6"/>
          <w:szCs w:val="32"/>
        </w:rPr>
        <w:t>中华人民共和国海关</w:t>
      </w:r>
      <w:r>
        <w:rPr>
          <w:rFonts w:hint="eastAsia" w:eastAsia="方正仿宋_GBK"/>
          <w:bCs/>
          <w:sz w:val="32"/>
          <w:szCs w:val="32"/>
        </w:rPr>
        <w:t>特殊物品出入境卫生检疫审批单》</w:t>
      </w:r>
      <w:r>
        <w:rPr>
          <w:rFonts w:eastAsia="方正仿宋_GBK"/>
          <w:spacing w:val="-6"/>
          <w:szCs w:val="32"/>
        </w:rPr>
        <w:t>（附件3）。</w:t>
      </w:r>
    </w:p>
    <w:p w14:paraId="3A756352">
      <w:pPr>
        <w:wordWrap w:val="0"/>
        <w:adjustRightInd w:val="0"/>
        <w:snapToGrid w:val="0"/>
        <w:spacing w:line="560" w:lineRule="exact"/>
        <w:ind w:firstLine="640" w:firstLineChars="200"/>
        <w:rPr>
          <w:rFonts w:eastAsia="方正仿宋_GBK"/>
          <w:bCs/>
          <w:szCs w:val="32"/>
        </w:rPr>
      </w:pPr>
      <w:r>
        <w:rPr>
          <w:rFonts w:eastAsia="方正黑体_GBK"/>
          <w:szCs w:val="32"/>
        </w:rPr>
        <w:t>九：收费标准：</w:t>
      </w:r>
      <w:r>
        <w:rPr>
          <w:rFonts w:eastAsia="方正仿宋_GBK"/>
          <w:bCs/>
          <w:szCs w:val="32"/>
        </w:rPr>
        <w:t>不收费。</w:t>
      </w:r>
    </w:p>
    <w:p w14:paraId="547E0F0F">
      <w:pPr>
        <w:wordWrap w:val="0"/>
        <w:adjustRightInd w:val="0"/>
        <w:snapToGrid w:val="0"/>
        <w:spacing w:line="560" w:lineRule="exact"/>
        <w:ind w:firstLine="640" w:firstLineChars="200"/>
        <w:rPr>
          <w:rFonts w:eastAsia="方正仿宋_GBK"/>
          <w:b/>
          <w:bCs/>
          <w:szCs w:val="32"/>
        </w:rPr>
      </w:pPr>
      <w:r>
        <w:rPr>
          <w:rFonts w:eastAsia="方正黑体_GBK"/>
          <w:szCs w:val="32"/>
        </w:rPr>
        <w:t>十、收费依据：</w:t>
      </w:r>
      <w:r>
        <w:rPr>
          <w:rFonts w:eastAsia="方正仿宋_GBK"/>
          <w:szCs w:val="32"/>
        </w:rPr>
        <w:t>无。</w:t>
      </w:r>
    </w:p>
    <w:p w14:paraId="6E9DB007">
      <w:pPr>
        <w:wordWrap w:val="0"/>
        <w:adjustRightInd w:val="0"/>
        <w:snapToGrid w:val="0"/>
        <w:spacing w:line="560" w:lineRule="exact"/>
        <w:ind w:firstLine="640" w:firstLineChars="200"/>
        <w:rPr>
          <w:rFonts w:eastAsia="方正黑体_GBK"/>
          <w:szCs w:val="32"/>
        </w:rPr>
      </w:pPr>
      <w:r>
        <w:rPr>
          <w:rFonts w:eastAsia="方正黑体_GBK"/>
          <w:szCs w:val="32"/>
        </w:rPr>
        <w:t>十一、申请条件：</w:t>
      </w:r>
    </w:p>
    <w:p w14:paraId="30FD77A0">
      <w:pPr>
        <w:wordWrap w:val="0"/>
        <w:adjustRightInd w:val="0"/>
        <w:snapToGrid w:val="0"/>
        <w:spacing w:line="560" w:lineRule="exact"/>
        <w:ind w:firstLine="640" w:firstLineChars="200"/>
        <w:rPr>
          <w:rFonts w:eastAsia="方正仿宋_GBK"/>
          <w:szCs w:val="32"/>
        </w:rPr>
      </w:pPr>
      <w:r>
        <w:rPr>
          <w:rFonts w:eastAsia="方正仿宋_GBK"/>
          <w:szCs w:val="32"/>
        </w:rPr>
        <w:t>申请特殊物品审批应当具备下列条件：</w:t>
      </w:r>
    </w:p>
    <w:p w14:paraId="227570C2">
      <w:pPr>
        <w:wordWrap w:val="0"/>
        <w:adjustRightInd w:val="0"/>
        <w:snapToGrid w:val="0"/>
        <w:spacing w:line="560" w:lineRule="exact"/>
        <w:ind w:firstLine="640" w:firstLineChars="200"/>
        <w:rPr>
          <w:rFonts w:eastAsia="方正仿宋_GBK"/>
          <w:szCs w:val="32"/>
        </w:rPr>
      </w:pPr>
      <w:r>
        <w:rPr>
          <w:rFonts w:eastAsia="方正仿宋_GBK"/>
          <w:szCs w:val="32"/>
        </w:rPr>
        <w:t>（一）法律法规规定须获得相关部门批准文件的，应当获得相应批准文件；</w:t>
      </w:r>
    </w:p>
    <w:p w14:paraId="74D9010C">
      <w:pPr>
        <w:wordWrap w:val="0"/>
        <w:adjustRightInd w:val="0"/>
        <w:snapToGrid w:val="0"/>
        <w:spacing w:line="560" w:lineRule="exact"/>
        <w:ind w:firstLine="640" w:firstLineChars="200"/>
        <w:rPr>
          <w:rFonts w:eastAsia="方正仿宋_GBK"/>
          <w:szCs w:val="32"/>
        </w:rPr>
      </w:pPr>
      <w:r>
        <w:rPr>
          <w:rFonts w:eastAsia="方正仿宋_GBK"/>
          <w:szCs w:val="32"/>
        </w:rPr>
        <w:t>（二）具备与出入境特殊物品相适应的生物安全控制能力。</w:t>
      </w:r>
    </w:p>
    <w:p w14:paraId="433F3EA2">
      <w:pPr>
        <w:spacing w:line="560" w:lineRule="exact"/>
        <w:ind w:firstLine="640" w:firstLineChars="200"/>
        <w:rPr>
          <w:rFonts w:eastAsia="方正黑体_GBK"/>
          <w:szCs w:val="32"/>
        </w:rPr>
      </w:pPr>
      <w:r>
        <w:rPr>
          <w:rFonts w:eastAsia="方正黑体_GBK"/>
          <w:szCs w:val="32"/>
        </w:rPr>
        <w:t>十二、申请材料：</w:t>
      </w:r>
    </w:p>
    <w:p w14:paraId="5C59DD18">
      <w:pPr>
        <w:pStyle w:val="43"/>
        <w:spacing w:line="560" w:lineRule="exact"/>
        <w:ind w:left="640" w:leftChars="200" w:firstLine="0"/>
        <w:rPr>
          <w:rFonts w:ascii="方正仿宋_GBK" w:eastAsia="方正仿宋_GBK"/>
          <w:sz w:val="32"/>
          <w:szCs w:val="32"/>
        </w:rPr>
      </w:pPr>
      <w:r>
        <w:rPr>
          <w:rFonts w:hint="eastAsia" w:eastAsia="方正仿宋_GBK"/>
          <w:bCs/>
          <w:sz w:val="32"/>
          <w:szCs w:val="32"/>
        </w:rPr>
        <w:t>在线上填写申请材料，无需提交纸本申请材料</w:t>
      </w:r>
      <w:r>
        <w:rPr>
          <w:rFonts w:eastAsia="方正仿宋_GBK"/>
          <w:bCs/>
          <w:sz w:val="32"/>
          <w:szCs w:val="32"/>
        </w:rPr>
        <w:t>。</w:t>
      </w:r>
    </w:p>
    <w:p w14:paraId="5EB94F3A">
      <w:pPr>
        <w:pStyle w:val="43"/>
        <w:spacing w:line="560" w:lineRule="exact"/>
        <w:ind w:left="0" w:firstLine="640" w:firstLineChars="200"/>
        <w:rPr>
          <w:rFonts w:eastAsia="方正仿宋_GBK"/>
          <w:bCs/>
          <w:sz w:val="32"/>
          <w:szCs w:val="32"/>
        </w:rPr>
      </w:pPr>
      <w:r>
        <w:rPr>
          <w:rFonts w:ascii="Times New Roman" w:hAnsi="Times New Roman" w:eastAsia="方正楷体_GBK" w:cs="Times New Roman"/>
          <w:b/>
          <w:bCs/>
          <w:sz w:val="32"/>
          <w:szCs w:val="32"/>
        </w:rPr>
        <w:t>（一）</w:t>
      </w:r>
      <w:r>
        <w:rPr>
          <w:rFonts w:hint="eastAsia" w:ascii="方正仿宋_GBK" w:eastAsia="方正仿宋_GBK"/>
          <w:sz w:val="32"/>
          <w:szCs w:val="32"/>
        </w:rPr>
        <w:t>申请特殊物品审批的，货主或者其代理人应当按照以下规定提供相应材料：</w:t>
      </w:r>
    </w:p>
    <w:p w14:paraId="2B95705C">
      <w:pPr>
        <w:pStyle w:val="44"/>
        <w:spacing w:line="560" w:lineRule="exact"/>
        <w:ind w:firstLine="640" w:firstLineChars="200"/>
        <w:rPr>
          <w:rFonts w:hint="eastAsia" w:ascii="方正仿宋_GBK" w:eastAsia="方正仿宋_GBK"/>
          <w:sz w:val="32"/>
          <w:szCs w:val="32"/>
        </w:rPr>
      </w:pPr>
      <w:r>
        <w:rPr>
          <w:rFonts w:ascii="Times New Roman" w:hAnsi="Times New Roman" w:eastAsia="方正仿宋_GBK"/>
          <w:sz w:val="32"/>
          <w:szCs w:val="32"/>
        </w:rPr>
        <w:t>1．</w:t>
      </w:r>
      <w:r>
        <w:rPr>
          <w:rFonts w:hint="eastAsia" w:ascii="方正仿宋_GBK" w:eastAsia="方正仿宋_GBK"/>
          <w:sz w:val="32"/>
          <w:szCs w:val="32"/>
        </w:rPr>
        <w:t>《入/出境特殊物品卫生检疫审批申请表》</w:t>
      </w:r>
      <w:r>
        <w:rPr>
          <w:rFonts w:ascii="方正仿宋_GBK" w:eastAsia="方正仿宋_GBK"/>
          <w:sz w:val="32"/>
          <w:szCs w:val="32"/>
        </w:rPr>
        <w:t>（附件</w:t>
      </w:r>
      <w:r>
        <w:rPr>
          <w:rFonts w:eastAsia="方正仿宋_GBK"/>
          <w:sz w:val="32"/>
          <w:szCs w:val="32"/>
        </w:rPr>
        <w:t>4</w:t>
      </w:r>
      <w:r>
        <w:rPr>
          <w:rFonts w:ascii="方正仿宋_GBK" w:eastAsia="方正仿宋_GBK"/>
          <w:sz w:val="32"/>
          <w:szCs w:val="32"/>
        </w:rPr>
        <w:t>）</w:t>
      </w:r>
      <w:r>
        <w:rPr>
          <w:rFonts w:hint="eastAsia" w:ascii="方正仿宋_GBK" w:eastAsia="方正仿宋_GBK"/>
          <w:sz w:val="32"/>
          <w:szCs w:val="32"/>
        </w:rPr>
        <w:t>；</w:t>
      </w:r>
    </w:p>
    <w:p w14:paraId="1F12DB20">
      <w:pPr>
        <w:pStyle w:val="44"/>
        <w:spacing w:line="560" w:lineRule="exact"/>
        <w:ind w:firstLine="640" w:firstLineChars="200"/>
        <w:rPr>
          <w:rFonts w:hint="eastAsia" w:ascii="方正仿宋_GBK" w:eastAsia="方正仿宋_GBK"/>
          <w:sz w:val="32"/>
          <w:szCs w:val="32"/>
        </w:rPr>
      </w:pPr>
      <w:r>
        <w:rPr>
          <w:rFonts w:ascii="Times New Roman" w:hAnsi="Times New Roman" w:eastAsia="方正仿宋_GBK"/>
          <w:sz w:val="32"/>
          <w:szCs w:val="32"/>
        </w:rPr>
        <w:t>2．</w:t>
      </w:r>
      <w:r>
        <w:rPr>
          <w:rFonts w:hint="eastAsia" w:ascii="方正仿宋_GBK" w:eastAsia="方正仿宋_GBK"/>
          <w:sz w:val="32"/>
          <w:szCs w:val="32"/>
        </w:rPr>
        <w:t>出入境特殊物品描述性材料，包括特殊物品中英文名称、类别、成分、来源、用途、主要销售渠道、输出输入的国家或者地区、生产商等；</w:t>
      </w:r>
    </w:p>
    <w:p w14:paraId="436D241B">
      <w:pPr>
        <w:pStyle w:val="44"/>
        <w:spacing w:line="560" w:lineRule="exact"/>
        <w:ind w:firstLine="640" w:firstLineChars="200"/>
        <w:rPr>
          <w:rFonts w:hint="eastAsia" w:ascii="方正仿宋_GBK" w:eastAsia="方正仿宋_GBK"/>
          <w:sz w:val="32"/>
          <w:szCs w:val="32"/>
        </w:rPr>
      </w:pPr>
      <w:r>
        <w:rPr>
          <w:rFonts w:ascii="Times New Roman" w:hAnsi="Times New Roman" w:eastAsia="方正仿宋_GBK"/>
          <w:sz w:val="32"/>
          <w:szCs w:val="32"/>
        </w:rPr>
        <w:t>3．</w:t>
      </w:r>
      <w:r>
        <w:rPr>
          <w:rFonts w:hint="eastAsia" w:ascii="方正仿宋_GBK" w:eastAsia="方正仿宋_GBK"/>
          <w:sz w:val="32"/>
          <w:szCs w:val="32"/>
        </w:rPr>
        <w:t>入境、出境特殊物品含有或者可能含有病原微生物的，应当提供病原微生物的学名（中文和拉丁文）、生物学特性的说明性文件（中英文对照件）以及生产经营者或者使用者具备相应生物安全防控水平的证明文件；</w:t>
      </w:r>
    </w:p>
    <w:p w14:paraId="54A10912">
      <w:pPr>
        <w:pStyle w:val="44"/>
        <w:spacing w:line="560" w:lineRule="exact"/>
        <w:ind w:firstLine="640" w:firstLineChars="200"/>
        <w:rPr>
          <w:rFonts w:hint="eastAsia" w:ascii="方正仿宋_GBK" w:eastAsia="方正仿宋_GBK"/>
          <w:sz w:val="32"/>
          <w:szCs w:val="32"/>
        </w:rPr>
      </w:pPr>
      <w:r>
        <w:rPr>
          <w:rFonts w:ascii="Times New Roman" w:hAnsi="Times New Roman" w:eastAsia="方正仿宋_GBK"/>
          <w:sz w:val="32"/>
          <w:szCs w:val="32"/>
        </w:rPr>
        <w:t>4．</w:t>
      </w:r>
      <w:r>
        <w:rPr>
          <w:rFonts w:hint="eastAsia" w:ascii="方正仿宋_GBK" w:eastAsia="方正仿宋_GBK"/>
          <w:sz w:val="32"/>
          <w:szCs w:val="32"/>
        </w:rPr>
        <w:t>应当取得人类遗传资源管理部门出具的批准文件，海关对有关批准文件电子数据进行系统自动比对验核；</w:t>
      </w:r>
    </w:p>
    <w:p w14:paraId="07B2FC64">
      <w:pPr>
        <w:pStyle w:val="44"/>
        <w:spacing w:line="560" w:lineRule="exact"/>
        <w:ind w:firstLine="640" w:firstLineChars="200"/>
        <w:rPr>
          <w:rFonts w:hint="eastAsia" w:ascii="方正仿宋_GBK" w:eastAsia="方正仿宋_GBK"/>
          <w:sz w:val="32"/>
          <w:szCs w:val="32"/>
        </w:rPr>
      </w:pPr>
      <w:r>
        <w:rPr>
          <w:rFonts w:ascii="Times New Roman" w:hAnsi="Times New Roman" w:eastAsia="方正仿宋_GBK"/>
          <w:sz w:val="32"/>
          <w:szCs w:val="32"/>
        </w:rPr>
        <w:t>5．</w:t>
      </w:r>
      <w:r>
        <w:rPr>
          <w:rFonts w:hint="eastAsia" w:ascii="方正仿宋_GBK" w:eastAsia="方正仿宋_GBK"/>
          <w:sz w:val="32"/>
          <w:szCs w:val="32"/>
        </w:rPr>
        <w:t>使用含有或者可能含有病原微生物的出入境特殊物品的单位，应当提供与生物安全风险等级相适应的生物安全实验室资质证明，</w:t>
      </w:r>
      <w:r>
        <w:rPr>
          <w:rFonts w:eastAsia="方正仿宋_GBK"/>
          <w:sz w:val="32"/>
          <w:szCs w:val="32"/>
        </w:rPr>
        <w:t>BSL-3</w:t>
      </w:r>
      <w:r>
        <w:rPr>
          <w:rFonts w:hint="eastAsia" w:ascii="方正仿宋_GBK" w:eastAsia="方正仿宋_GBK"/>
          <w:sz w:val="32"/>
          <w:szCs w:val="32"/>
        </w:rPr>
        <w:t>级以上实验室必须获得国家认可机构的认可；</w:t>
      </w:r>
    </w:p>
    <w:p w14:paraId="010254EB">
      <w:pPr>
        <w:pStyle w:val="44"/>
        <w:spacing w:line="560" w:lineRule="exact"/>
        <w:ind w:firstLine="640" w:firstLineChars="200"/>
        <w:rPr>
          <w:rFonts w:hint="eastAsia" w:ascii="方正仿宋_GBK" w:eastAsia="方正仿宋_GBK"/>
          <w:sz w:val="32"/>
          <w:szCs w:val="32"/>
        </w:rPr>
      </w:pPr>
      <w:r>
        <w:rPr>
          <w:rFonts w:ascii="Times New Roman" w:hAnsi="Times New Roman" w:eastAsia="方正仿宋_GBK"/>
          <w:sz w:val="32"/>
          <w:szCs w:val="32"/>
        </w:rPr>
        <w:t>6．</w:t>
      </w:r>
      <w:r>
        <w:rPr>
          <w:rFonts w:hint="eastAsia" w:ascii="方正仿宋_GBK" w:eastAsia="方正仿宋_GBK"/>
          <w:sz w:val="32"/>
          <w:szCs w:val="32"/>
        </w:rPr>
        <w:t>出入境高致病性病原微生物菌（毒）种或者样本的，应当提供省级以上人民政府卫生主管部门的批准文件。</w:t>
      </w:r>
    </w:p>
    <w:p w14:paraId="389CA186">
      <w:pPr>
        <w:pStyle w:val="44"/>
        <w:spacing w:line="560" w:lineRule="exact"/>
        <w:ind w:firstLine="640" w:firstLineChars="200"/>
        <w:rPr>
          <w:rFonts w:hint="eastAsia" w:ascii="方正仿宋_GBK" w:eastAsia="方正仿宋_GBK"/>
          <w:sz w:val="32"/>
          <w:szCs w:val="32"/>
        </w:rPr>
      </w:pPr>
      <w:r>
        <w:rPr>
          <w:rFonts w:ascii="Times New Roman" w:hAnsi="Times New Roman" w:eastAsia="方正楷体_GBK" w:cs="Times New Roman"/>
          <w:b/>
          <w:bCs/>
          <w:sz w:val="32"/>
          <w:szCs w:val="32"/>
        </w:rPr>
        <w:t>（二）</w:t>
      </w:r>
      <w:r>
        <w:rPr>
          <w:rFonts w:hint="eastAsia" w:ascii="方正仿宋_GBK" w:eastAsia="方正仿宋_GBK"/>
          <w:sz w:val="32"/>
          <w:szCs w:val="32"/>
        </w:rPr>
        <w:t>申请人为单位的，首次申请特殊物品审批时，除提供本指南第（</w:t>
      </w:r>
      <w:r>
        <w:rPr>
          <w:rFonts w:ascii="方正仿宋_GBK" w:eastAsia="方正仿宋_GBK"/>
          <w:sz w:val="32"/>
          <w:szCs w:val="32"/>
        </w:rPr>
        <w:t>一</w:t>
      </w:r>
      <w:r>
        <w:rPr>
          <w:rFonts w:hint="eastAsia" w:ascii="方正仿宋_GBK" w:eastAsia="方正仿宋_GBK"/>
          <w:sz w:val="32"/>
          <w:szCs w:val="32"/>
        </w:rPr>
        <w:t>）项所规定的材料以外，还应当提供单位基本情况，如单位管理体系认证情况、单位地址、生产场所、实验室设置、仓储设施设备、产品加工情况、生产过程或者工艺流程、平面图等。</w:t>
      </w:r>
    </w:p>
    <w:p w14:paraId="61B21FBF">
      <w:pPr>
        <w:pStyle w:val="45"/>
        <w:spacing w:line="560" w:lineRule="exact"/>
        <w:ind w:firstLine="640" w:firstLineChars="200"/>
        <w:rPr>
          <w:rFonts w:hint="eastAsia" w:ascii="方正仿宋_GBK" w:eastAsia="方正仿宋_GBK"/>
          <w:sz w:val="32"/>
          <w:szCs w:val="32"/>
        </w:rPr>
      </w:pPr>
      <w:r>
        <w:rPr>
          <w:rFonts w:hint="eastAsia" w:ascii="方正仿宋_GBK" w:eastAsia="方正仿宋_GBK"/>
          <w:sz w:val="32"/>
          <w:szCs w:val="32"/>
        </w:rPr>
        <w:t>申请人为自然人的，应当提供身份证复印件。出入境病原微生物或者可能含有病原微生物的特殊物品，其申请人不得为自然人。</w:t>
      </w:r>
    </w:p>
    <w:p w14:paraId="41CFC407">
      <w:pPr>
        <w:adjustRightInd w:val="0"/>
        <w:snapToGrid w:val="0"/>
        <w:spacing w:line="560" w:lineRule="exact"/>
        <w:ind w:firstLine="640" w:firstLineChars="200"/>
        <w:rPr>
          <w:rFonts w:eastAsia="方正楷体_GBK"/>
          <w:b/>
          <w:bCs/>
          <w:szCs w:val="32"/>
        </w:rPr>
      </w:pPr>
      <w:r>
        <w:rPr>
          <w:rFonts w:eastAsia="方正楷体_GBK"/>
          <w:b/>
          <w:bCs/>
          <w:szCs w:val="32"/>
        </w:rPr>
        <w:t>（三）申请材料提交</w:t>
      </w:r>
    </w:p>
    <w:p w14:paraId="33823A30">
      <w:pPr>
        <w:wordWrap w:val="0"/>
        <w:spacing w:line="560" w:lineRule="exact"/>
        <w:ind w:firstLine="640" w:firstLineChars="200"/>
        <w:rPr>
          <w:rFonts w:eastAsia="方正仿宋_GBK"/>
          <w:bCs/>
          <w:szCs w:val="32"/>
        </w:rPr>
      </w:pPr>
      <w:r>
        <w:rPr>
          <w:rFonts w:hint="eastAsia" w:eastAsia="方正仿宋_GBK"/>
          <w:bCs/>
          <w:szCs w:val="32"/>
        </w:rPr>
        <w:t>申请人可通过以下三种方式登录系统</w:t>
      </w:r>
      <w:r>
        <w:rPr>
          <w:rFonts w:eastAsia="方正仿宋_GBK"/>
          <w:bCs/>
          <w:szCs w:val="32"/>
        </w:rPr>
        <w:t>提交申请材料</w:t>
      </w:r>
      <w:r>
        <w:rPr>
          <w:rFonts w:hint="eastAsia" w:eastAsia="方正仿宋_GBK"/>
          <w:bCs/>
          <w:szCs w:val="32"/>
        </w:rPr>
        <w:t>：</w:t>
      </w:r>
    </w:p>
    <w:p w14:paraId="760EDD9A">
      <w:pPr>
        <w:wordWrap w:val="0"/>
        <w:spacing w:line="560" w:lineRule="exact"/>
        <w:ind w:firstLine="640" w:firstLineChars="200"/>
        <w:rPr>
          <w:rFonts w:eastAsia="方正仿宋_GBK"/>
          <w:bCs/>
          <w:szCs w:val="32"/>
        </w:rPr>
      </w:pPr>
      <w:r>
        <w:rPr>
          <w:rFonts w:hint="eastAsia" w:eastAsia="方正仿宋_GBK"/>
          <w:bCs/>
          <w:szCs w:val="32"/>
        </w:rPr>
        <w:t>（一）输入网址登录系统（网址：https://customs.chinaport.gov.cn/tswpwebserver/tswp/view/homepage）；</w:t>
      </w:r>
    </w:p>
    <w:p w14:paraId="09107D6C">
      <w:pPr>
        <w:wordWrap w:val="0"/>
        <w:spacing w:line="560" w:lineRule="exact"/>
        <w:ind w:firstLine="640" w:firstLineChars="200"/>
        <w:rPr>
          <w:rFonts w:eastAsia="方正仿宋_GBK"/>
          <w:bCs/>
          <w:szCs w:val="32"/>
        </w:rPr>
      </w:pPr>
      <w:r>
        <w:rPr>
          <w:rFonts w:hint="eastAsia" w:eastAsia="方正仿宋_GBK"/>
          <w:bCs/>
          <w:szCs w:val="32"/>
        </w:rPr>
        <w:t>（二）通过“海关</w:t>
      </w:r>
      <w:r>
        <w:rPr>
          <w:rFonts w:hint="eastAsia" w:eastAsia="方正仿宋_GBK"/>
          <w:bCs/>
          <w:szCs w:val="32"/>
          <w:lang w:val="en-US" w:eastAsia="zh-CN"/>
        </w:rPr>
        <w:t>政务服务</w:t>
      </w:r>
      <w:r>
        <w:rPr>
          <w:rFonts w:hint="eastAsia" w:eastAsia="方正仿宋_GBK"/>
          <w:bCs/>
          <w:szCs w:val="32"/>
        </w:rPr>
        <w:t>”——行政审批——特殊物品出入境卫生检疫审批链接进入；</w:t>
      </w:r>
    </w:p>
    <w:p w14:paraId="2482DB62">
      <w:pPr>
        <w:adjustRightInd w:val="0"/>
        <w:snapToGrid w:val="0"/>
        <w:spacing w:line="560" w:lineRule="exact"/>
        <w:ind w:firstLine="640" w:firstLineChars="200"/>
        <w:jc w:val="left"/>
        <w:rPr>
          <w:rFonts w:eastAsia="方正仿宋_GBK"/>
          <w:bCs/>
          <w:szCs w:val="32"/>
        </w:rPr>
      </w:pPr>
      <w:r>
        <w:rPr>
          <w:rFonts w:hint="eastAsia" w:eastAsia="方正仿宋_GBK"/>
          <w:bCs/>
          <w:szCs w:val="32"/>
        </w:rPr>
        <w:t>（三）通过国际贸易“单一窗口”标准版——业务应用——检验检疫——特殊物品出入境卫生检疫审批链接进入</w:t>
      </w:r>
      <w:r>
        <w:rPr>
          <w:rFonts w:eastAsia="方正仿宋_GBK"/>
          <w:bCs/>
          <w:szCs w:val="32"/>
        </w:rPr>
        <w:t>。</w:t>
      </w:r>
    </w:p>
    <w:p w14:paraId="1C1C2013">
      <w:pPr>
        <w:spacing w:line="560" w:lineRule="exact"/>
        <w:ind w:firstLine="640" w:firstLineChars="200"/>
        <w:rPr>
          <w:rFonts w:eastAsia="方正黑体_GBK"/>
          <w:szCs w:val="32"/>
        </w:rPr>
      </w:pPr>
      <w:r>
        <w:rPr>
          <w:rFonts w:eastAsia="方正黑体_GBK"/>
          <w:szCs w:val="32"/>
        </w:rPr>
        <w:t>十三、办理流程：</w:t>
      </w:r>
    </w:p>
    <w:p w14:paraId="6658FC7E">
      <w:pPr>
        <w:pStyle w:val="28"/>
        <w:adjustRightInd w:val="0"/>
        <w:snapToGrid w:val="0"/>
        <w:spacing w:line="560" w:lineRule="exact"/>
        <w:rPr>
          <w:rFonts w:ascii="Times New Roman" w:hAnsi="Times New Roman" w:eastAsia="方正楷体_GBK" w:cs="Times New Roman"/>
          <w:b/>
          <w:bCs/>
          <w:sz w:val="32"/>
          <w:szCs w:val="32"/>
        </w:rPr>
      </w:pPr>
      <w:r>
        <w:rPr>
          <w:rFonts w:ascii="Times New Roman" w:hAnsi="Times New Roman" w:eastAsia="方正楷体_GBK" w:cs="Times New Roman"/>
          <w:b/>
          <w:bCs/>
          <w:sz w:val="32"/>
          <w:szCs w:val="32"/>
        </w:rPr>
        <w:t>（一）申请。</w:t>
      </w:r>
    </w:p>
    <w:p w14:paraId="3ABC8D73">
      <w:pPr>
        <w:adjustRightInd w:val="0"/>
        <w:snapToGrid w:val="0"/>
        <w:spacing w:line="560" w:lineRule="exact"/>
        <w:ind w:firstLine="640" w:firstLineChars="200"/>
        <w:rPr>
          <w:rFonts w:eastAsia="方正仿宋_GBK"/>
          <w:szCs w:val="32"/>
        </w:rPr>
      </w:pPr>
      <w:r>
        <w:rPr>
          <w:rFonts w:eastAsia="方正仿宋_GBK"/>
          <w:szCs w:val="32"/>
        </w:rPr>
        <w:t>入境特殊物品的货主或者其代理人应当在特殊物品交运前向目的地直属海关申请特殊物品审批。</w:t>
      </w:r>
    </w:p>
    <w:p w14:paraId="628A355C">
      <w:pPr>
        <w:adjustRightInd w:val="0"/>
        <w:snapToGrid w:val="0"/>
        <w:spacing w:line="560" w:lineRule="exact"/>
        <w:ind w:firstLine="640" w:firstLineChars="200"/>
        <w:rPr>
          <w:rFonts w:eastAsia="方正仿宋_GBK"/>
          <w:szCs w:val="32"/>
        </w:rPr>
      </w:pPr>
      <w:r>
        <w:rPr>
          <w:rFonts w:eastAsia="方正仿宋_GBK"/>
          <w:szCs w:val="32"/>
        </w:rPr>
        <w:t>出境特殊物品的货主或者其代理人应当在特殊物品交运前向其所在地直属海关申请特殊物品审批。</w:t>
      </w:r>
    </w:p>
    <w:p w14:paraId="719F70E9">
      <w:pPr>
        <w:pStyle w:val="28"/>
        <w:adjustRightInd w:val="0"/>
        <w:snapToGrid w:val="0"/>
        <w:spacing w:line="560" w:lineRule="exact"/>
        <w:rPr>
          <w:rFonts w:ascii="Times New Roman" w:hAnsi="Times New Roman" w:eastAsia="方正楷体_GBK" w:cs="Times New Roman"/>
          <w:b/>
          <w:bCs/>
          <w:sz w:val="32"/>
          <w:szCs w:val="32"/>
        </w:rPr>
      </w:pPr>
      <w:r>
        <w:rPr>
          <w:rFonts w:ascii="Times New Roman" w:hAnsi="Times New Roman" w:eastAsia="方正楷体_GBK" w:cs="Times New Roman"/>
          <w:b/>
          <w:bCs/>
          <w:sz w:val="32"/>
          <w:szCs w:val="32"/>
        </w:rPr>
        <w:t>（二）受理。</w:t>
      </w:r>
    </w:p>
    <w:p w14:paraId="1B61C47C">
      <w:pPr>
        <w:adjustRightInd w:val="0"/>
        <w:snapToGrid w:val="0"/>
        <w:spacing w:line="560" w:lineRule="exact"/>
        <w:ind w:firstLine="640" w:firstLineChars="200"/>
        <w:rPr>
          <w:rFonts w:eastAsia="方正仿宋_GBK"/>
          <w:szCs w:val="32"/>
        </w:rPr>
      </w:pPr>
      <w:r>
        <w:rPr>
          <w:rFonts w:eastAsia="方正仿宋_GBK"/>
          <w:szCs w:val="32"/>
        </w:rPr>
        <w:t>直属海关收到申请人提出的特殊物品审批申请后，根据下列情况分别作出处理：</w:t>
      </w:r>
    </w:p>
    <w:p w14:paraId="57150757">
      <w:pPr>
        <w:adjustRightInd w:val="0"/>
        <w:snapToGrid w:val="0"/>
        <w:spacing w:line="560" w:lineRule="exact"/>
        <w:ind w:firstLine="640" w:firstLineChars="200"/>
        <w:rPr>
          <w:rFonts w:eastAsia="方正仿宋_GBK"/>
          <w:szCs w:val="32"/>
        </w:rPr>
      </w:pPr>
      <w:r>
        <w:rPr>
          <w:rFonts w:eastAsia="方正仿宋_GBK"/>
          <w:szCs w:val="32"/>
        </w:rPr>
        <w:t>1.申请事项依法不需要取得特殊物品审批的，即时告知申请人不予受理；</w:t>
      </w:r>
    </w:p>
    <w:p w14:paraId="2D47F50D">
      <w:pPr>
        <w:adjustRightInd w:val="0"/>
        <w:snapToGrid w:val="0"/>
        <w:spacing w:line="560" w:lineRule="exact"/>
        <w:ind w:firstLine="640" w:firstLineChars="200"/>
        <w:rPr>
          <w:rFonts w:eastAsia="方正仿宋_GBK"/>
          <w:szCs w:val="32"/>
        </w:rPr>
      </w:pPr>
      <w:r>
        <w:rPr>
          <w:rFonts w:eastAsia="方正仿宋_GBK"/>
          <w:szCs w:val="32"/>
        </w:rPr>
        <w:t>2.申请事项依法不属于本单位职权范围的，即时作出不予受理的决定，并告知申请人向有关行政机关或者其他直属海关申请；</w:t>
      </w:r>
    </w:p>
    <w:p w14:paraId="428AF7EC">
      <w:pPr>
        <w:adjustRightInd w:val="0"/>
        <w:snapToGrid w:val="0"/>
        <w:spacing w:line="560" w:lineRule="exact"/>
        <w:ind w:firstLine="640" w:firstLineChars="200"/>
        <w:rPr>
          <w:rFonts w:eastAsia="方正仿宋_GBK"/>
          <w:szCs w:val="32"/>
        </w:rPr>
      </w:pPr>
      <w:r>
        <w:rPr>
          <w:rFonts w:eastAsia="方正仿宋_GBK"/>
          <w:szCs w:val="32"/>
        </w:rPr>
        <w:t>3.申请材料存在可以当场更正的错误的，允许申请人当场更正；</w:t>
      </w:r>
    </w:p>
    <w:p w14:paraId="40D84CAC">
      <w:pPr>
        <w:adjustRightInd w:val="0"/>
        <w:snapToGrid w:val="0"/>
        <w:spacing w:line="560" w:lineRule="exact"/>
        <w:ind w:firstLine="640" w:firstLineChars="200"/>
        <w:rPr>
          <w:rFonts w:eastAsia="方正仿宋_GBK"/>
          <w:szCs w:val="32"/>
        </w:rPr>
      </w:pPr>
      <w:r>
        <w:rPr>
          <w:rFonts w:eastAsia="方正仿宋_GBK"/>
          <w:szCs w:val="32"/>
        </w:rPr>
        <w:t>4.申请材料不齐全或者不符合法定形式的，当场或者自收到申请材料之日起5日内一次性告知申请人需要补正的全部内容。逾期不告知的，自收到申请材料之日起即为受理；</w:t>
      </w:r>
    </w:p>
    <w:p w14:paraId="50942C37">
      <w:pPr>
        <w:adjustRightInd w:val="0"/>
        <w:snapToGrid w:val="0"/>
        <w:spacing w:line="560" w:lineRule="exact"/>
        <w:ind w:firstLine="640" w:firstLineChars="200"/>
        <w:rPr>
          <w:rFonts w:eastAsia="方正仿宋_GBK"/>
          <w:szCs w:val="32"/>
        </w:rPr>
      </w:pPr>
      <w:r>
        <w:rPr>
          <w:rFonts w:eastAsia="方正仿宋_GBK"/>
          <w:szCs w:val="32"/>
        </w:rPr>
        <w:t>5.申请事项属于本单位职权范围，申请材料齐全、符合法定形式，或者申请人按照本单位的要求提交全部补正申请材料的，予以受理行政许可申请。</w:t>
      </w:r>
    </w:p>
    <w:p w14:paraId="30921399">
      <w:pPr>
        <w:pStyle w:val="28"/>
        <w:adjustRightInd w:val="0"/>
        <w:snapToGrid w:val="0"/>
        <w:spacing w:line="560" w:lineRule="exact"/>
        <w:rPr>
          <w:rFonts w:ascii="Times New Roman" w:hAnsi="Times New Roman" w:eastAsia="方正楷体_GBK" w:cs="Times New Roman"/>
          <w:b/>
          <w:bCs/>
          <w:sz w:val="32"/>
          <w:szCs w:val="32"/>
        </w:rPr>
      </w:pPr>
      <w:r>
        <w:rPr>
          <w:rFonts w:ascii="Times New Roman" w:hAnsi="Times New Roman" w:eastAsia="方正楷体_GBK" w:cs="Times New Roman"/>
          <w:b/>
          <w:bCs/>
          <w:sz w:val="32"/>
          <w:szCs w:val="32"/>
        </w:rPr>
        <w:t>（三）审查。</w:t>
      </w:r>
    </w:p>
    <w:p w14:paraId="7D861E16">
      <w:pPr>
        <w:pStyle w:val="28"/>
        <w:adjustRightInd w:val="0"/>
        <w:snapToGrid w:val="0"/>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直属海关对申请材料及时进行书面审查，并根据情况采取专家资料审查、现场评估、实验室检测等方式对申请材料的实质内容进行核实。</w:t>
      </w:r>
    </w:p>
    <w:p w14:paraId="6F36BF91">
      <w:pPr>
        <w:pStyle w:val="28"/>
        <w:adjustRightInd w:val="0"/>
        <w:snapToGrid w:val="0"/>
        <w:spacing w:line="560" w:lineRule="exact"/>
        <w:rPr>
          <w:rFonts w:ascii="Times New Roman" w:hAnsi="Times New Roman" w:eastAsia="方正楷体_GBK" w:cs="Times New Roman"/>
          <w:b/>
          <w:bCs/>
          <w:sz w:val="32"/>
          <w:szCs w:val="32"/>
        </w:rPr>
      </w:pPr>
      <w:r>
        <w:rPr>
          <w:rFonts w:ascii="Times New Roman" w:hAnsi="Times New Roman" w:eastAsia="方正楷体_GBK" w:cs="Times New Roman"/>
          <w:b/>
          <w:bCs/>
          <w:sz w:val="32"/>
          <w:szCs w:val="32"/>
        </w:rPr>
        <w:t>（四）决定。</w:t>
      </w:r>
    </w:p>
    <w:p w14:paraId="1C70C7AC">
      <w:pPr>
        <w:pStyle w:val="28"/>
        <w:adjustRightInd w:val="0"/>
        <w:snapToGrid w:val="0"/>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申请人的申请符合法定条件、标准的，签发《入/出境特殊物品卫生检疫审批单》；申请人的申请不符合法定条件、标准的，作出不予审批的书面决定并说明理由，告知申请人享有依法申请行政复议或者提起行政诉讼的权利。</w:t>
      </w:r>
    </w:p>
    <w:p w14:paraId="14A4A042">
      <w:pPr>
        <w:pStyle w:val="2"/>
        <w:rPr>
          <w:rFonts w:ascii="方正仿宋_GBK" w:hAnsi="方正仿宋_GBK" w:eastAsia="方正仿宋_GBK" w:cs="方正仿宋_GBK"/>
        </w:rPr>
      </w:pPr>
    </w:p>
    <w:p w14:paraId="0F4016CE">
      <w:pPr>
        <w:pStyle w:val="2"/>
        <w:rPr>
          <w:rFonts w:ascii="方正仿宋_GBK" w:hAnsi="方正仿宋_GBK" w:eastAsia="方正仿宋_GBK" w:cs="方正仿宋_GBK"/>
        </w:rPr>
      </w:pPr>
    </w:p>
    <w:p w14:paraId="1CA8E9D5">
      <w:pPr>
        <w:pStyle w:val="2"/>
        <w:rPr>
          <w:rFonts w:ascii="方正仿宋_GBK" w:hAnsi="方正仿宋_GBK" w:eastAsia="方正仿宋_GBK" w:cs="方正仿宋_GBK"/>
        </w:rPr>
      </w:pPr>
    </w:p>
    <w:p w14:paraId="7FEB4F35">
      <w:pPr>
        <w:pStyle w:val="2"/>
        <w:rPr>
          <w:rFonts w:ascii="方正仿宋_GBK" w:hAnsi="方正仿宋_GBK" w:eastAsia="方正仿宋_GBK" w:cs="方正仿宋_GBK"/>
        </w:rPr>
      </w:pPr>
    </w:p>
    <w:p w14:paraId="2D5D4735">
      <w:pPr>
        <w:pStyle w:val="19"/>
        <w:rPr>
          <w:rFonts w:hint="eastAsia" w:ascii="方正仿宋_GBK" w:hAnsi="方正仿宋_GBK" w:eastAsia="方正仿宋_GBK" w:cs="方正仿宋_GBK"/>
        </w:rPr>
      </w:pPr>
      <w:r>
        <w:rPr>
          <w:rFonts w:hint="eastAsia" w:ascii="方正仿宋_GBK" w:hAnsi="方正仿宋_GBK" w:eastAsia="方正仿宋_GBK" w:cs="方正仿宋_GBK"/>
        </w:rPr>
        <w:t>办理流程图</w:t>
      </w:r>
    </w:p>
    <w:p w14:paraId="004A2DCB">
      <w:pPr>
        <w:pStyle w:val="19"/>
      </w:pPr>
      <w:r>
        <w:object>
          <v:shape id="_x0000_i1025" o:spt="75" type="#_x0000_t75" style="height:403.4pt;width:414.85pt;" o:ole="t" filled="f" o:preferrelative="t" stroked="f" coordsize="21600,21600">
            <v:path/>
            <v:fill on="f" focussize="0,0"/>
            <v:stroke on="f" color="#000000"/>
            <v:imagedata r:id="rId7" o:title="2"/>
            <o:lock v:ext="edit" aspectratio="t"/>
            <w10:wrap type="none"/>
            <w10:anchorlock/>
          </v:shape>
          <o:OLEObject Type="Embed" ProgID="Package" ShapeID="_x0000_i1025" DrawAspect="Content" ObjectID="_1468075725" r:id="rId6">
            <o:LockedField>false</o:LockedField>
          </o:OLEObject>
        </w:object>
      </w:r>
    </w:p>
    <w:p w14:paraId="72055FEC">
      <w:pPr>
        <w:wordWrap w:val="0"/>
        <w:adjustRightInd w:val="0"/>
        <w:snapToGrid w:val="0"/>
        <w:spacing w:line="560" w:lineRule="exact"/>
        <w:ind w:firstLine="640" w:firstLineChars="200"/>
        <w:rPr>
          <w:rFonts w:eastAsia="方正黑体_GBK"/>
        </w:rPr>
      </w:pPr>
      <w:r>
        <w:rPr>
          <w:rFonts w:eastAsia="方正黑体_GBK"/>
          <w:szCs w:val="32"/>
        </w:rPr>
        <w:t>十四、办理形式：</w:t>
      </w:r>
      <w:r>
        <w:rPr>
          <w:rFonts w:eastAsia="方正仿宋_GBK"/>
          <w:szCs w:val="32"/>
        </w:rPr>
        <w:t>网上办理。</w:t>
      </w:r>
    </w:p>
    <w:p w14:paraId="0AE37C19">
      <w:pPr>
        <w:wordWrap w:val="0"/>
        <w:adjustRightInd w:val="0"/>
        <w:snapToGrid w:val="0"/>
        <w:spacing w:line="560" w:lineRule="exact"/>
        <w:ind w:firstLine="640" w:firstLineChars="200"/>
      </w:pPr>
      <w:r>
        <w:rPr>
          <w:rFonts w:eastAsia="方正黑体_GBK"/>
        </w:rPr>
        <w:t>十五、到办理现场次数：</w:t>
      </w:r>
      <w:r>
        <w:rPr>
          <w:rFonts w:eastAsia="方正仿宋_GBK"/>
          <w:bCs/>
          <w:szCs w:val="32"/>
        </w:rPr>
        <w:t>0次。</w:t>
      </w:r>
    </w:p>
    <w:p w14:paraId="4799EAA6">
      <w:pPr>
        <w:pStyle w:val="46"/>
        <w:spacing w:line="560" w:lineRule="exact"/>
        <w:ind w:firstLine="640" w:firstLineChars="200"/>
        <w:rPr>
          <w:rFonts w:ascii="方正仿宋_GBK" w:eastAsia="方正仿宋_GBK"/>
          <w:sz w:val="32"/>
          <w:szCs w:val="32"/>
        </w:rPr>
      </w:pPr>
      <w:r>
        <w:rPr>
          <w:rFonts w:eastAsia="方正黑体_GBK"/>
          <w:sz w:val="32"/>
          <w:szCs w:val="32"/>
        </w:rPr>
        <w:t>十六、审查标准：</w:t>
      </w:r>
    </w:p>
    <w:p w14:paraId="396D598A">
      <w:pPr>
        <w:pStyle w:val="46"/>
        <w:spacing w:line="560" w:lineRule="exact"/>
        <w:ind w:firstLine="640" w:firstLineChars="200"/>
        <w:rPr>
          <w:rFonts w:eastAsia="方正仿宋_GBK"/>
          <w:bCs/>
          <w:sz w:val="32"/>
          <w:szCs w:val="32"/>
        </w:rPr>
      </w:pPr>
      <w:r>
        <w:rPr>
          <w:rFonts w:hint="eastAsia" w:ascii="方正仿宋_GBK" w:eastAsia="方正仿宋_GBK"/>
          <w:sz w:val="32"/>
          <w:szCs w:val="32"/>
        </w:rPr>
        <w:t>（一）申请表的内容是否如实、准确</w:t>
      </w:r>
      <w:r>
        <w:rPr>
          <w:rFonts w:hint="eastAsia" w:eastAsia="方正仿宋_GBK"/>
          <w:bCs/>
          <w:sz w:val="32"/>
          <w:szCs w:val="32"/>
        </w:rPr>
        <w:t>。</w:t>
      </w:r>
    </w:p>
    <w:p w14:paraId="1DC8D353">
      <w:pPr>
        <w:pStyle w:val="46"/>
        <w:spacing w:line="560" w:lineRule="exact"/>
        <w:ind w:firstLine="640" w:firstLineChars="200"/>
        <w:rPr>
          <w:rFonts w:hint="eastAsia" w:ascii="方正仿宋_GBK" w:eastAsia="方正仿宋_GBK"/>
          <w:sz w:val="32"/>
          <w:szCs w:val="32"/>
        </w:rPr>
      </w:pPr>
      <w:r>
        <w:rPr>
          <w:rFonts w:hint="eastAsia" w:ascii="方正仿宋_GBK" w:eastAsia="方正仿宋_GBK"/>
          <w:sz w:val="32"/>
          <w:szCs w:val="32"/>
        </w:rPr>
        <w:t>（二）上传的文件是否如实、清晰（证书、证明、备案及批准文件等必须是原件的扫描件或者加盖印章并签注“与原件核对无误”的复印件扫描件）。</w:t>
      </w:r>
    </w:p>
    <w:p w14:paraId="60FB1619">
      <w:pPr>
        <w:pStyle w:val="46"/>
        <w:spacing w:line="560" w:lineRule="exact"/>
        <w:ind w:firstLine="640" w:firstLineChars="200"/>
        <w:rPr>
          <w:rFonts w:hint="eastAsia" w:ascii="方正仿宋_GBK" w:eastAsia="方正仿宋_GBK"/>
          <w:sz w:val="32"/>
          <w:szCs w:val="32"/>
        </w:rPr>
      </w:pPr>
      <w:r>
        <w:rPr>
          <w:rFonts w:hint="eastAsia" w:ascii="方正仿宋_GBK" w:eastAsia="方正仿宋_GBK"/>
          <w:sz w:val="32"/>
          <w:szCs w:val="32"/>
        </w:rPr>
        <w:t>（三）上传的文件是否符合要求（法律法规规定须获得相关部门批准文件的，应当获得相应批准文件）。</w:t>
      </w:r>
    </w:p>
    <w:p w14:paraId="686B6380">
      <w:pPr>
        <w:pStyle w:val="46"/>
        <w:spacing w:line="560" w:lineRule="exact"/>
        <w:ind w:firstLine="640" w:firstLineChars="200"/>
        <w:rPr>
          <w:rFonts w:hint="eastAsia" w:ascii="方正仿宋_GBK" w:eastAsia="方正仿宋_GBK"/>
          <w:sz w:val="32"/>
          <w:szCs w:val="32"/>
        </w:rPr>
      </w:pPr>
      <w:r>
        <w:rPr>
          <w:rFonts w:hint="eastAsia" w:ascii="方正仿宋_GBK" w:eastAsia="方正仿宋_GBK"/>
          <w:sz w:val="32"/>
          <w:szCs w:val="32"/>
        </w:rPr>
        <w:t>（四）相关单位是否具备与出入境特殊物品相适应的生物安全控制能力。</w:t>
      </w:r>
    </w:p>
    <w:p w14:paraId="09F24629">
      <w:pPr>
        <w:wordWrap w:val="0"/>
        <w:adjustRightInd w:val="0"/>
        <w:snapToGrid w:val="0"/>
        <w:spacing w:line="560" w:lineRule="exact"/>
        <w:ind w:firstLine="640" w:firstLineChars="200"/>
        <w:rPr>
          <w:rFonts w:eastAsia="方正黑体简体"/>
          <w:sz w:val="28"/>
          <w:szCs w:val="28"/>
        </w:rPr>
      </w:pPr>
      <w:r>
        <w:rPr>
          <w:rFonts w:eastAsia="方正黑体_GBK"/>
          <w:bCs/>
          <w:szCs w:val="32"/>
        </w:rPr>
        <w:t>十七、通办范围：</w:t>
      </w:r>
      <w:r>
        <w:rPr>
          <w:rFonts w:hint="eastAsia" w:eastAsia="方正仿宋_GBK"/>
          <w:bCs/>
          <w:szCs w:val="32"/>
        </w:rPr>
        <w:t>长沙</w:t>
      </w:r>
      <w:r>
        <w:rPr>
          <w:rFonts w:eastAsia="方正仿宋_GBK"/>
          <w:bCs/>
          <w:szCs w:val="32"/>
        </w:rPr>
        <w:t>海关关区。</w:t>
      </w:r>
    </w:p>
    <w:p w14:paraId="7C3B41FC">
      <w:pPr>
        <w:wordWrap w:val="0"/>
        <w:spacing w:line="560" w:lineRule="exact"/>
        <w:ind w:firstLine="640" w:firstLineChars="200"/>
        <w:rPr>
          <w:rFonts w:eastAsia="方正仿宋_GBK"/>
          <w:b/>
          <w:bCs/>
          <w:szCs w:val="32"/>
        </w:rPr>
      </w:pPr>
      <w:r>
        <w:rPr>
          <w:rFonts w:eastAsia="方正黑体_GBK"/>
          <w:bCs/>
          <w:szCs w:val="32"/>
        </w:rPr>
        <w:t>十八、预约办理：</w:t>
      </w:r>
      <w:r>
        <w:rPr>
          <w:rFonts w:eastAsia="方正仿宋_GBK"/>
          <w:bCs/>
          <w:szCs w:val="32"/>
        </w:rPr>
        <w:t>否</w:t>
      </w:r>
      <w:r>
        <w:rPr>
          <w:rFonts w:hint="eastAsia" w:ascii="方正仿宋_GBK" w:eastAsia="方正仿宋_GBK"/>
          <w:sz w:val="32"/>
          <w:szCs w:val="32"/>
        </w:rPr>
        <w:t>（可随时提交申请）</w:t>
      </w:r>
      <w:r>
        <w:rPr>
          <w:rFonts w:ascii="方正仿宋_GBK" w:eastAsia="方正仿宋_GBK"/>
          <w:sz w:val="32"/>
          <w:szCs w:val="32"/>
        </w:rPr>
        <w:t>。</w:t>
      </w:r>
    </w:p>
    <w:p w14:paraId="750874A5">
      <w:pPr>
        <w:wordWrap w:val="0"/>
        <w:spacing w:line="560" w:lineRule="exact"/>
        <w:ind w:firstLine="640" w:firstLineChars="200"/>
        <w:rPr>
          <w:rFonts w:eastAsia="方正仿宋_GBK"/>
          <w:bCs/>
          <w:szCs w:val="32"/>
        </w:rPr>
      </w:pPr>
      <w:r>
        <w:rPr>
          <w:rFonts w:eastAsia="方正黑体_GBK"/>
          <w:bCs/>
          <w:szCs w:val="32"/>
        </w:rPr>
        <w:t>十九、网上支付：</w:t>
      </w:r>
      <w:r>
        <w:rPr>
          <w:rFonts w:eastAsia="方正仿宋_GBK"/>
          <w:bCs/>
          <w:szCs w:val="32"/>
        </w:rPr>
        <w:t>否</w:t>
      </w:r>
      <w:r>
        <w:rPr>
          <w:rFonts w:hint="eastAsia" w:ascii="方正仿宋_GBK" w:eastAsia="方正仿宋_GBK"/>
          <w:sz w:val="32"/>
          <w:szCs w:val="32"/>
        </w:rPr>
        <w:t>（不涉及）</w:t>
      </w:r>
      <w:r>
        <w:rPr>
          <w:rFonts w:eastAsia="方正仿宋_GBK"/>
          <w:bCs/>
          <w:sz w:val="32"/>
          <w:szCs w:val="32"/>
        </w:rPr>
        <w:t>。</w:t>
      </w:r>
    </w:p>
    <w:p w14:paraId="4515B72A">
      <w:pPr>
        <w:pStyle w:val="49"/>
        <w:spacing w:line="560" w:lineRule="exact"/>
        <w:ind w:firstLine="640" w:firstLineChars="200"/>
        <w:rPr>
          <w:rFonts w:hint="eastAsia" w:ascii="方正黑体_GBK" w:eastAsia="方正黑体_GBK"/>
          <w:sz w:val="32"/>
          <w:szCs w:val="32"/>
        </w:rPr>
      </w:pPr>
      <w:r>
        <w:rPr>
          <w:rFonts w:eastAsia="方正黑体_GBK"/>
          <w:bCs/>
          <w:sz w:val="32"/>
          <w:szCs w:val="32"/>
        </w:rPr>
        <w:t>二十、物流快递：</w:t>
      </w:r>
      <w:r>
        <w:rPr>
          <w:rFonts w:eastAsia="方正仿宋_GBK"/>
          <w:bCs/>
          <w:sz w:val="32"/>
          <w:szCs w:val="32"/>
        </w:rPr>
        <w:t>否</w:t>
      </w:r>
      <w:r>
        <w:rPr>
          <w:rFonts w:hint="eastAsia" w:ascii="方正仿宋_GBK" w:eastAsia="方正仿宋_GBK"/>
          <w:sz w:val="32"/>
          <w:szCs w:val="32"/>
        </w:rPr>
        <w:t>（可以随时网上查询审批结果，并自行打印）。</w:t>
      </w:r>
    </w:p>
    <w:p w14:paraId="7A0B1815">
      <w:pPr>
        <w:wordWrap w:val="0"/>
        <w:spacing w:line="560" w:lineRule="exact"/>
        <w:ind w:firstLine="640" w:firstLineChars="200"/>
        <w:rPr>
          <w:rFonts w:eastAsia="方正黑体_GBK"/>
          <w:bCs/>
          <w:szCs w:val="32"/>
        </w:rPr>
      </w:pPr>
      <w:r>
        <w:rPr>
          <w:rFonts w:eastAsia="方正黑体_GBK"/>
          <w:bCs/>
          <w:szCs w:val="32"/>
        </w:rPr>
        <w:t>二十一、办理地点：</w:t>
      </w:r>
    </w:p>
    <w:p w14:paraId="7DBDF5A5">
      <w:pPr>
        <w:wordWrap w:val="0"/>
        <w:spacing w:line="560" w:lineRule="exact"/>
        <w:ind w:firstLine="640" w:firstLineChars="200"/>
        <w:rPr>
          <w:rFonts w:eastAsia="方正仿宋_GBK"/>
          <w:bCs/>
          <w:szCs w:val="32"/>
        </w:rPr>
      </w:pPr>
      <w:r>
        <w:rPr>
          <w:rFonts w:hint="eastAsia" w:eastAsia="方正仿宋_GBK"/>
          <w:bCs/>
          <w:szCs w:val="32"/>
        </w:rPr>
        <w:t>申请人可通过以下三种方式登录系统</w:t>
      </w:r>
      <w:r>
        <w:rPr>
          <w:rFonts w:eastAsia="方正仿宋_GBK"/>
          <w:bCs/>
          <w:szCs w:val="32"/>
        </w:rPr>
        <w:t>进行网上办理</w:t>
      </w:r>
      <w:r>
        <w:rPr>
          <w:rFonts w:hint="eastAsia" w:eastAsia="方正仿宋_GBK"/>
          <w:bCs/>
          <w:szCs w:val="32"/>
        </w:rPr>
        <w:t>：</w:t>
      </w:r>
    </w:p>
    <w:p w14:paraId="25FD29AE">
      <w:pPr>
        <w:wordWrap w:val="0"/>
        <w:spacing w:line="560" w:lineRule="exact"/>
        <w:ind w:firstLine="640" w:firstLineChars="200"/>
        <w:rPr>
          <w:rFonts w:eastAsia="方正仿宋_GBK"/>
          <w:bCs/>
          <w:szCs w:val="32"/>
        </w:rPr>
      </w:pPr>
      <w:r>
        <w:rPr>
          <w:rFonts w:hint="eastAsia" w:eastAsia="方正仿宋_GBK"/>
          <w:bCs/>
          <w:szCs w:val="32"/>
        </w:rPr>
        <w:t>（一）输入网址登录系统（网址：https://customs.chinaport.gov.cn/tswpwebserver/tswp/view/homepage）；</w:t>
      </w:r>
    </w:p>
    <w:p w14:paraId="4AC0E6A6">
      <w:pPr>
        <w:wordWrap w:val="0"/>
        <w:spacing w:line="560" w:lineRule="exact"/>
        <w:ind w:firstLine="640" w:firstLineChars="200"/>
        <w:rPr>
          <w:rFonts w:eastAsia="方正仿宋_GBK"/>
          <w:bCs/>
          <w:szCs w:val="32"/>
        </w:rPr>
      </w:pPr>
      <w:r>
        <w:rPr>
          <w:rFonts w:hint="eastAsia" w:eastAsia="方正仿宋_GBK"/>
          <w:bCs/>
          <w:szCs w:val="32"/>
        </w:rPr>
        <w:t>（二）通过“海关</w:t>
      </w:r>
      <w:r>
        <w:rPr>
          <w:rFonts w:hint="eastAsia" w:eastAsia="方正仿宋_GBK"/>
          <w:bCs/>
          <w:szCs w:val="32"/>
          <w:lang w:val="en-US" w:eastAsia="zh-CN"/>
        </w:rPr>
        <w:t>政务服务</w:t>
      </w:r>
      <w:bookmarkStart w:id="1" w:name="_GoBack"/>
      <w:bookmarkEnd w:id="1"/>
      <w:r>
        <w:rPr>
          <w:rFonts w:hint="eastAsia" w:eastAsia="方正仿宋_GBK"/>
          <w:bCs/>
          <w:szCs w:val="32"/>
        </w:rPr>
        <w:t>”——行政审批——特殊物品出入境卫生检疫审批链接进入；</w:t>
      </w:r>
    </w:p>
    <w:p w14:paraId="5DF0A1F1">
      <w:pPr>
        <w:wordWrap w:val="0"/>
        <w:spacing w:line="560" w:lineRule="exact"/>
        <w:ind w:firstLine="640" w:firstLineChars="200"/>
        <w:rPr>
          <w:rFonts w:eastAsia="方正仿宋_GBK"/>
          <w:bCs/>
          <w:szCs w:val="32"/>
        </w:rPr>
      </w:pPr>
      <w:r>
        <w:rPr>
          <w:rFonts w:hint="eastAsia" w:eastAsia="方正仿宋_GBK"/>
          <w:bCs/>
          <w:szCs w:val="32"/>
        </w:rPr>
        <w:t>（三）通过国际贸易“单一窗口”标准版——业务应用——检验检疫——特殊物品出入境卫生检疫审批链接进入</w:t>
      </w:r>
      <w:r>
        <w:rPr>
          <w:rFonts w:eastAsia="方正仿宋_GBK"/>
          <w:bCs/>
          <w:szCs w:val="32"/>
        </w:rPr>
        <w:t>。</w:t>
      </w:r>
    </w:p>
    <w:p w14:paraId="1F05B5E2">
      <w:pPr>
        <w:spacing w:line="560" w:lineRule="exact"/>
        <w:ind w:firstLine="640" w:firstLineChars="200"/>
        <w:rPr>
          <w:rFonts w:eastAsia="方正黑体_GBK"/>
          <w:bCs/>
          <w:szCs w:val="32"/>
        </w:rPr>
      </w:pPr>
      <w:r>
        <w:rPr>
          <w:rFonts w:eastAsia="方正黑体_GBK"/>
          <w:bCs/>
          <w:szCs w:val="32"/>
        </w:rPr>
        <w:t>二十二、办理时间：</w:t>
      </w:r>
    </w:p>
    <w:p w14:paraId="7377B5FA">
      <w:pPr>
        <w:spacing w:line="560" w:lineRule="exact"/>
        <w:ind w:firstLine="640" w:firstLineChars="200"/>
        <w:rPr>
          <w:rFonts w:eastAsia="方正仿宋_GBK"/>
          <w:bCs/>
          <w:szCs w:val="32"/>
        </w:rPr>
      </w:pPr>
      <w:r>
        <w:rPr>
          <w:rFonts w:eastAsia="方正仿宋_GBK"/>
          <w:bCs/>
          <w:szCs w:val="32"/>
        </w:rPr>
        <w:t>网上办理。企业申请时间：24小时。</w:t>
      </w:r>
    </w:p>
    <w:p w14:paraId="3BA8A75C">
      <w:pPr>
        <w:spacing w:line="560" w:lineRule="exact"/>
        <w:ind w:firstLine="640" w:firstLineChars="200"/>
        <w:rPr>
          <w:rFonts w:eastAsia="方正仿宋_GBK"/>
          <w:bCs/>
          <w:szCs w:val="32"/>
        </w:rPr>
      </w:pPr>
      <w:r>
        <w:rPr>
          <w:rFonts w:eastAsia="方正仿宋_GBK"/>
          <w:bCs/>
          <w:szCs w:val="32"/>
        </w:rPr>
        <w:t>海关审核时间：周一至周五（节假日除外），8:30</w:t>
      </w:r>
      <w:r>
        <w:rPr>
          <w:rFonts w:hint="eastAsia" w:eastAsia="方正仿宋_GBK"/>
          <w:bCs/>
          <w:szCs w:val="32"/>
        </w:rPr>
        <w:t>—</w:t>
      </w:r>
      <w:r>
        <w:rPr>
          <w:rFonts w:eastAsia="方正仿宋_GBK"/>
          <w:bCs/>
          <w:szCs w:val="32"/>
        </w:rPr>
        <w:t>12:00，14:00</w:t>
      </w:r>
      <w:r>
        <w:rPr>
          <w:rFonts w:hint="eastAsia" w:eastAsia="方正仿宋_GBK"/>
          <w:bCs/>
          <w:szCs w:val="32"/>
        </w:rPr>
        <w:t>—</w:t>
      </w:r>
      <w:r>
        <w:rPr>
          <w:rFonts w:eastAsia="方正仿宋_GBK"/>
          <w:bCs/>
          <w:szCs w:val="32"/>
        </w:rPr>
        <w:t>17:00。</w:t>
      </w:r>
    </w:p>
    <w:p w14:paraId="3A7A216F">
      <w:pPr>
        <w:wordWrap w:val="0"/>
        <w:autoSpaceDN w:val="0"/>
        <w:spacing w:line="560" w:lineRule="exact"/>
        <w:ind w:firstLine="640" w:firstLineChars="200"/>
        <w:rPr>
          <w:bCs/>
          <w:sz w:val="21"/>
          <w:szCs w:val="32"/>
        </w:rPr>
      </w:pPr>
      <w:r>
        <w:rPr>
          <w:rFonts w:eastAsia="方正黑体_GBK"/>
          <w:bCs/>
          <w:szCs w:val="32"/>
        </w:rPr>
        <w:t>二十三、咨询电话：</w:t>
      </w:r>
      <w:r>
        <w:rPr>
          <w:rFonts w:eastAsia="方正仿宋_GBK"/>
          <w:bCs/>
          <w:szCs w:val="32"/>
        </w:rPr>
        <w:t>0731-84781005或12360海关服务热线。</w:t>
      </w:r>
    </w:p>
    <w:p w14:paraId="1292EC67">
      <w:pPr>
        <w:wordWrap w:val="0"/>
        <w:autoSpaceDN w:val="0"/>
        <w:spacing w:line="560" w:lineRule="exact"/>
        <w:ind w:firstLine="640" w:firstLineChars="200"/>
        <w:rPr>
          <w:bCs/>
          <w:szCs w:val="32"/>
        </w:rPr>
      </w:pPr>
      <w:r>
        <w:rPr>
          <w:rFonts w:eastAsia="方正黑体_GBK"/>
          <w:bCs/>
          <w:szCs w:val="32"/>
        </w:rPr>
        <w:t>二十四、监督电话：</w:t>
      </w:r>
      <w:r>
        <w:rPr>
          <w:rFonts w:eastAsia="方正仿宋_GBK"/>
          <w:bCs/>
          <w:szCs w:val="32"/>
        </w:rPr>
        <w:t>0731-84781299或12360海关服务热线。</w:t>
      </w:r>
    </w:p>
    <w:p w14:paraId="48E2455D">
      <w:pPr>
        <w:widowControl/>
        <w:autoSpaceDE w:val="0"/>
        <w:autoSpaceDN w:val="0"/>
        <w:spacing w:line="560" w:lineRule="exact"/>
        <w:jc w:val="left"/>
        <w:rPr>
          <w:rFonts w:eastAsia="方正黑体_GBK"/>
          <w:szCs w:val="32"/>
        </w:rPr>
      </w:pPr>
      <w:r>
        <w:rPr>
          <w:rFonts w:eastAsia="方正黑体_GBK"/>
          <w:szCs w:val="32"/>
        </w:rPr>
        <w:t>附件1</w:t>
      </w:r>
    </w:p>
    <w:p w14:paraId="3E92B63B">
      <w:pPr>
        <w:spacing w:line="560" w:lineRule="exact"/>
        <w:rPr>
          <w:rFonts w:eastAsia="方正小标宋_GBK"/>
          <w:sz w:val="36"/>
          <w:szCs w:val="36"/>
        </w:rPr>
      </w:pPr>
    </w:p>
    <w:p w14:paraId="51F9C680">
      <w:pPr>
        <w:spacing w:line="560" w:lineRule="exact"/>
        <w:jc w:val="center"/>
        <w:rPr>
          <w:rFonts w:eastAsia="方正小标宋_GBK"/>
          <w:sz w:val="36"/>
          <w:szCs w:val="36"/>
        </w:rPr>
      </w:pPr>
      <w:r>
        <w:rPr>
          <w:rFonts w:eastAsia="方正小标宋_GBK"/>
          <w:sz w:val="36"/>
          <w:szCs w:val="36"/>
        </w:rPr>
        <w:t>中华人民共和国      海关</w:t>
      </w:r>
    </w:p>
    <w:p w14:paraId="5CA39DBA">
      <w:pPr>
        <w:spacing w:line="560" w:lineRule="exact"/>
        <w:jc w:val="center"/>
        <w:rPr>
          <w:rFonts w:eastAsia="方正小标宋_GBK"/>
          <w:sz w:val="36"/>
          <w:szCs w:val="36"/>
        </w:rPr>
      </w:pPr>
      <w:r>
        <w:rPr>
          <w:rFonts w:eastAsia="方正小标宋_GBK"/>
          <w:sz w:val="36"/>
          <w:szCs w:val="36"/>
        </w:rPr>
        <w:t>准予行政许可决定书</w:t>
      </w:r>
    </w:p>
    <w:p w14:paraId="6336EC6E">
      <w:pPr>
        <w:spacing w:line="560" w:lineRule="exact"/>
        <w:rPr>
          <w:rFonts w:eastAsia="方正仿宋_GBK"/>
          <w:sz w:val="28"/>
          <w:szCs w:val="28"/>
        </w:rPr>
      </w:pPr>
    </w:p>
    <w:p w14:paraId="09A989D5">
      <w:pPr>
        <w:spacing w:line="560" w:lineRule="exact"/>
        <w:ind w:firstLine="4340" w:firstLineChars="1550"/>
        <w:rPr>
          <w:rFonts w:eastAsia="方正仿宋_GBK"/>
          <w:sz w:val="28"/>
          <w:szCs w:val="28"/>
        </w:rPr>
      </w:pPr>
      <w:r>
        <w:rPr>
          <w:rFonts w:eastAsia="方正仿宋_GBK"/>
          <w:sz w:val="28"/>
          <w:szCs w:val="28"/>
        </w:rPr>
        <w:t>行政审批编号：</w:t>
      </w:r>
    </w:p>
    <w:p w14:paraId="7723ADF5">
      <w:pPr>
        <w:spacing w:line="560" w:lineRule="exact"/>
        <w:rPr>
          <w:rFonts w:eastAsia="方正仿宋_GBK"/>
          <w:sz w:val="28"/>
          <w:szCs w:val="28"/>
        </w:rPr>
      </w:pPr>
      <w:r>
        <w:rPr>
          <w:rFonts w:eastAsia="方正仿宋_GBK"/>
          <w:sz w:val="28"/>
          <w:szCs w:val="28"/>
          <w:u w:val="single"/>
        </w:rPr>
        <w:t xml:space="preserve">                          </w:t>
      </w:r>
      <w:r>
        <w:rPr>
          <w:rFonts w:eastAsia="方正仿宋_GBK"/>
          <w:sz w:val="28"/>
          <w:szCs w:val="28"/>
        </w:rPr>
        <w:t>：</w:t>
      </w:r>
    </w:p>
    <w:p w14:paraId="72054858">
      <w:pPr>
        <w:spacing w:line="560" w:lineRule="exact"/>
        <w:ind w:firstLine="630"/>
        <w:rPr>
          <w:rFonts w:eastAsia="方正仿宋_GBK"/>
          <w:sz w:val="28"/>
          <w:szCs w:val="28"/>
        </w:rPr>
      </w:pPr>
      <w:r>
        <w:rPr>
          <w:rFonts w:eastAsia="方正仿宋_GBK"/>
          <w:sz w:val="28"/>
          <w:szCs w:val="28"/>
        </w:rPr>
        <w:t>你（单位）</w:t>
      </w:r>
      <w:r>
        <w:rPr>
          <w:rFonts w:eastAsia="方正仿宋_GBK"/>
          <w:sz w:val="28"/>
        </w:rPr>
        <w:t>提出的</w:t>
      </w:r>
      <w:r>
        <w:rPr>
          <w:rFonts w:eastAsia="方正仿宋_GBK"/>
          <w:sz w:val="28"/>
          <w:u w:val="single"/>
        </w:rPr>
        <w:t xml:space="preserve">                            </w:t>
      </w:r>
      <w:r>
        <w:rPr>
          <w:rFonts w:eastAsia="方正仿宋_GBK"/>
          <w:sz w:val="28"/>
          <w:szCs w:val="28"/>
        </w:rPr>
        <w:t>申请</w:t>
      </w:r>
      <w:r>
        <w:rPr>
          <w:rFonts w:eastAsia="方正仿宋_GBK"/>
          <w:sz w:val="28"/>
        </w:rPr>
        <w:t>，经审查，符合法定条件，</w:t>
      </w:r>
      <w:r>
        <w:rPr>
          <w:rFonts w:eastAsia="方正仿宋_GBK"/>
          <w:sz w:val="28"/>
          <w:szCs w:val="28"/>
        </w:rPr>
        <w:t>根据《</w:t>
      </w:r>
      <w:r>
        <w:rPr>
          <w:rFonts w:eastAsia="方正仿宋_GBK"/>
          <w:sz w:val="28"/>
        </w:rPr>
        <w:t>中华人民共和国</w:t>
      </w:r>
      <w:r>
        <w:rPr>
          <w:rFonts w:eastAsia="方正仿宋_GBK"/>
          <w:sz w:val="28"/>
          <w:szCs w:val="28"/>
        </w:rPr>
        <w:t>行政许可法》规定，决定</w:t>
      </w:r>
      <w:r>
        <w:rPr>
          <w:rFonts w:eastAsia="方正仿宋_GBK"/>
          <w:sz w:val="28"/>
        </w:rPr>
        <w:t>准予行政许可</w:t>
      </w:r>
      <w:r>
        <w:rPr>
          <w:rFonts w:eastAsia="方正仿宋_GBK"/>
          <w:sz w:val="28"/>
          <w:szCs w:val="28"/>
        </w:rPr>
        <w:t>。</w:t>
      </w:r>
    </w:p>
    <w:p w14:paraId="766942BA">
      <w:pPr>
        <w:spacing w:line="560" w:lineRule="exact"/>
        <w:ind w:firstLine="560" w:firstLineChars="200"/>
        <w:rPr>
          <w:rFonts w:eastAsia="方正仿宋_GBK"/>
          <w:sz w:val="28"/>
        </w:rPr>
      </w:pPr>
    </w:p>
    <w:p w14:paraId="60F698BC">
      <w:pPr>
        <w:spacing w:line="560" w:lineRule="exact"/>
        <w:ind w:firstLine="560" w:firstLineChars="200"/>
        <w:rPr>
          <w:rFonts w:eastAsia="方正仿宋_GBK"/>
          <w:sz w:val="28"/>
        </w:rPr>
      </w:pPr>
    </w:p>
    <w:p w14:paraId="4030190A">
      <w:pPr>
        <w:spacing w:line="560" w:lineRule="exact"/>
        <w:ind w:firstLine="560" w:firstLineChars="200"/>
        <w:rPr>
          <w:rFonts w:eastAsia="方正仿宋_GBK"/>
          <w:sz w:val="28"/>
        </w:rPr>
      </w:pPr>
    </w:p>
    <w:p w14:paraId="6EAF392B">
      <w:pPr>
        <w:spacing w:line="560" w:lineRule="exact"/>
        <w:ind w:firstLine="560" w:firstLineChars="200"/>
        <w:rPr>
          <w:rFonts w:eastAsia="方正仿宋_GBK"/>
          <w:sz w:val="28"/>
        </w:rPr>
      </w:pPr>
    </w:p>
    <w:p w14:paraId="3448EB02">
      <w:pPr>
        <w:spacing w:line="560" w:lineRule="exact"/>
        <w:ind w:firstLine="560" w:firstLineChars="200"/>
        <w:rPr>
          <w:rFonts w:eastAsia="方正仿宋_GBK"/>
          <w:sz w:val="28"/>
        </w:rPr>
      </w:pPr>
    </w:p>
    <w:p w14:paraId="469D9EAD">
      <w:pPr>
        <w:spacing w:line="560" w:lineRule="exact"/>
        <w:ind w:firstLine="560" w:firstLineChars="200"/>
        <w:rPr>
          <w:rFonts w:eastAsia="方正仿宋_GBK"/>
          <w:sz w:val="28"/>
          <w:szCs w:val="28"/>
        </w:rPr>
      </w:pPr>
    </w:p>
    <w:p w14:paraId="17B31319">
      <w:pPr>
        <w:spacing w:line="560" w:lineRule="exact"/>
        <w:ind w:firstLine="5880" w:firstLineChars="2100"/>
        <w:rPr>
          <w:rFonts w:eastAsia="方正仿宋_GBK"/>
          <w:sz w:val="28"/>
          <w:szCs w:val="28"/>
        </w:rPr>
      </w:pPr>
      <w:r>
        <w:rPr>
          <w:rFonts w:eastAsia="方正仿宋_GBK"/>
          <w:sz w:val="28"/>
          <w:szCs w:val="28"/>
        </w:rPr>
        <w:t>（行政印章）</w:t>
      </w:r>
    </w:p>
    <w:p w14:paraId="56655AF5">
      <w:pPr>
        <w:spacing w:line="560" w:lineRule="exact"/>
        <w:rPr>
          <w:rFonts w:eastAsia="方正仿宋_GBK"/>
          <w:spacing w:val="-6"/>
          <w:szCs w:val="32"/>
        </w:rPr>
      </w:pPr>
      <w:r>
        <w:rPr>
          <w:rFonts w:eastAsia="方正仿宋_GBK"/>
          <w:spacing w:val="-6"/>
          <w:szCs w:val="32"/>
        </w:rPr>
        <w:t xml:space="preserve">                                      年    月    日</w:t>
      </w:r>
    </w:p>
    <w:p w14:paraId="1F1F4B3E">
      <w:pPr>
        <w:spacing w:line="560" w:lineRule="exact"/>
        <w:rPr>
          <w:rFonts w:eastAsia="方正黑体_GBK"/>
          <w:szCs w:val="32"/>
        </w:rPr>
      </w:pPr>
    </w:p>
    <w:p w14:paraId="662C554E">
      <w:pPr>
        <w:spacing w:line="560" w:lineRule="exact"/>
        <w:rPr>
          <w:rFonts w:eastAsia="方正黑体_GBK"/>
          <w:szCs w:val="32"/>
        </w:rPr>
      </w:pPr>
    </w:p>
    <w:p w14:paraId="643F2DD9">
      <w:pPr>
        <w:spacing w:line="560" w:lineRule="exact"/>
        <w:rPr>
          <w:rFonts w:eastAsia="方正黑体_GBK"/>
          <w:szCs w:val="32"/>
        </w:rPr>
      </w:pPr>
    </w:p>
    <w:p w14:paraId="3D1736DE">
      <w:pPr>
        <w:spacing w:line="560" w:lineRule="exact"/>
        <w:rPr>
          <w:rFonts w:eastAsia="方正黑体_GBK"/>
          <w:szCs w:val="32"/>
        </w:rPr>
      </w:pPr>
    </w:p>
    <w:p w14:paraId="71F2177C">
      <w:pPr>
        <w:spacing w:line="560" w:lineRule="exact"/>
        <w:rPr>
          <w:rFonts w:eastAsia="方正黑体_GBK"/>
          <w:szCs w:val="32"/>
        </w:rPr>
      </w:pPr>
    </w:p>
    <w:p w14:paraId="4A6999C6">
      <w:pPr>
        <w:widowControl/>
        <w:autoSpaceDE w:val="0"/>
        <w:autoSpaceDN w:val="0"/>
        <w:spacing w:line="560" w:lineRule="exact"/>
        <w:jc w:val="left"/>
        <w:rPr>
          <w:rFonts w:eastAsia="方正黑体_GBK"/>
          <w:szCs w:val="32"/>
        </w:rPr>
      </w:pPr>
      <w:r>
        <w:rPr>
          <w:rFonts w:eastAsia="方正黑体_GBK"/>
          <w:szCs w:val="32"/>
        </w:rPr>
        <w:t>附件2</w:t>
      </w:r>
    </w:p>
    <w:p w14:paraId="1D9181A0">
      <w:pPr>
        <w:spacing w:line="560" w:lineRule="exact"/>
        <w:rPr>
          <w:rFonts w:eastAsia="方正仿宋_GBK"/>
          <w:sz w:val="28"/>
          <w:szCs w:val="28"/>
        </w:rPr>
      </w:pPr>
    </w:p>
    <w:p w14:paraId="369A3482">
      <w:pPr>
        <w:spacing w:line="560" w:lineRule="exact"/>
        <w:jc w:val="center"/>
        <w:rPr>
          <w:rFonts w:eastAsia="方正小标宋_GBK"/>
          <w:sz w:val="36"/>
          <w:szCs w:val="36"/>
        </w:rPr>
      </w:pPr>
      <w:r>
        <w:rPr>
          <w:rFonts w:eastAsia="方正小标宋_GBK"/>
          <w:sz w:val="36"/>
          <w:szCs w:val="36"/>
        </w:rPr>
        <w:t>中华人民共和国      海关</w:t>
      </w:r>
    </w:p>
    <w:p w14:paraId="66B79411">
      <w:pPr>
        <w:spacing w:line="560" w:lineRule="exact"/>
        <w:jc w:val="center"/>
        <w:rPr>
          <w:rFonts w:eastAsia="方正小标宋_GBK"/>
          <w:sz w:val="36"/>
          <w:szCs w:val="36"/>
        </w:rPr>
      </w:pPr>
      <w:r>
        <w:rPr>
          <w:rFonts w:eastAsia="方正小标宋_GBK"/>
          <w:sz w:val="36"/>
          <w:szCs w:val="36"/>
        </w:rPr>
        <w:t>不予行政许可决定书</w:t>
      </w:r>
    </w:p>
    <w:p w14:paraId="631A5DBE">
      <w:pPr>
        <w:spacing w:line="560" w:lineRule="exact"/>
        <w:jc w:val="center"/>
        <w:rPr>
          <w:rFonts w:eastAsia="方正小标宋_GBK"/>
          <w:sz w:val="36"/>
          <w:szCs w:val="36"/>
        </w:rPr>
      </w:pPr>
    </w:p>
    <w:p w14:paraId="1D85AC7E">
      <w:pPr>
        <w:spacing w:line="560" w:lineRule="exact"/>
        <w:ind w:firstLine="4340" w:firstLineChars="1550"/>
        <w:rPr>
          <w:rFonts w:eastAsia="方正仿宋_GBK"/>
          <w:sz w:val="28"/>
        </w:rPr>
      </w:pPr>
      <w:r>
        <w:rPr>
          <w:rFonts w:eastAsia="方正仿宋_GBK"/>
          <w:sz w:val="28"/>
          <w:szCs w:val="28"/>
        </w:rPr>
        <w:t>行政审批编号：</w:t>
      </w:r>
    </w:p>
    <w:p w14:paraId="3D3AF0F1">
      <w:pPr>
        <w:spacing w:line="560" w:lineRule="exact"/>
        <w:rPr>
          <w:rFonts w:eastAsia="方正仿宋_GBK"/>
          <w:sz w:val="28"/>
          <w:szCs w:val="28"/>
        </w:rPr>
      </w:pPr>
      <w:r>
        <w:rPr>
          <w:rFonts w:eastAsia="方正仿宋_GBK"/>
          <w:sz w:val="28"/>
          <w:szCs w:val="28"/>
        </w:rPr>
        <w:t>______________________：</w:t>
      </w:r>
    </w:p>
    <w:p w14:paraId="795BDC53">
      <w:pPr>
        <w:spacing w:line="560" w:lineRule="exact"/>
        <w:ind w:right="-272" w:rightChars="-85" w:firstLine="700" w:firstLineChars="250"/>
        <w:rPr>
          <w:rFonts w:eastAsia="方正仿宋_GBK"/>
          <w:sz w:val="28"/>
        </w:rPr>
      </w:pPr>
      <w:r>
        <w:rPr>
          <w:rFonts w:eastAsia="方正仿宋_GBK"/>
          <w:sz w:val="28"/>
          <w:szCs w:val="28"/>
        </w:rPr>
        <w:t>经审核，根据《中华人民共和国行政许可法》及__________________________________________________________对你单位___________________________________的申请，决定不予批准。</w:t>
      </w:r>
    </w:p>
    <w:p w14:paraId="06901329">
      <w:pPr>
        <w:spacing w:line="560" w:lineRule="exact"/>
        <w:ind w:right="38" w:rightChars="12" w:firstLine="420" w:firstLineChars="150"/>
        <w:rPr>
          <w:rFonts w:eastAsia="方正仿宋_GBK"/>
          <w:sz w:val="28"/>
          <w:u w:val="single"/>
        </w:rPr>
      </w:pPr>
      <w:r>
        <w:rPr>
          <w:rFonts w:eastAsia="方正仿宋_GBK"/>
          <w:sz w:val="28"/>
          <w:szCs w:val="28"/>
        </w:rPr>
        <w:t xml:space="preserve"> 不予许可理由：</w:t>
      </w:r>
      <w:r>
        <w:rPr>
          <w:rFonts w:eastAsia="方正仿宋_GBK"/>
          <w:sz w:val="28"/>
          <w:szCs w:val="28"/>
          <w:u w:val="single"/>
        </w:rPr>
        <w:t xml:space="preserve">                                             </w:t>
      </w:r>
    </w:p>
    <w:p w14:paraId="715D0CA5">
      <w:pPr>
        <w:spacing w:line="560" w:lineRule="exact"/>
        <w:rPr>
          <w:rFonts w:eastAsia="方正仿宋_GBK"/>
          <w:sz w:val="28"/>
          <w:szCs w:val="28"/>
        </w:rPr>
      </w:pPr>
      <w:r>
        <w:rPr>
          <w:rFonts w:eastAsia="方正仿宋_GBK"/>
          <w:sz w:val="28"/>
          <w:szCs w:val="28"/>
        </w:rPr>
        <w:t>________________________________________________________________________________________________________</w:t>
      </w:r>
    </w:p>
    <w:p w14:paraId="220F1BE3">
      <w:pPr>
        <w:spacing w:line="560" w:lineRule="exact"/>
        <w:ind w:firstLine="700" w:firstLineChars="250"/>
        <w:rPr>
          <w:rFonts w:eastAsia="方正仿宋_GBK"/>
          <w:sz w:val="28"/>
          <w:szCs w:val="28"/>
        </w:rPr>
      </w:pPr>
      <w:r>
        <w:rPr>
          <w:rFonts w:eastAsia="方正仿宋_GBK"/>
          <w:sz w:val="28"/>
          <w:szCs w:val="28"/>
        </w:rPr>
        <w:t>你（单位）对本决定有异议的，可以按照《中华人民共和国行政复议法》相关规定，自本通知书收到之日起六十日内向_______________申请行政复议，也可以按照《中华人民共和国行政诉讼法》相关规定，自知道海关作出不予许可决定之日起6个月内向_____________________提起行政诉讼。</w:t>
      </w:r>
    </w:p>
    <w:p w14:paraId="19F17F24">
      <w:pPr>
        <w:spacing w:line="560" w:lineRule="exact"/>
        <w:ind w:firstLine="560" w:firstLineChars="200"/>
        <w:rPr>
          <w:rFonts w:eastAsia="方正仿宋_GBK"/>
          <w:sz w:val="28"/>
          <w:szCs w:val="28"/>
        </w:rPr>
      </w:pPr>
    </w:p>
    <w:p w14:paraId="2C7E97B9">
      <w:pPr>
        <w:spacing w:line="560" w:lineRule="exact"/>
        <w:ind w:firstLine="560" w:firstLineChars="200"/>
        <w:rPr>
          <w:rFonts w:eastAsia="方正仿宋_GBK"/>
          <w:sz w:val="28"/>
          <w:szCs w:val="28"/>
        </w:rPr>
      </w:pPr>
    </w:p>
    <w:p w14:paraId="3B08389B">
      <w:pPr>
        <w:spacing w:line="560" w:lineRule="exact"/>
        <w:ind w:firstLine="560" w:firstLineChars="200"/>
        <w:rPr>
          <w:rFonts w:eastAsia="方正仿宋_GBK"/>
          <w:sz w:val="28"/>
          <w:szCs w:val="28"/>
        </w:rPr>
      </w:pPr>
    </w:p>
    <w:p w14:paraId="6996AEAC">
      <w:pPr>
        <w:spacing w:line="560" w:lineRule="exact"/>
        <w:ind w:firstLine="5040" w:firstLineChars="1800"/>
        <w:rPr>
          <w:rFonts w:eastAsia="方正仿宋_GBK"/>
          <w:sz w:val="28"/>
          <w:szCs w:val="28"/>
        </w:rPr>
      </w:pPr>
      <w:r>
        <w:rPr>
          <w:rFonts w:eastAsia="方正仿宋_GBK"/>
          <w:sz w:val="28"/>
          <w:szCs w:val="28"/>
        </w:rPr>
        <w:t xml:space="preserve">      （行政印章）</w:t>
      </w:r>
    </w:p>
    <w:p w14:paraId="54E31854">
      <w:pPr>
        <w:spacing w:line="560" w:lineRule="exact"/>
        <w:rPr>
          <w:rFonts w:eastAsia="方正仿宋_GBK"/>
          <w:spacing w:val="-6"/>
          <w:szCs w:val="32"/>
        </w:rPr>
      </w:pPr>
      <w:r>
        <w:rPr>
          <w:rFonts w:eastAsia="方正仿宋_GBK"/>
          <w:spacing w:val="-6"/>
          <w:szCs w:val="32"/>
        </w:rPr>
        <w:t xml:space="preserve">                                     年     月     日</w:t>
      </w:r>
    </w:p>
    <w:p w14:paraId="41266581">
      <w:pPr>
        <w:widowControl/>
        <w:autoSpaceDE w:val="0"/>
        <w:autoSpaceDN w:val="0"/>
        <w:spacing w:line="560" w:lineRule="exact"/>
        <w:jc w:val="left"/>
        <w:rPr>
          <w:rFonts w:eastAsia="方正黑体_GBK"/>
          <w:szCs w:val="32"/>
        </w:rPr>
      </w:pPr>
      <w:r>
        <w:rPr>
          <w:rFonts w:eastAsia="方正黑体_GBK"/>
          <w:szCs w:val="32"/>
        </w:rPr>
        <w:t>附件3</w:t>
      </w:r>
    </w:p>
    <w:p w14:paraId="1F2F9F52">
      <w:pPr>
        <w:spacing w:line="560" w:lineRule="exact"/>
        <w:jc w:val="center"/>
        <w:rPr>
          <w:rFonts w:eastAsia="方正小标宋_GBK"/>
          <w:sz w:val="36"/>
          <w:szCs w:val="36"/>
        </w:rPr>
      </w:pPr>
      <w:r>
        <w:rPr>
          <w:rFonts w:eastAsia="方正小标宋_GBK"/>
          <w:sz w:val="36"/>
          <w:szCs w:val="36"/>
        </w:rPr>
        <w:t>中华人民共和国海关</w:t>
      </w:r>
    </w:p>
    <w:p w14:paraId="7160B43F">
      <w:pPr>
        <w:spacing w:line="560" w:lineRule="exact"/>
        <w:jc w:val="center"/>
        <w:rPr>
          <w:rFonts w:eastAsia="方正小标宋_GBK"/>
          <w:sz w:val="36"/>
          <w:szCs w:val="36"/>
        </w:rPr>
      </w:pPr>
      <w:r>
        <w:rPr>
          <w:rFonts w:eastAsia="方正小标宋_GBK"/>
          <w:sz w:val="36"/>
          <w:szCs w:val="36"/>
        </w:rPr>
        <w:t>特殊物品出入境卫生检疫审批单</w:t>
      </w:r>
    </w:p>
    <w:p w14:paraId="4506386B">
      <w:pPr>
        <w:jc w:val="center"/>
        <w:rPr>
          <w:rFonts w:eastAsia="方正黑体_GBK"/>
          <w:szCs w:val="32"/>
        </w:rPr>
      </w:pPr>
      <w:r>
        <w:rPr>
          <w:rFonts w:eastAsia="方正黑体_GBK"/>
          <w:szCs w:val="32"/>
        </w:rPr>
        <w:drawing>
          <wp:inline distT="0" distB="0" distL="85090" distR="85090">
            <wp:extent cx="4705985" cy="6601460"/>
            <wp:effectExtent l="-9524" t="-9524" r="-9524" b="-9524"/>
            <wp:docPr id="3"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pic:cNvPicPr>
                      <a:picLocks noChangeAspect="1"/>
                    </pic:cNvPicPr>
                  </pic:nvPicPr>
                  <pic:blipFill>
                    <a:blip r:embed="rId8"/>
                    <a:stretch>
                      <a:fillRect/>
                    </a:stretch>
                  </pic:blipFill>
                  <pic:spPr>
                    <a:xfrm>
                      <a:off x="0" y="0"/>
                      <a:ext cx="4706388" cy="6601817"/>
                    </a:xfrm>
                    <a:prstGeom prst="rect">
                      <a:avLst/>
                    </a:prstGeom>
                    <a:noFill/>
                    <a:ln w="9525" cap="flat" cmpd="sng">
                      <a:solidFill>
                        <a:srgbClr val="000000"/>
                      </a:solidFill>
                      <a:prstDash val="solid"/>
                      <a:miter/>
                    </a:ln>
                  </pic:spPr>
                </pic:pic>
              </a:graphicData>
            </a:graphic>
          </wp:inline>
        </w:drawing>
      </w:r>
    </w:p>
    <w:p w14:paraId="36EB307E">
      <w:pPr>
        <w:spacing w:line="560" w:lineRule="exact"/>
        <w:rPr>
          <w:rFonts w:eastAsia="方正黑体_GBK"/>
          <w:bCs/>
          <w:szCs w:val="32"/>
        </w:rPr>
      </w:pPr>
      <w:r>
        <w:rPr>
          <w:rFonts w:eastAsia="方正黑体_GBK"/>
          <w:szCs w:val="32"/>
        </w:rPr>
        <w:t>附件</w:t>
      </w:r>
      <w:r>
        <w:rPr>
          <w:rFonts w:eastAsia="方正仿宋_GBK"/>
          <w:szCs w:val="32"/>
        </w:rPr>
        <w:t>4</w:t>
      </w:r>
    </w:p>
    <w:p w14:paraId="06CBC081">
      <w:pPr>
        <w:spacing w:line="560" w:lineRule="exact"/>
        <w:rPr>
          <w:rFonts w:eastAsia="方正黑体_GBK"/>
          <w:bCs/>
          <w:szCs w:val="32"/>
        </w:rPr>
      </w:pPr>
    </w:p>
    <w:p w14:paraId="1C19B9C4">
      <w:pPr>
        <w:spacing w:line="560" w:lineRule="exact"/>
        <w:jc w:val="center"/>
        <w:rPr>
          <w:rFonts w:eastAsia="方正小标宋_GBK"/>
          <w:bCs/>
          <w:sz w:val="36"/>
          <w:szCs w:val="36"/>
        </w:rPr>
      </w:pPr>
      <w:r>
        <w:rPr>
          <w:rFonts w:eastAsia="方正小标宋_GBK"/>
          <w:bCs/>
          <w:sz w:val="36"/>
          <w:szCs w:val="36"/>
        </w:rPr>
        <w:t>出入境特殊物品卫生检疫审批申请单样表</w:t>
      </w:r>
    </w:p>
    <w:p w14:paraId="2741BD4C">
      <w:pPr>
        <w:spacing w:line="560" w:lineRule="exact"/>
        <w:rPr>
          <w:rFonts w:eastAsia="方正黑体_GBK"/>
          <w:bCs/>
          <w:szCs w:val="32"/>
        </w:rPr>
      </w:pPr>
    </w:p>
    <w:p w14:paraId="23408869">
      <w:pPr>
        <w:spacing w:line="560" w:lineRule="exact"/>
        <w:rPr>
          <w:rFonts w:eastAsia="方正黑体_GBK"/>
          <w:bCs/>
          <w:szCs w:val="32"/>
        </w:rPr>
      </w:pPr>
    </w:p>
    <w:p w14:paraId="6C78ABEB">
      <w:pPr>
        <w:spacing w:line="560" w:lineRule="exact"/>
        <w:rPr>
          <w:rFonts w:eastAsia="方正黑体_GBK"/>
          <w:bCs/>
          <w:szCs w:val="32"/>
        </w:rPr>
      </w:pPr>
    </w:p>
    <w:p w14:paraId="65CBF7FF">
      <w:pPr>
        <w:spacing w:line="560" w:lineRule="exact"/>
        <w:rPr>
          <w:rFonts w:eastAsia="方正黑体_GBK"/>
          <w:bCs/>
          <w:szCs w:val="32"/>
        </w:rPr>
      </w:pPr>
    </w:p>
    <w:p w14:paraId="720E6ED8">
      <w:pPr>
        <w:tabs>
          <w:tab w:val="left" w:pos="3460"/>
        </w:tabs>
        <w:spacing w:line="560" w:lineRule="exact"/>
        <w:rPr>
          <w:rFonts w:eastAsia="方正黑体_GBK"/>
          <w:bCs/>
          <w:szCs w:val="32"/>
        </w:rPr>
      </w:pPr>
      <w:r>
        <w:rPr>
          <w:rFonts w:eastAsia="方正黑体_GBK"/>
          <w:bCs/>
          <w:szCs w:val="32"/>
        </w:rPr>
        <w:drawing>
          <wp:anchor distT="0" distB="0" distL="114300" distR="114300" simplePos="0" relativeHeight="251659264" behindDoc="0" locked="0" layoutInCell="1" allowOverlap="1">
            <wp:simplePos x="0" y="0"/>
            <wp:positionH relativeFrom="column">
              <wp:posOffset>106680</wp:posOffset>
            </wp:positionH>
            <wp:positionV relativeFrom="paragraph">
              <wp:posOffset>-1207770</wp:posOffset>
            </wp:positionV>
            <wp:extent cx="5687695" cy="2411095"/>
            <wp:effectExtent l="0" t="0" r="0" b="0"/>
            <wp:wrapNone/>
            <wp:docPr id="6" name="图片 4" descr="0af5a19a4442471cf831976e954c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0af5a19a4442471cf831976e954c808"/>
                    <pic:cNvPicPr>
                      <a:picLocks noChangeAspect="1"/>
                    </pic:cNvPicPr>
                  </pic:nvPicPr>
                  <pic:blipFill>
                    <a:blip r:embed="rId9"/>
                    <a:stretch>
                      <a:fillRect/>
                    </a:stretch>
                  </pic:blipFill>
                  <pic:spPr>
                    <a:xfrm>
                      <a:off x="0" y="0"/>
                      <a:ext cx="5687695" cy="2411095"/>
                    </a:xfrm>
                    <a:prstGeom prst="rect">
                      <a:avLst/>
                    </a:prstGeom>
                    <a:noFill/>
                    <a:ln w="9525" cap="flat" cmpd="sng">
                      <a:noFill/>
                      <a:prstDash val="solid"/>
                      <a:miter/>
                    </a:ln>
                  </pic:spPr>
                </pic:pic>
              </a:graphicData>
            </a:graphic>
          </wp:anchor>
        </w:drawing>
      </w:r>
    </w:p>
    <w:p w14:paraId="565121E2">
      <w:pPr>
        <w:pStyle w:val="2"/>
        <w:spacing w:line="560" w:lineRule="exact"/>
      </w:pPr>
    </w:p>
    <w:p w14:paraId="1A11EBEE">
      <w:pPr>
        <w:pStyle w:val="2"/>
        <w:spacing w:line="560" w:lineRule="exact"/>
      </w:pPr>
    </w:p>
    <w:p w14:paraId="4544BAEC">
      <w:pPr>
        <w:pStyle w:val="2"/>
        <w:spacing w:line="560" w:lineRule="exact"/>
      </w:pPr>
      <w:r>
        <w:drawing>
          <wp:anchor distT="0" distB="0" distL="114300" distR="114300" simplePos="0" relativeHeight="251659264" behindDoc="0" locked="0" layoutInCell="1" allowOverlap="1">
            <wp:simplePos x="0" y="0"/>
            <wp:positionH relativeFrom="column">
              <wp:posOffset>95250</wp:posOffset>
            </wp:positionH>
            <wp:positionV relativeFrom="paragraph">
              <wp:posOffset>169545</wp:posOffset>
            </wp:positionV>
            <wp:extent cx="5685155" cy="2294255"/>
            <wp:effectExtent l="0" t="0" r="0" b="0"/>
            <wp:wrapNone/>
            <wp:docPr id="9" name="图片 7" descr="03de17ab453016682688b3290bf41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descr="03de17ab453016682688b3290bf41f8"/>
                    <pic:cNvPicPr>
                      <a:picLocks noChangeAspect="1"/>
                    </pic:cNvPicPr>
                  </pic:nvPicPr>
                  <pic:blipFill>
                    <a:blip r:embed="rId10"/>
                    <a:stretch>
                      <a:fillRect/>
                    </a:stretch>
                  </pic:blipFill>
                  <pic:spPr>
                    <a:xfrm>
                      <a:off x="0" y="0"/>
                      <a:ext cx="5685154" cy="2294255"/>
                    </a:xfrm>
                    <a:prstGeom prst="rect">
                      <a:avLst/>
                    </a:prstGeom>
                    <a:noFill/>
                    <a:ln w="9525" cap="flat" cmpd="sng">
                      <a:noFill/>
                      <a:prstDash val="solid"/>
                      <a:miter/>
                    </a:ln>
                  </pic:spPr>
                </pic:pic>
              </a:graphicData>
            </a:graphic>
          </wp:anchor>
        </w:drawing>
      </w:r>
    </w:p>
    <w:p w14:paraId="41C55164">
      <w:pPr>
        <w:pStyle w:val="2"/>
        <w:spacing w:line="560" w:lineRule="exact"/>
      </w:pPr>
    </w:p>
    <w:p w14:paraId="74B7E483">
      <w:pPr>
        <w:pStyle w:val="2"/>
        <w:spacing w:line="560" w:lineRule="exact"/>
      </w:pPr>
    </w:p>
    <w:p w14:paraId="46594EBF">
      <w:pPr>
        <w:pStyle w:val="2"/>
        <w:spacing w:line="560" w:lineRule="exact"/>
      </w:pPr>
    </w:p>
    <w:p w14:paraId="2DD759ED">
      <w:pPr>
        <w:pStyle w:val="2"/>
        <w:spacing w:line="560" w:lineRule="exact"/>
      </w:pPr>
    </w:p>
    <w:p w14:paraId="46370A2E">
      <w:pPr>
        <w:pStyle w:val="2"/>
        <w:spacing w:line="560" w:lineRule="exact"/>
        <w:ind w:left="0" w:leftChars="0" w:firstLine="0" w:firstLineChars="0"/>
      </w:pPr>
    </w:p>
    <w:p w14:paraId="04F5D396">
      <w:pPr>
        <w:spacing w:line="560" w:lineRule="exact"/>
        <w:rPr>
          <w:rFonts w:eastAsia="方正黑体_GBK"/>
          <w:bCs/>
          <w:szCs w:val="32"/>
        </w:rPr>
      </w:pPr>
    </w:p>
    <w:p w14:paraId="307AAA09">
      <w:pPr>
        <w:spacing w:line="560" w:lineRule="exact"/>
        <w:ind w:firstLine="160" w:firstLineChars="50"/>
        <w:jc w:val="center"/>
        <w:rPr>
          <w:rFonts w:eastAsia="方正黑体_GBK"/>
          <w:bCs/>
          <w:szCs w:val="32"/>
        </w:rPr>
      </w:pPr>
      <w:r>
        <w:rPr>
          <w:rFonts w:eastAsia="方正黑体_GBK"/>
          <w:bCs/>
          <w:szCs w:val="32"/>
        </w:rPr>
        <w:t>填写说明</w:t>
      </w:r>
    </w:p>
    <w:p w14:paraId="42A0CDB0">
      <w:pPr>
        <w:adjustRightInd w:val="0"/>
        <w:snapToGrid w:val="0"/>
        <w:spacing w:line="560" w:lineRule="exact"/>
        <w:ind w:firstLine="480" w:firstLineChars="150"/>
        <w:rPr>
          <w:rFonts w:eastAsia="方正仿宋_GBK"/>
          <w:bCs/>
          <w:szCs w:val="32"/>
        </w:rPr>
      </w:pPr>
      <w:r>
        <w:rPr>
          <w:rFonts w:eastAsia="方正仿宋_GBK"/>
          <w:bCs/>
          <w:szCs w:val="32"/>
        </w:rPr>
        <w:t>根据网站申请表必填项提示及下拉菜单，填写或选择申请内容，根据进出口产品种类选择相应的随附文件。</w:t>
      </w:r>
    </w:p>
    <w:p w14:paraId="6E784A3B">
      <w:pPr>
        <w:adjustRightInd w:val="0"/>
        <w:snapToGrid w:val="0"/>
        <w:spacing w:line="560" w:lineRule="exact"/>
        <w:ind w:firstLine="480" w:firstLineChars="150"/>
        <w:rPr>
          <w:rFonts w:hint="eastAsia" w:ascii="方正仿宋_GBK" w:hAnsi="方正仿宋_GBK" w:eastAsia="方正仿宋_GBK" w:cs="方正仿宋_GBK"/>
          <w:szCs w:val="32"/>
        </w:rPr>
      </w:pPr>
      <w:r>
        <w:rPr>
          <w:rFonts w:hint="eastAsia" w:ascii="方正仿宋_GBK" w:hAnsi="方正仿宋_GBK" w:eastAsia="方正仿宋_GBK" w:cs="方正仿宋_GBK"/>
          <w:szCs w:val="32"/>
        </w:rPr>
        <w:t>“数量”指特殊物品的最小包装单位数量，如疫苗的最小包装单位为“支”，细胞的最小单位为“株”，选择下拉菜单的相应内容，如下拉菜单中无对应单位可选“其他”并在备注中详细说明。</w:t>
      </w:r>
    </w:p>
    <w:p w14:paraId="06DAA7EA">
      <w:pPr>
        <w:adjustRightInd w:val="0"/>
        <w:snapToGrid w:val="0"/>
        <w:spacing w:line="560" w:lineRule="exact"/>
        <w:ind w:firstLine="480" w:firstLineChars="150"/>
        <w:rPr>
          <w:rFonts w:hint="eastAsia" w:ascii="方正仿宋_GBK" w:hAnsi="方正仿宋_GBK" w:eastAsia="方正仿宋_GBK" w:cs="方正仿宋_GBK"/>
          <w:szCs w:val="32"/>
        </w:rPr>
      </w:pPr>
      <w:r>
        <w:rPr>
          <w:rFonts w:hint="eastAsia" w:ascii="方正仿宋_GBK" w:hAnsi="方正仿宋_GBK" w:eastAsia="方正仿宋_GBK" w:cs="方正仿宋_GBK"/>
          <w:szCs w:val="32"/>
        </w:rPr>
        <w:t>“总货值”以美元计算，如该批货物的价值是以其它币种，请以申报日汇率折算成美元；如该批货物为非贸易性质，则在该栏中填“</w:t>
      </w:r>
      <w:r>
        <w:rPr>
          <w:rFonts w:eastAsia="方正仿宋_GBK"/>
          <w:szCs w:val="32"/>
        </w:rPr>
        <w:t>0</w:t>
      </w:r>
      <w:r>
        <w:rPr>
          <w:rFonts w:hint="eastAsia" w:ascii="方正仿宋_GBK" w:hAnsi="方正仿宋_GBK" w:eastAsia="方正仿宋_GBK" w:cs="方正仿宋_GBK"/>
          <w:szCs w:val="32"/>
        </w:rPr>
        <w:t>”。</w:t>
      </w:r>
    </w:p>
    <w:p w14:paraId="603B625E">
      <w:pPr>
        <w:adjustRightInd w:val="0"/>
        <w:snapToGrid w:val="0"/>
        <w:spacing w:line="560" w:lineRule="exact"/>
        <w:ind w:firstLine="640" w:firstLineChars="200"/>
        <w:rPr>
          <w:rFonts w:eastAsia="方正仿宋_GBK"/>
          <w:szCs w:val="32"/>
        </w:rPr>
      </w:pPr>
      <w:r>
        <w:rPr>
          <w:rFonts w:hint="eastAsia" w:ascii="方正仿宋_GBK" w:hAnsi="方正仿宋_GBK" w:eastAsia="方正仿宋_GBK" w:cs="方正仿宋_GBK"/>
          <w:szCs w:val="32"/>
        </w:rPr>
        <w:t>由于“出入境口岸”有临时变动的可能，此项在核销时填写。若为出境则选择办理出境特殊物品申报的隶属海关，若为入境则选择首次抵达地的隶属海关。</w:t>
      </w:r>
    </w:p>
    <w:p w14:paraId="267BA3F2">
      <w:pPr>
        <w:widowControl/>
        <w:spacing w:line="560" w:lineRule="exact"/>
        <w:jc w:val="center"/>
        <w:rPr>
          <w:rFonts w:eastAsia="方正黑体_GBK"/>
          <w:kern w:val="0"/>
          <w:szCs w:val="32"/>
        </w:rPr>
      </w:pPr>
    </w:p>
    <w:p w14:paraId="3D7B5A49">
      <w:pPr>
        <w:widowControl/>
        <w:spacing w:line="560" w:lineRule="exact"/>
        <w:jc w:val="center"/>
        <w:rPr>
          <w:rFonts w:eastAsia="方正黑体_GBK"/>
          <w:kern w:val="0"/>
          <w:szCs w:val="32"/>
        </w:rPr>
      </w:pPr>
      <w:r>
        <w:rPr>
          <w:rFonts w:eastAsia="方正黑体_GBK"/>
          <w:kern w:val="0"/>
          <w:szCs w:val="32"/>
        </w:rPr>
        <w:t xml:space="preserve">错误示例 </w:t>
      </w:r>
    </w:p>
    <w:p w14:paraId="2936C561">
      <w:pPr>
        <w:widowControl/>
        <w:spacing w:line="560" w:lineRule="exact"/>
        <w:ind w:firstLine="640" w:firstLineChars="200"/>
        <w:jc w:val="left"/>
        <w:rPr>
          <w:rFonts w:eastAsia="方正仿宋_GBK"/>
          <w:szCs w:val="32"/>
        </w:rPr>
      </w:pPr>
      <w:r>
        <w:rPr>
          <w:rFonts w:eastAsia="方正仿宋_GBK"/>
          <w:kern w:val="0"/>
          <w:szCs w:val="32"/>
        </w:rPr>
        <w:t>1.按要求应上传的文件未上传。</w:t>
      </w:r>
      <w:r>
        <w:rPr>
          <w:rFonts w:eastAsia="方正仿宋_GBK"/>
          <w:szCs w:val="32"/>
        </w:rPr>
        <w:t>例如: 出境科研合作用途的人血清样本应上传人类遗传资源管理部门出具的批准文件，未上传。</w:t>
      </w:r>
    </w:p>
    <w:p w14:paraId="10541DC0">
      <w:pPr>
        <w:widowControl/>
        <w:spacing w:line="560" w:lineRule="exact"/>
        <w:ind w:firstLine="640" w:firstLineChars="200"/>
        <w:jc w:val="left"/>
        <w:rPr>
          <w:rFonts w:eastAsia="方正仿宋_GBK"/>
          <w:szCs w:val="32"/>
        </w:rPr>
      </w:pPr>
      <w:r>
        <w:rPr>
          <w:rFonts w:eastAsia="方正仿宋_GBK"/>
          <w:kern w:val="0"/>
          <w:szCs w:val="32"/>
        </w:rPr>
        <w:t>2.出入境特殊物品描述性材料不完整、不详细或不准确，导致审批人员无法识别产品风险。</w:t>
      </w:r>
      <w:r>
        <w:rPr>
          <w:rFonts w:eastAsia="方正仿宋_GBK"/>
          <w:szCs w:val="32"/>
        </w:rPr>
        <w:t>例如：用途仅写科研，科研方向、科研内容、科研目的等不明确；产品略去了核心生物成份等。</w:t>
      </w:r>
    </w:p>
    <w:p w14:paraId="39703A2D">
      <w:pPr>
        <w:widowControl/>
        <w:spacing w:line="560" w:lineRule="exact"/>
        <w:ind w:firstLine="640" w:firstLineChars="200"/>
        <w:jc w:val="left"/>
        <w:rPr>
          <w:rFonts w:eastAsia="方正仿宋_GBK"/>
          <w:kern w:val="0"/>
          <w:szCs w:val="32"/>
        </w:rPr>
      </w:pPr>
      <w:r>
        <w:rPr>
          <w:rFonts w:eastAsia="方正仿宋_GBK"/>
          <w:kern w:val="0"/>
          <w:szCs w:val="32"/>
        </w:rPr>
        <w:t>3.单位信息有变更，未及时更新。</w:t>
      </w:r>
      <w:r>
        <w:rPr>
          <w:rFonts w:eastAsia="方正仿宋_GBK"/>
          <w:szCs w:val="32"/>
        </w:rPr>
        <w:t>例如：更换了联系人、单位地址等。</w:t>
      </w:r>
    </w:p>
    <w:p w14:paraId="2FF66DD1">
      <w:pPr>
        <w:adjustRightInd w:val="0"/>
        <w:snapToGrid w:val="0"/>
        <w:spacing w:line="560" w:lineRule="exact"/>
        <w:jc w:val="left"/>
        <w:rPr>
          <w:rFonts w:eastAsia="方正黑体_GBK"/>
          <w:kern w:val="0"/>
          <w:szCs w:val="32"/>
        </w:rPr>
      </w:pPr>
    </w:p>
    <w:p w14:paraId="4194F6E5">
      <w:pPr>
        <w:adjustRightInd w:val="0"/>
        <w:snapToGrid w:val="0"/>
        <w:spacing w:line="560" w:lineRule="exact"/>
        <w:jc w:val="left"/>
      </w:pPr>
    </w:p>
    <w:sectPr>
      <w:footerReference r:id="rId3" w:type="default"/>
      <w:footerReference r:id="rId4" w:type="even"/>
      <w:pgSz w:w="11905" w:h="16840"/>
      <w:pgMar w:top="1985" w:right="1304" w:bottom="1814" w:left="1644" w:header="1814" w:footer="1474" w:gutter="0"/>
      <w:cols w:space="720" w:num="1"/>
      <w:docGrid w:type="linesAndChars" w:linePitch="5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auto"/>
    <w:pitch w:val="default"/>
    <w:sig w:usb0="00000203" w:usb1="288F0000" w:usb2="00000006" w:usb3="00000000" w:csb0="00040001" w:csb1="00000000"/>
  </w:font>
  <w:font w:name="Lucida Sans">
    <w:altName w:val="Lucida Sans Unicode"/>
    <w:panose1 w:val="020B0602030504020204"/>
    <w:charset w:val="00"/>
    <w:family w:val="auto"/>
    <w:pitch w:val="default"/>
    <w:sig w:usb0="00000000" w:usb1="00000000" w:usb2="00000000" w:usb3="00000000" w:csb0="20000001" w:csb1="00000000"/>
    <w:embedRegular r:id="rId1" w:fontKey="{03BDB100-AA0E-4C76-A02A-7CFC833F05DE}"/>
  </w:font>
  <w:font w:name="DejaVu Sans">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swiss"/>
    <w:pitch w:val="default"/>
    <w:sig w:usb0="E0002EFF" w:usb1="C000785B" w:usb2="00000009" w:usb3="00000000" w:csb0="400001FF" w:csb1="FFFF0000"/>
  </w:font>
  <w:font w:name="方正小标宋_GBK">
    <w:panose1 w:val="02000000000000000000"/>
    <w:charset w:val="86"/>
    <w:family w:val="script"/>
    <w:pitch w:val="default"/>
    <w:sig w:usb0="A00002BF" w:usb1="38CF7CFA" w:usb2="00082016" w:usb3="00000000" w:csb0="00040001" w:csb1="00000000"/>
    <w:embedRegular r:id="rId2" w:fontKey="{F8FCE70D-02A4-402B-B2DB-9A89F51942E7}"/>
  </w:font>
  <w:font w:name="方正仿宋_GBK">
    <w:panose1 w:val="02000000000000000000"/>
    <w:charset w:val="86"/>
    <w:family w:val="script"/>
    <w:pitch w:val="default"/>
    <w:sig w:usb0="A00002BF" w:usb1="38CF7CFA" w:usb2="00082016" w:usb3="00000000" w:csb0="00040001" w:csb1="00000000"/>
    <w:embedRegular r:id="rId3" w:fontKey="{E58A2E36-DDDE-4BE3-9142-4AEDEA10ED0C}"/>
  </w:font>
  <w:font w:name="方正黑体_GBK">
    <w:panose1 w:val="02000000000000000000"/>
    <w:charset w:val="86"/>
    <w:family w:val="script"/>
    <w:pitch w:val="default"/>
    <w:sig w:usb0="A00002BF" w:usb1="38CF7CFA" w:usb2="00082016" w:usb3="00000000" w:csb0="00040001" w:csb1="00000000"/>
    <w:embedRegular r:id="rId4" w:fontKey="{86D4CE13-14BB-42B3-AD8A-36144F083FAE}"/>
  </w:font>
  <w:font w:name="方正楷体_GBK">
    <w:panose1 w:val="02000000000000000000"/>
    <w:charset w:val="86"/>
    <w:family w:val="script"/>
    <w:pitch w:val="default"/>
    <w:sig w:usb0="A00002BF" w:usb1="38CF7CFA" w:usb2="00082016" w:usb3="00000000" w:csb0="00040001" w:csb1="00000000"/>
    <w:embedRegular r:id="rId5" w:fontKey="{7AFBE027-582F-43D3-BF54-9EFB02599D67}"/>
  </w:font>
  <w:font w:name="方正黑体简体">
    <w:panose1 w:val="02000000000000000000"/>
    <w:charset w:val="86"/>
    <w:family w:val="auto"/>
    <w:pitch w:val="default"/>
    <w:sig w:usb0="A00002BF" w:usb1="184F6CFA" w:usb2="00000012" w:usb3="00000000" w:csb0="00040001" w:csb1="00000000"/>
    <w:embedRegular r:id="rId6" w:fontKey="{2753F524-55FE-4057-85CC-15B6D76E0C04}"/>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A70C76">
    <w:pPr>
      <w:pStyle w:val="15"/>
      <w:ind w:right="360"/>
      <w:jc w:val="center"/>
      <w:rPr>
        <w:sz w:val="32"/>
        <w:szCs w:val="32"/>
      </w:rPr>
    </w:pPr>
    <w:r>
      <w:rPr>
        <w:sz w:val="32"/>
        <w:szCs w:val="32"/>
      </w:rPr>
      <w:fldChar w:fldCharType="begin"/>
    </w:r>
    <w:r>
      <w:rPr>
        <w:sz w:val="32"/>
        <w:szCs w:val="32"/>
      </w:rPr>
      <w:instrText xml:space="preserve">Page</w:instrText>
    </w:r>
    <w:r>
      <w:rPr>
        <w:sz w:val="32"/>
        <w:szCs w:val="32"/>
      </w:rPr>
      <w:fldChar w:fldCharType="separate"/>
    </w:r>
    <w:r>
      <w:rPr>
        <w:sz w:val="32"/>
        <w:szCs w:val="32"/>
      </w:rPr>
      <w:t>13</w:t>
    </w:r>
    <w:r>
      <w:rPr>
        <w:sz w:val="32"/>
        <w:szCs w:val="3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4A1808">
    <w:pPr>
      <w:pStyle w:val="15"/>
      <w:framePr w:wrap="around" w:vAnchor="text" w:hAnchor="margin" w:xAlign="right" w:y="1"/>
    </w:pPr>
    <w:r>
      <w:rPr>
        <w:rStyle w:val="24"/>
      </w:rPr>
      <w:fldChar w:fldCharType="begin"/>
    </w:r>
    <w:r>
      <w:rPr>
        <w:rStyle w:val="24"/>
      </w:rPr>
      <w:instrText xml:space="preserve">Page</w:instrText>
    </w:r>
    <w:r>
      <w:rPr>
        <w:rStyle w:val="24"/>
      </w:rPr>
      <w:fldChar w:fldCharType="separate"/>
    </w:r>
    <w:r>
      <w:rPr>
        <w:rStyle w:val="24"/>
      </w:rPr>
      <w:t>1</w:t>
    </w:r>
    <w:r>
      <w:rPr>
        <w:rStyle w:val="24"/>
      </w:rPr>
      <w:fldChar w:fldCharType="end"/>
    </w:r>
  </w:p>
  <w:p w14:paraId="2FB37A23">
    <w:pPr>
      <w:pStyle w:val="15"/>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632CE1"/>
    <w:multiLevelType w:val="singleLevel"/>
    <w:tmpl w:val="C4632CE1"/>
    <w:lvl w:ilvl="0" w:tentative="0">
      <w:start w:val="1"/>
      <w:numFmt w:val="decimal"/>
      <w:pStyle w:val="8"/>
      <w:lvlText w:val="%1."/>
      <w:lvlJc w:val="left"/>
      <w:pPr>
        <w:tabs>
          <w:tab w:val="left"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isplayBackgroundShape w:val="1"/>
  <w:bordersDoNotSurroundHeader w:val="1"/>
  <w:bordersDoNotSurroundFooter w:val="1"/>
  <w:trackRevisions w:val="1"/>
  <w:documentProtection w:enforcement="0"/>
  <w:defaultTabStop w:val="420"/>
  <w:drawingGridHorizontalSpacing w:val="157"/>
  <w:drawingGridVerticalSpacing w:val="289"/>
  <w:displayHorizontalDrawingGridEvery w:val="2"/>
  <w:displayVerticalDrawingGridEvery w:val="2"/>
  <w:characterSpacingControl w:val="compressPunctuation"/>
  <w:compat>
    <w:spaceForUL/>
    <w:balanceSingleByteDoubleByteWidth/>
    <w:ulTrailSpace/>
    <w:doNotExpandShiftReturn/>
    <w:adjustLineHeightInTable/>
    <w:growAutofit/>
    <w:useFELayout/>
    <w:useAltKinsokuLineBreakRules/>
    <w:splitPgBreakAndParaMark/>
    <w:compatSetting w:name="compatibilityMode" w:uri="http://schemas.microsoft.com/office/word" w:val="14"/>
  </w:compat>
  <w:rsids>
    <w:rsidRoot w:val="00000000"/>
    <w:rsid w:val="32CB4DE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qFormat="1"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32"/>
      <w:szCs w:val="21"/>
      <w:lang w:val="en-US" w:eastAsia="zh-CN" w:bidi="ar-SA"/>
    </w:rPr>
  </w:style>
  <w:style w:type="paragraph" w:styleId="4">
    <w:name w:val="heading 1"/>
    <w:basedOn w:val="1"/>
    <w:next w:val="1"/>
    <w:qFormat/>
    <w:uiPriority w:val="0"/>
    <w:pPr>
      <w:keepNext/>
      <w:keepLines/>
      <w:widowControl w:val="0"/>
      <w:spacing w:before="340" w:after="330" w:line="578" w:lineRule="auto"/>
      <w:outlineLvl w:val="0"/>
    </w:pPr>
    <w:rPr>
      <w:b/>
      <w:kern w:val="44"/>
      <w:sz w:val="44"/>
    </w:rPr>
  </w:style>
  <w:style w:type="paragraph" w:styleId="5">
    <w:name w:val="heading 2"/>
    <w:basedOn w:val="1"/>
    <w:next w:val="1"/>
    <w:qFormat/>
    <w:uiPriority w:val="0"/>
    <w:pPr>
      <w:keepNext/>
      <w:keepLines/>
      <w:widowControl w:val="0"/>
      <w:spacing w:before="260" w:after="260" w:line="415" w:lineRule="auto"/>
      <w:outlineLvl w:val="1"/>
    </w:pPr>
    <w:rPr>
      <w:rFonts w:ascii="Arial" w:hAnsi="Arial" w:eastAsia="黑体"/>
      <w:b/>
    </w:rPr>
  </w:style>
  <w:style w:type="paragraph" w:styleId="6">
    <w:name w:val="heading 3"/>
    <w:basedOn w:val="1"/>
    <w:next w:val="1"/>
    <w:uiPriority w:val="0"/>
    <w:pPr>
      <w:keepNext/>
      <w:keepLines/>
      <w:widowControl w:val="0"/>
      <w:spacing w:before="260" w:after="260" w:line="415" w:lineRule="auto"/>
      <w:outlineLvl w:val="2"/>
    </w:pPr>
    <w:rPr>
      <w:b/>
    </w:rPr>
  </w:style>
  <w:style w:type="character" w:default="1" w:styleId="23">
    <w:name w:val="Default Paragraph Fon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200" w:firstLineChars="200"/>
    </w:pPr>
  </w:style>
  <w:style w:type="paragraph" w:styleId="3">
    <w:name w:val="Body Text Indent"/>
    <w:basedOn w:val="1"/>
    <w:qFormat/>
    <w:uiPriority w:val="0"/>
    <w:pPr>
      <w:spacing w:after="120"/>
      <w:ind w:left="200" w:leftChars="200"/>
    </w:pPr>
  </w:style>
  <w:style w:type="paragraph" w:styleId="7">
    <w:name w:val="index 8"/>
    <w:basedOn w:val="1"/>
    <w:next w:val="1"/>
    <w:qFormat/>
    <w:uiPriority w:val="0"/>
    <w:pPr>
      <w:ind w:left="2940"/>
    </w:pPr>
  </w:style>
  <w:style w:type="paragraph" w:styleId="8">
    <w:name w:val="List Number"/>
    <w:basedOn w:val="1"/>
    <w:qFormat/>
    <w:uiPriority w:val="0"/>
    <w:pPr>
      <w:numPr>
        <w:ilvl w:val="0"/>
        <w:numId w:val="1"/>
      </w:numPr>
    </w:pPr>
  </w:style>
  <w:style w:type="paragraph" w:styleId="9">
    <w:name w:val="index 5"/>
    <w:basedOn w:val="1"/>
    <w:next w:val="1"/>
    <w:qFormat/>
    <w:uiPriority w:val="0"/>
    <w:pPr>
      <w:ind w:left="800" w:leftChars="800"/>
    </w:pPr>
  </w:style>
  <w:style w:type="paragraph" w:styleId="10">
    <w:name w:val="index 6"/>
    <w:basedOn w:val="1"/>
    <w:next w:val="1"/>
    <w:autoRedefine/>
    <w:qFormat/>
    <w:uiPriority w:val="0"/>
    <w:pPr>
      <w:ind w:left="2100"/>
    </w:pPr>
  </w:style>
  <w:style w:type="paragraph" w:styleId="11">
    <w:name w:val="toc 5"/>
    <w:basedOn w:val="1"/>
    <w:next w:val="1"/>
    <w:autoRedefine/>
    <w:qFormat/>
    <w:uiPriority w:val="0"/>
    <w:pPr>
      <w:ind w:left="1680"/>
    </w:pPr>
  </w:style>
  <w:style w:type="paragraph" w:styleId="12">
    <w:name w:val="toc 3"/>
    <w:basedOn w:val="1"/>
    <w:next w:val="1"/>
    <w:qFormat/>
    <w:uiPriority w:val="0"/>
    <w:pPr>
      <w:ind w:left="840"/>
    </w:pPr>
  </w:style>
  <w:style w:type="paragraph" w:styleId="13">
    <w:name w:val="Date"/>
    <w:basedOn w:val="1"/>
    <w:next w:val="1"/>
    <w:uiPriority w:val="0"/>
    <w:pPr>
      <w:ind w:left="2500" w:leftChars="2500"/>
    </w:pPr>
  </w:style>
  <w:style w:type="paragraph" w:styleId="14">
    <w:name w:val="Balloon Text"/>
    <w:basedOn w:val="1"/>
    <w:qFormat/>
    <w:uiPriority w:val="0"/>
    <w:rPr>
      <w:sz w:val="18"/>
      <w:szCs w:val="18"/>
    </w:rPr>
  </w:style>
  <w:style w:type="paragraph" w:styleId="15">
    <w:name w:val="footer"/>
    <w:basedOn w:val="1"/>
    <w:qFormat/>
    <w:uiPriority w:val="0"/>
    <w:pPr>
      <w:tabs>
        <w:tab w:val="center" w:pos="4153"/>
        <w:tab w:val="right" w:pos="8307"/>
      </w:tabs>
      <w:snapToGrid w:val="0"/>
      <w:jc w:val="left"/>
    </w:pPr>
    <w:rPr>
      <w:sz w:val="18"/>
    </w:rPr>
  </w:style>
  <w:style w:type="paragraph" w:styleId="16">
    <w:name w:val="header"/>
    <w:basedOn w:val="1"/>
    <w:qFormat/>
    <w:uiPriority w:val="0"/>
    <w:pPr>
      <w:pBdr>
        <w:bottom w:val="single" w:color="auto" w:sz="6" w:space="1"/>
      </w:pBdr>
      <w:tabs>
        <w:tab w:val="center" w:pos="4153"/>
        <w:tab w:val="right" w:pos="8307"/>
      </w:tabs>
      <w:snapToGrid w:val="0"/>
      <w:jc w:val="center"/>
    </w:pPr>
    <w:rPr>
      <w:sz w:val="18"/>
    </w:rPr>
  </w:style>
  <w:style w:type="paragraph" w:styleId="17">
    <w:name w:val="toc 1"/>
    <w:basedOn w:val="1"/>
    <w:next w:val="1"/>
    <w:autoRedefine/>
    <w:qFormat/>
    <w:uiPriority w:val="0"/>
  </w:style>
  <w:style w:type="paragraph" w:styleId="18">
    <w:name w:val="toc 4"/>
    <w:basedOn w:val="1"/>
    <w:next w:val="1"/>
    <w:qFormat/>
    <w:uiPriority w:val="0"/>
    <w:pPr>
      <w:ind w:left="1260"/>
    </w:pPr>
  </w:style>
  <w:style w:type="paragraph" w:styleId="19">
    <w:name w:val="toc 6"/>
    <w:basedOn w:val="1"/>
    <w:next w:val="1"/>
    <w:qFormat/>
    <w:uiPriority w:val="0"/>
    <w:pPr>
      <w:jc w:val="center"/>
    </w:pPr>
  </w:style>
  <w:style w:type="paragraph" w:styleId="20">
    <w:name w:val="List 5"/>
    <w:basedOn w:val="1"/>
    <w:qFormat/>
    <w:uiPriority w:val="0"/>
    <w:pPr>
      <w:ind w:left="2100" w:hanging="420"/>
    </w:pPr>
  </w:style>
  <w:style w:type="paragraph" w:styleId="21">
    <w:name w:val="Body Text 2"/>
    <w:basedOn w:val="1"/>
    <w:qFormat/>
    <w:uiPriority w:val="0"/>
    <w:pPr>
      <w:spacing w:after="120" w:line="480" w:lineRule="auto"/>
    </w:pPr>
  </w:style>
  <w:style w:type="character" w:styleId="24">
    <w:name w:val="page number"/>
    <w:basedOn w:val="23"/>
    <w:qFormat/>
    <w:uiPriority w:val="0"/>
  </w:style>
  <w:style w:type="character" w:styleId="25">
    <w:name w:val="line number"/>
    <w:basedOn w:val="23"/>
    <w:qFormat/>
    <w:uiPriority w:val="0"/>
  </w:style>
  <w:style w:type="character" w:styleId="26">
    <w:name w:val="Hyperlink"/>
    <w:basedOn w:val="23"/>
    <w:qFormat/>
    <w:uiPriority w:val="0"/>
    <w:rPr>
      <w:color w:val="0000FF"/>
      <w:u w:val="single"/>
    </w:rPr>
  </w:style>
  <w:style w:type="character" w:styleId="27">
    <w:name w:val="footnote reference"/>
    <w:qFormat/>
    <w:uiPriority w:val="0"/>
    <w:rPr>
      <w:vertAlign w:val="superscript"/>
    </w:rPr>
  </w:style>
  <w:style w:type="paragraph" w:customStyle="1" w:styleId="28">
    <w:name w:val="列出段落1"/>
    <w:next w:val="19"/>
    <w:qFormat/>
    <w:uiPriority w:val="0"/>
    <w:pPr>
      <w:widowControl w:val="0"/>
      <w:ind w:firstLine="200" w:firstLineChars="200"/>
      <w:jc w:val="both"/>
    </w:pPr>
    <w:rPr>
      <w:rFonts w:ascii="Calibri" w:hAnsi="Calibri" w:eastAsia="宋体" w:cs="Calibri"/>
      <w:kern w:val="2"/>
      <w:sz w:val="21"/>
      <w:szCs w:val="21"/>
      <w:lang w:val="en-US" w:eastAsia="zh-CN" w:bidi="ar-SA"/>
    </w:rPr>
  </w:style>
  <w:style w:type="paragraph" w:customStyle="1" w:styleId="29">
    <w:name w:val="样式 29 10 磅1"/>
    <w:next w:val="7"/>
    <w:qFormat/>
    <w:uiPriority w:val="0"/>
    <w:pPr>
      <w:widowControl w:val="0"/>
      <w:ind w:firstLine="200" w:firstLineChars="200"/>
      <w:jc w:val="both"/>
    </w:pPr>
    <w:rPr>
      <w:rFonts w:ascii="Calibri" w:hAnsi="Calibri" w:eastAsia="宋体" w:cs="Calibri"/>
      <w:kern w:val="2"/>
      <w:sz w:val="21"/>
      <w:szCs w:val="21"/>
      <w:lang w:val="en-US" w:eastAsia="zh-CN" w:bidi="ar-SA"/>
    </w:rPr>
  </w:style>
  <w:style w:type="paragraph" w:customStyle="1" w:styleId="30">
    <w:name w:val="脚注文本7"/>
    <w:next w:val="12"/>
    <w:qFormat/>
    <w:uiPriority w:val="0"/>
    <w:pPr>
      <w:widowControl w:val="0"/>
      <w:snapToGrid w:val="0"/>
    </w:pPr>
    <w:rPr>
      <w:rFonts w:ascii="Times New Roman" w:hAnsi="Times New Roman" w:eastAsia="宋体" w:cs="Times New Roman"/>
      <w:kern w:val="2"/>
      <w:sz w:val="18"/>
      <w:szCs w:val="21"/>
      <w:lang w:val="en-US" w:eastAsia="zh-CN" w:bidi="ar-SA"/>
    </w:rPr>
  </w:style>
  <w:style w:type="paragraph" w:customStyle="1" w:styleId="31">
    <w:name w:val="样式 1 10 磅"/>
    <w:next w:val="18"/>
    <w:qFormat/>
    <w:uiPriority w:val="0"/>
    <w:pPr>
      <w:widowControl w:val="0"/>
      <w:jc w:val="both"/>
    </w:pPr>
    <w:rPr>
      <w:rFonts w:ascii="Times New Roman" w:hAnsi="Times New Roman" w:eastAsia="宋体" w:cs="Arial"/>
      <w:kern w:val="2"/>
      <w:sz w:val="21"/>
      <w:szCs w:val="21"/>
      <w:lang w:val="en-US" w:eastAsia="zh-CN" w:bidi="ar-SA"/>
    </w:rPr>
  </w:style>
  <w:style w:type="paragraph" w:customStyle="1" w:styleId="32">
    <w:name w:val="样式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
    <w:name w:val="样式 3 10 磅"/>
    <w:next w:val="9"/>
    <w:qFormat/>
    <w:uiPriority w:val="0"/>
    <w:pPr>
      <w:widowControl w:val="0"/>
      <w:ind w:firstLine="200" w:firstLineChars="200"/>
      <w:jc w:val="both"/>
    </w:pPr>
    <w:rPr>
      <w:rFonts w:ascii="Calibri" w:hAnsi="Calibri" w:eastAsia="宋体" w:cs="Calibri"/>
      <w:kern w:val="2"/>
      <w:sz w:val="21"/>
      <w:szCs w:val="21"/>
      <w:lang w:val="en-US" w:eastAsia="zh-CN" w:bidi="ar-SA"/>
    </w:rPr>
  </w:style>
  <w:style w:type="paragraph" w:customStyle="1" w:styleId="34">
    <w:name w:val="样式 三号"/>
    <w:qFormat/>
    <w:uiPriority w:val="0"/>
    <w:pPr>
      <w:widowControl w:val="0"/>
      <w:jc w:val="both"/>
    </w:pPr>
    <w:rPr>
      <w:rFonts w:ascii="Times New Roman" w:hAnsi="Times New Roman" w:eastAsia="宋体" w:cs="Times New Roman"/>
      <w:kern w:val="2"/>
      <w:sz w:val="32"/>
      <w:szCs w:val="21"/>
      <w:lang w:val="en-US" w:eastAsia="zh-CN" w:bidi="ar-SA"/>
    </w:rPr>
  </w:style>
  <w:style w:type="paragraph" w:customStyle="1" w:styleId="35">
    <w:name w:val="样式 1 三号"/>
    <w:qFormat/>
    <w:uiPriority w:val="0"/>
    <w:pPr>
      <w:widowControl w:val="0"/>
      <w:jc w:val="both"/>
    </w:pPr>
    <w:rPr>
      <w:rFonts w:ascii="Times New Roman" w:hAnsi="Times New Roman" w:eastAsia="宋体" w:cs="Times New Roman"/>
      <w:kern w:val="2"/>
      <w:sz w:val="32"/>
      <w:szCs w:val="21"/>
      <w:lang w:val="en-US" w:eastAsia="zh-CN" w:bidi="ar-SA"/>
    </w:rPr>
  </w:style>
  <w:style w:type="paragraph" w:customStyle="1" w:styleId="36">
    <w:name w:val="样式 2 三号"/>
    <w:qFormat/>
    <w:uiPriority w:val="0"/>
    <w:pPr>
      <w:widowControl w:val="0"/>
      <w:jc w:val="both"/>
    </w:pPr>
    <w:rPr>
      <w:rFonts w:ascii="Times New Roman" w:hAnsi="Times New Roman" w:eastAsia="宋体" w:cs="Times New Roman"/>
      <w:kern w:val="2"/>
      <w:sz w:val="32"/>
      <w:szCs w:val="21"/>
      <w:lang w:val="en-US" w:eastAsia="zh-CN" w:bidi="ar-SA"/>
    </w:rPr>
  </w:style>
  <w:style w:type="paragraph" w:customStyle="1" w:styleId="37">
    <w:name w:val="样式 3 三号"/>
    <w:qFormat/>
    <w:uiPriority w:val="0"/>
    <w:pPr>
      <w:widowControl w:val="0"/>
      <w:jc w:val="both"/>
    </w:pPr>
    <w:rPr>
      <w:rFonts w:ascii="Times New Roman" w:hAnsi="Times New Roman" w:eastAsia="宋体" w:cs="Times New Roman"/>
      <w:kern w:val="2"/>
      <w:sz w:val="32"/>
      <w:szCs w:val="21"/>
      <w:lang w:val="en-US" w:eastAsia="zh-CN" w:bidi="ar-SA"/>
    </w:rPr>
  </w:style>
  <w:style w:type="paragraph" w:customStyle="1" w:styleId="38">
    <w:name w:val="正文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
    <w:name w:val="正文3"/>
    <w:next w:val="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
    <w:name w:val="正文4"/>
    <w:next w:val="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样式 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
    <w:name w:val="正文6"/>
    <w:next w:val="30"/>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样式 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样式 10 磅1"/>
    <w:next w:val="10"/>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样式 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正文55"/>
    <w:next w:val="2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
    <w:name w:val="样式 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
    <w:name w:val="样式 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
    <w:name w:val="正文58"/>
    <w:next w:val="1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
    <w:name w:val="样式 4 三号"/>
    <w:qFormat/>
    <w:uiPriority w:val="0"/>
    <w:pPr>
      <w:widowControl w:val="0"/>
      <w:jc w:val="center"/>
    </w:pPr>
    <w:rPr>
      <w:rFonts w:ascii="Times New Roman" w:hAnsi="Times New Roman" w:eastAsia="宋体" w:cs="Times New Roman"/>
      <w:kern w:val="2"/>
      <w:sz w:val="32"/>
      <w:szCs w:val="21"/>
      <w:lang w:val="en-US" w:eastAsia="zh-CN" w:bidi="ar-SA"/>
    </w:rPr>
  </w:style>
  <w:style w:type="paragraph" w:customStyle="1" w:styleId="51">
    <w:name w:val="样式 5 三号"/>
    <w:basedOn w:val="1"/>
    <w:qFormat/>
    <w:uiPriority w:val="0"/>
    <w:pPr>
      <w:widowControl w:val="0"/>
      <w:ind w:left="1680"/>
      <w:jc w:val="both"/>
    </w:pPr>
    <w:rPr>
      <w:rFonts w:ascii="Times New Roman" w:hAnsi="Times New Roman" w:eastAsia="宋体" w:cs="Times New Roman"/>
      <w:kern w:val="2"/>
      <w:sz w:val="32"/>
      <w:szCs w:val="21"/>
      <w:lang w:val="en-US" w:eastAsia="zh-CN" w:bidi="ar-SA"/>
    </w:rPr>
  </w:style>
  <w:style w:type="paragraph" w:customStyle="1" w:styleId="52">
    <w:name w:val="样式 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
    <w:name w:val="样式 6 三号"/>
    <w:basedOn w:val="1"/>
    <w:qFormat/>
    <w:uiPriority w:val="0"/>
    <w:pPr>
      <w:widowControl w:val="0"/>
      <w:ind w:left="1680"/>
      <w:jc w:val="both"/>
    </w:pPr>
    <w:rPr>
      <w:rFonts w:ascii="Times New Roman" w:hAnsi="Times New Roman" w:eastAsia="宋体" w:cs="Times New Roman"/>
      <w:kern w:val="2"/>
      <w:sz w:val="32"/>
      <w:szCs w:val="21"/>
      <w:lang w:val="en-US" w:eastAsia="zh-CN" w:bidi="ar-SA"/>
    </w:rPr>
  </w:style>
  <w:style w:type="paragraph" w:customStyle="1" w:styleId="54">
    <w:name w:val="样式 7 三号"/>
    <w:qFormat/>
    <w:uiPriority w:val="0"/>
    <w:pPr>
      <w:widowControl w:val="0"/>
      <w:jc w:val="both"/>
    </w:pPr>
    <w:rPr>
      <w:rFonts w:ascii="Times New Roman" w:hAnsi="Times New Roman" w:eastAsia="宋体" w:cs="Times New Roman"/>
      <w:kern w:val="2"/>
      <w:sz w:val="32"/>
      <w:szCs w:val="21"/>
      <w:lang w:val="en-US" w:eastAsia="zh-CN" w:bidi="ar-SA"/>
    </w:rPr>
  </w:style>
  <w:style w:type="paragraph" w:customStyle="1" w:styleId="55">
    <w:name w:val="样式 8 三号"/>
    <w:qFormat/>
    <w:uiPriority w:val="0"/>
    <w:pPr>
      <w:widowControl w:val="0"/>
      <w:jc w:val="both"/>
    </w:pPr>
    <w:rPr>
      <w:rFonts w:ascii="Times New Roman" w:hAnsi="Times New Roman" w:eastAsia="宋体" w:cs="Times New Roman"/>
      <w:kern w:val="2"/>
      <w:sz w:val="32"/>
      <w:szCs w:val="21"/>
      <w:lang w:val="en-US" w:eastAsia="zh-CN" w:bidi="ar-SA"/>
    </w:rPr>
  </w:style>
  <w:style w:type="paragraph" w:customStyle="1" w:styleId="56">
    <w:name w:val="样式 9 10 磅"/>
    <w:qFormat/>
    <w:uiPriority w:val="0"/>
    <w:pPr>
      <w:widowControl w:val="0"/>
      <w:ind w:firstLine="200" w:firstLineChars="200"/>
      <w:jc w:val="both"/>
    </w:pPr>
    <w:rPr>
      <w:rFonts w:ascii="Calibri" w:hAnsi="Calibri" w:eastAsia="宋体" w:cs="Calibri"/>
      <w:kern w:val="2"/>
      <w:sz w:val="21"/>
      <w:szCs w:val="21"/>
      <w:lang w:val="en-US" w:eastAsia="zh-CN" w:bidi="ar-SA"/>
    </w:rPr>
  </w:style>
  <w:style w:type="paragraph" w:customStyle="1" w:styleId="57">
    <w:name w:val="样式 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8">
    <w:name w:val="样式 9 三号"/>
    <w:qFormat/>
    <w:uiPriority w:val="0"/>
    <w:pPr>
      <w:widowControl w:val="0"/>
      <w:jc w:val="both"/>
    </w:pPr>
    <w:rPr>
      <w:rFonts w:ascii="Times New Roman" w:hAnsi="Times New Roman" w:eastAsia="宋体" w:cs="Times New Roman"/>
      <w:kern w:val="2"/>
      <w:sz w:val="32"/>
      <w:szCs w:val="21"/>
      <w:lang w:val="en-US" w:eastAsia="zh-CN" w:bidi="ar-SA"/>
    </w:rPr>
  </w:style>
  <w:style w:type="paragraph" w:customStyle="1" w:styleId="59">
    <w:name w:val="样式 10 三号"/>
    <w:uiPriority w:val="0"/>
    <w:pPr>
      <w:widowControl w:val="0"/>
      <w:jc w:val="both"/>
    </w:pPr>
    <w:rPr>
      <w:rFonts w:ascii="Times New Roman" w:hAnsi="Times New Roman" w:eastAsia="宋体" w:cs="Times New Roman"/>
      <w:kern w:val="2"/>
      <w:sz w:val="32"/>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139B564C-264D-4925-9F59-7DDC1C5FEAB5}">
  <ds:schemaRefs/>
</ds:datastoreItem>
</file>

<file path=docProps/app.xml><?xml version="1.0" encoding="utf-8"?>
<Properties xmlns="http://schemas.openxmlformats.org/officeDocument/2006/extended-properties" xmlns:vt="http://schemas.openxmlformats.org/officeDocument/2006/docPropsVTypes">
  <Template>Normal.eit</Template>
  <Company>YOZOSOFT</Company>
  <Pages>12</Pages>
  <Words>3376</Words>
  <Characters>3823</Characters>
  <Lines>0</Lines>
  <Paragraphs>153</Paragraphs>
  <TotalTime>243</TotalTime>
  <ScaleCrop>false</ScaleCrop>
  <LinksUpToDate>false</LinksUpToDate>
  <CharactersWithSpaces>4040</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2022-03-08T06:34:00Z</dcterms:created>
  <dc:creator>Cynthia</dc:creator>
  <cp:lastModifiedBy>李小漾。</cp:lastModifiedBy>
  <dcterms:modified xsi:type="dcterms:W3CDTF">2025-12-17T07:23:58Z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C681CF4B5C2149CA8796F2D94FB4053A_13</vt:lpwstr>
  </property>
  <property fmtid="{D5CDD505-2E9C-101B-9397-08002B2CF9AE}" pid="4" name="KSOTemplateDocerSaveRecord">
    <vt:lpwstr>eyJoZGlkIjoiYTJjZTg2NTQxYWU0MWFmYzFiZjM4NDMzNThlY2JmYWUiLCJ1c2VySWQiOiI1MzU2MzYwNTMifQ==</vt:lpwstr>
  </property>
</Properties>
</file>