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after="0" w:line="560" w:lineRule="exact"/>
        <w:jc w:val="center"/>
        <w:rPr>
          <w:rFonts w:ascii="Times New Roman" w:eastAsia="方正小标宋_GBK" w:cs="方正小标宋简体" w:hAnsi="Times New Roman"/>
          <w:sz w:val="44"/>
          <w:szCs w:val="44"/>
        </w:rPr>
      </w:pPr>
      <w:r>
        <w:rPr>
          <w:rFonts w:ascii="Times New Roman" w:eastAsia="方正小标宋_GBK" w:cs="方正小标宋简体" w:hAnsi="Times New Roman" w:hint="eastAsia"/>
          <w:sz w:val="44"/>
          <w:szCs w:val="44"/>
        </w:rPr>
        <w:t>湖南省省直国家机关</w:t>
      </w:r>
      <w:r>
        <w:rPr>
          <w:rFonts w:ascii="Times New Roman" w:eastAsia="方正小标宋_GBK" w:cs="方正小标宋简体" w:hAnsi="Times New Roman"/>
          <w:sz w:val="44"/>
          <w:szCs w:val="44"/>
        </w:rPr>
        <w:t>及中央在湘有关单位</w:t>
      </w:r>
      <w:r>
        <w:rPr>
          <w:rFonts w:ascii="Times New Roman" w:eastAsia="方正小标宋_GBK" w:cs="方正小标宋简体" w:hAnsi="Times New Roman" w:hint="eastAsia"/>
          <w:sz w:val="44"/>
          <w:szCs w:val="44"/>
        </w:rPr>
        <w:t>“谁执法谁普法”</w:t>
      </w:r>
    </w:p>
    <w:p>
      <w:pPr>
        <w:spacing w:after="0" w:line="560" w:lineRule="exact"/>
        <w:jc w:val="center"/>
        <w:rPr>
          <w:rFonts w:ascii="Times New Roman" w:eastAsia="方正小标宋_GBK" w:cs="方正小标宋简体" w:hAnsi="Times New Roman"/>
          <w:sz w:val="44"/>
          <w:szCs w:val="44"/>
        </w:rPr>
      </w:pPr>
      <w:r>
        <w:rPr>
          <w:rFonts w:ascii="Times New Roman" w:eastAsia="方正小标宋_GBK" w:cs="方正小标宋简体" w:hAnsi="Times New Roman"/>
          <w:sz w:val="44"/>
          <w:szCs w:val="44"/>
        </w:rPr>
        <w:t>普法</w:t>
      </w:r>
      <w:r>
        <w:rPr>
          <w:rFonts w:ascii="Times New Roman" w:eastAsia="方正小标宋_GBK" w:cs="方正小标宋简体" w:hAnsi="Times New Roman" w:hint="eastAsia"/>
          <w:sz w:val="44"/>
          <w:szCs w:val="44"/>
        </w:rPr>
        <w:t>责任清单</w:t>
      </w:r>
      <w:r>
        <w:rPr>
          <w:rFonts w:ascii="Times New Roman" w:eastAsia="方正小标宋_GBK" w:cs="方正小标宋简体" w:hAnsi="Times New Roman"/>
          <w:sz w:val="44"/>
          <w:szCs w:val="44"/>
        </w:rPr>
        <w:t>报送表</w:t>
      </w:r>
    </w:p>
    <w:p>
      <w:pPr>
        <w:spacing w:after="0" w:line="560" w:lineRule="exact"/>
        <w:jc w:val="center"/>
        <w:rPr>
          <w:rFonts w:ascii="Times New Roman" w:eastAsia="方正仿宋_GBK" w:hAnsi="Times New Roman"/>
          <w:sz w:val="28"/>
          <w:szCs w:val="32"/>
        </w:rPr>
      </w:pPr>
      <w:r>
        <w:rPr>
          <w:rFonts w:ascii="Times New Roman" w:eastAsia="方正仿宋_GBK" w:hAnsi="Times New Roman" w:hint="eastAsia"/>
          <w:sz w:val="28"/>
          <w:szCs w:val="32"/>
        </w:rPr>
        <w:t>单位：长沙海关                                                                                              填报时间：2023年2月1日</w:t>
      </w:r>
    </w:p>
    <w:tbl>
      <w:tblPr>
        <w:jc w:val="left"/>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96"/>
        <w:gridCol w:w="6834"/>
        <w:gridCol w:w="3969"/>
        <w:gridCol w:w="1417"/>
      </w:tblGrid>
      <w:tr>
        <w:trPr>
          <w:trHeight w:hRule="exact" w:val="907"/>
        </w:trPr>
        <w:tc>
          <w:tcPr>
            <w:tcW w:w="1496" w:type="dxa"/>
            <w:noWrap/>
            <w:vAlign w:val="center"/>
          </w:tcPr>
          <w:p>
            <w:pPr>
              <w:spacing w:after="0" w:line="400" w:lineRule="exact"/>
              <w:jc w:val="center"/>
              <w:rPr>
                <w:rFonts w:ascii="方正仿宋_GBK" w:eastAsia="方正仿宋_GBK" w:hint="eastAsia"/>
                <w:b/>
                <w:bCs/>
                <w:sz w:val="32"/>
                <w:szCs w:val="32"/>
              </w:rPr>
            </w:pPr>
            <w:r>
              <w:rPr>
                <w:rFonts w:ascii="方正仿宋_GBK" w:eastAsia="方正仿宋_GBK" w:hint="eastAsia"/>
                <w:b/>
                <w:bCs/>
                <w:sz w:val="32"/>
                <w:szCs w:val="32"/>
              </w:rPr>
              <w:t>单位名称</w:t>
            </w:r>
          </w:p>
        </w:tc>
        <w:tc>
          <w:tcPr>
            <w:tcW w:w="6834" w:type="dxa"/>
            <w:noWrap/>
            <w:vAlign w:val="center"/>
          </w:tcPr>
          <w:p>
            <w:pPr>
              <w:spacing w:after="0" w:line="400" w:lineRule="exact"/>
              <w:jc w:val="center"/>
              <w:rPr>
                <w:rFonts w:ascii="方正仿宋_GBK" w:eastAsia="方正仿宋_GBK" w:hint="eastAsia"/>
                <w:b/>
                <w:bCs/>
                <w:sz w:val="32"/>
                <w:szCs w:val="32"/>
              </w:rPr>
            </w:pPr>
            <w:r>
              <w:rPr>
                <w:rFonts w:ascii="方正仿宋_GBK" w:eastAsia="方正仿宋_GBK" w:hint="eastAsia"/>
                <w:b/>
                <w:bCs/>
                <w:sz w:val="32"/>
                <w:szCs w:val="32"/>
              </w:rPr>
              <w:t>新增或删减的本部门重点宣传的</w:t>
            </w:r>
          </w:p>
          <w:p>
            <w:pPr>
              <w:spacing w:after="0" w:line="400" w:lineRule="exact"/>
              <w:jc w:val="center"/>
              <w:rPr>
                <w:rFonts w:ascii="方正仿宋_GBK" w:eastAsia="方正仿宋_GBK" w:hint="eastAsia"/>
                <w:b/>
                <w:bCs/>
                <w:sz w:val="32"/>
                <w:szCs w:val="32"/>
              </w:rPr>
            </w:pPr>
            <w:r>
              <w:rPr>
                <w:rFonts w:ascii="方正仿宋_GBK" w:eastAsia="方正仿宋_GBK" w:hint="eastAsia"/>
                <w:b/>
                <w:bCs/>
                <w:sz w:val="32"/>
                <w:szCs w:val="32"/>
              </w:rPr>
              <w:t>法律法规规章</w:t>
            </w:r>
          </w:p>
        </w:tc>
        <w:tc>
          <w:tcPr>
            <w:tcW w:w="3969" w:type="dxa"/>
            <w:noWrap/>
            <w:vAlign w:val="center"/>
          </w:tcPr>
          <w:p>
            <w:pPr>
              <w:spacing w:after="0" w:line="400" w:lineRule="exact"/>
              <w:jc w:val="center"/>
              <w:rPr>
                <w:rFonts w:ascii="方正仿宋_GBK" w:eastAsia="方正仿宋_GBK" w:hint="eastAsia"/>
                <w:b/>
                <w:bCs/>
                <w:sz w:val="32"/>
                <w:szCs w:val="32"/>
              </w:rPr>
            </w:pPr>
            <w:r>
              <w:rPr>
                <w:rFonts w:ascii="方正仿宋_GBK" w:eastAsia="方正仿宋_GBK" w:hint="eastAsia"/>
                <w:b/>
                <w:bCs/>
                <w:sz w:val="32"/>
                <w:szCs w:val="32"/>
              </w:rPr>
              <w:t>责任部门</w:t>
            </w:r>
          </w:p>
        </w:tc>
        <w:tc>
          <w:tcPr>
            <w:tcW w:w="1417" w:type="dxa"/>
            <w:noWrap/>
            <w:vAlign w:val="center"/>
          </w:tcPr>
          <w:p>
            <w:pPr>
              <w:spacing w:after="0" w:line="400" w:lineRule="exact"/>
              <w:jc w:val="center"/>
              <w:rPr>
                <w:rFonts w:ascii="方正仿宋_GBK" w:eastAsia="方正仿宋_GBK" w:hint="eastAsia"/>
                <w:b/>
                <w:bCs/>
                <w:sz w:val="32"/>
                <w:szCs w:val="32"/>
              </w:rPr>
            </w:pPr>
            <w:r>
              <w:rPr>
                <w:rFonts w:ascii="方正仿宋_GBK" w:eastAsia="方正仿宋_GBK" w:hint="eastAsia"/>
                <w:b/>
                <w:bCs/>
                <w:sz w:val="32"/>
                <w:szCs w:val="32"/>
              </w:rPr>
              <w:t>备注</w:t>
            </w:r>
          </w:p>
        </w:tc>
      </w:tr>
      <w:tr>
        <w:trPr>
          <w:trHeight w:val="424"/>
        </w:trPr>
        <w:tc>
          <w:tcPr>
            <w:tcW w:w="1496" w:type="dxa"/>
            <w:vMerge w:val="restart"/>
            <w:noWrap/>
            <w:vAlign w:val="center"/>
          </w:tcPr>
          <w:p>
            <w:pPr>
              <w:spacing w:line="400" w:lineRule="exact"/>
              <w:jc w:val="center"/>
              <w:rPr>
                <w:rFonts w:ascii="Times New Roman" w:eastAsia="仿宋_GB2312" w:hAnsi="Times New Roman"/>
                <w:b/>
                <w:bCs/>
                <w:sz w:val="24"/>
                <w:szCs w:val="24"/>
              </w:rPr>
            </w:pPr>
            <w:r>
              <w:rPr>
                <w:rFonts w:ascii="Times New Roman" w:eastAsia="方正仿宋_GBK" w:cs="宋体" w:hAnsi="Times New Roman" w:hint="eastAsia"/>
                <w:b/>
                <w:bCs/>
                <w:sz w:val="28"/>
                <w:szCs w:val="28"/>
              </w:rPr>
              <w:t>长沙海关</w:t>
            </w:r>
          </w:p>
        </w:tc>
        <w:tc>
          <w:tcPr>
            <w:tcW w:w="6834" w:type="dxa"/>
            <w:noWrap/>
            <w:vAlign w:val="center"/>
          </w:tcPr>
          <w:p>
            <w:pPr>
              <w:spacing w:after="0" w:line="320" w:lineRule="exact"/>
              <w:jc w:val="both"/>
              <w:rPr>
                <w:rFonts w:ascii="Times New Roman" w:eastAsia="方正仿宋_GBK" w:hAnsi="Times New Roman"/>
                <w:sz w:val="24"/>
                <w:szCs w:val="24"/>
              </w:rPr>
            </w:pPr>
            <w:r>
              <w:rPr>
                <w:rFonts w:ascii="Times New Roman" w:eastAsia="方正仿宋_GBK" w:hAnsi="Times New Roman" w:hint="eastAsia"/>
                <w:sz w:val="24"/>
                <w:szCs w:val="24"/>
              </w:rPr>
              <w:t xml:space="preserve">1. </w:t>
            </w:r>
            <w:r>
              <w:rPr>
                <w:rFonts w:ascii="Times New Roman" w:eastAsia="方正仿宋_GBK" w:hAnsi="Times New Roman"/>
                <w:sz w:val="24"/>
                <w:szCs w:val="24"/>
              </w:rPr>
              <w:t>《</w:t>
            </w:r>
            <w:r>
              <w:rPr>
                <w:rFonts w:ascii="Times New Roman" w:eastAsia="方正仿宋_GBK" w:hAnsi="Times New Roman" w:hint="eastAsia"/>
                <w:sz w:val="24"/>
                <w:szCs w:val="24"/>
              </w:rPr>
              <w:t>海关进出口商品检验采信管理办法</w:t>
            </w:r>
            <w:r>
              <w:rPr>
                <w:rFonts w:ascii="Times New Roman" w:eastAsia="方正仿宋_GBK" w:hAnsi="Times New Roman"/>
                <w:sz w:val="24"/>
                <w:szCs w:val="24"/>
              </w:rPr>
              <w:t>》（新增）</w:t>
            </w:r>
          </w:p>
        </w:tc>
        <w:tc>
          <w:tcPr>
            <w:tcW w:w="3969" w:type="dxa"/>
            <w:noWrap/>
            <w:vAlign w:val="center"/>
          </w:tcPr>
          <w:p>
            <w:pPr>
              <w:spacing w:after="0" w:line="320" w:lineRule="exact"/>
              <w:jc w:val="center"/>
              <w:rPr>
                <w:rFonts w:ascii="Times New Roman" w:eastAsia="方正仿宋_GBK" w:hAnsi="Times New Roman"/>
                <w:sz w:val="24"/>
                <w:szCs w:val="24"/>
              </w:rPr>
            </w:pPr>
            <w:r>
              <w:rPr>
                <w:rFonts w:ascii="Times New Roman" w:eastAsia="方正仿宋_GBK" w:hAnsi="Times New Roman"/>
                <w:sz w:val="24"/>
                <w:szCs w:val="24"/>
              </w:rPr>
              <w:t>商检处</w:t>
            </w:r>
          </w:p>
        </w:tc>
        <w:tc>
          <w:tcPr>
            <w:tcW w:w="1417" w:type="dxa"/>
            <w:vMerge w:val="restart"/>
            <w:noWrap/>
            <w:vAlign w:val="center"/>
          </w:tcPr>
          <w:p>
            <w:pPr>
              <w:spacing w:after="0" w:line="320" w:lineRule="exact"/>
              <w:jc w:val="center"/>
              <w:rPr>
                <w:rFonts w:ascii="Times New Roman" w:eastAsia="仿宋_GB2312" w:hAnsi="Times New Roman"/>
                <w:sz w:val="32"/>
                <w:szCs w:val="32"/>
              </w:rPr>
            </w:pPr>
            <w:r>
              <w:rPr>
                <w:rFonts w:ascii="Times New Roman" w:eastAsia="方正仿宋_GBK" w:hAnsi="Times New Roman" w:hint="eastAsia"/>
                <w:sz w:val="24"/>
                <w:szCs w:val="24"/>
              </w:rPr>
              <w:t>结合“每会一法”党委集体学法工作开展法治宣讲。</w:t>
            </w:r>
          </w:p>
        </w:tc>
      </w:tr>
      <w:tr>
        <w:trPr>
          <w:trHeight w:val="425"/>
        </w:trPr>
        <w:tc>
          <w:tcPr>
            <w:tcW w:w="1496" w:type="dxa"/>
            <w:vMerge/>
            <w:noWrap/>
            <w:vAlign w:val="center"/>
          </w:tcPr>
          <w:p/>
        </w:tc>
        <w:tc>
          <w:tcPr>
            <w:tcW w:w="6834" w:type="dxa"/>
            <w:noWrap/>
            <w:vAlign w:val="center"/>
          </w:tcPr>
          <w:p>
            <w:pPr>
              <w:spacing w:after="0" w:line="320" w:lineRule="exact"/>
              <w:jc w:val="both"/>
              <w:rPr>
                <w:rFonts w:ascii="Times New Roman" w:eastAsia="方正仿宋_GBK" w:hAnsi="Times New Roman"/>
                <w:sz w:val="24"/>
                <w:szCs w:val="24"/>
              </w:rPr>
            </w:pPr>
            <w:r>
              <w:rPr>
                <w:rFonts w:ascii="Times New Roman" w:eastAsia="方正仿宋_GBK" w:hAnsi="Times New Roman" w:hint="eastAsia"/>
                <w:sz w:val="24"/>
                <w:szCs w:val="24"/>
              </w:rPr>
              <w:t>2</w:t>
            </w:r>
            <w:r>
              <w:rPr>
                <w:rFonts w:ascii="Times New Roman" w:eastAsia="方正仿宋_GBK" w:hAnsi="Times New Roman"/>
                <w:sz w:val="24"/>
                <w:szCs w:val="24"/>
              </w:rPr>
              <w:t xml:space="preserve">. </w:t>
            </w:r>
            <w:r>
              <w:rPr>
                <w:rFonts w:ascii="Times New Roman" w:eastAsia="方正仿宋_GBK" w:hAnsi="Times New Roman" w:hint="eastAsia"/>
                <w:sz w:val="24"/>
                <w:szCs w:val="24"/>
              </w:rPr>
              <w:t>《</w:t>
            </w:r>
            <w:r>
              <w:rPr>
                <w:rFonts w:ascii="Times New Roman" w:eastAsia="方正仿宋_GBK" w:hAnsi="Times New Roman"/>
                <w:sz w:val="24"/>
                <w:szCs w:val="24"/>
              </w:rPr>
              <w:t>行政处罚法</w:t>
            </w:r>
            <w:r>
              <w:rPr>
                <w:rFonts w:ascii="Times New Roman" w:eastAsia="方正仿宋_GBK" w:hAnsi="Times New Roman" w:hint="eastAsia"/>
                <w:sz w:val="24"/>
                <w:szCs w:val="24"/>
              </w:rPr>
              <w:t>》、《海关办理行政处罚案件程序规定》</w:t>
            </w:r>
            <w:r>
              <w:rPr>
                <w:rFonts w:ascii="Times New Roman" w:eastAsia="方正仿宋_GBK" w:hAnsi="Times New Roman"/>
                <w:sz w:val="24"/>
                <w:szCs w:val="24"/>
              </w:rPr>
              <w:t>（新增）</w:t>
            </w:r>
          </w:p>
        </w:tc>
        <w:tc>
          <w:tcPr>
            <w:tcW w:w="3969" w:type="dxa"/>
            <w:noWrap/>
            <w:vAlign w:val="center"/>
          </w:tcPr>
          <w:p>
            <w:pPr>
              <w:spacing w:after="0" w:line="320" w:lineRule="exact"/>
              <w:jc w:val="center"/>
              <w:rPr>
                <w:rFonts w:ascii="Times New Roman" w:eastAsia="方正仿宋_GBK" w:hAnsi="Times New Roman"/>
                <w:sz w:val="24"/>
                <w:szCs w:val="24"/>
              </w:rPr>
            </w:pPr>
            <w:r>
              <w:rPr>
                <w:rFonts w:ascii="Times New Roman" w:eastAsia="方正仿宋_GBK" w:hAnsi="Times New Roman"/>
                <w:sz w:val="24"/>
                <w:szCs w:val="24"/>
              </w:rPr>
              <w:t>缉私局、稽查处、法规处</w:t>
            </w:r>
          </w:p>
        </w:tc>
        <w:tc>
          <w:tcPr>
            <w:tcW w:w="1417" w:type="dxa"/>
            <w:vMerge/>
            <w:noWrap/>
          </w:tcPr>
          <w:p/>
        </w:tc>
      </w:tr>
      <w:tr>
        <w:trPr>
          <w:trHeight w:val="425"/>
        </w:trPr>
        <w:tc>
          <w:tcPr>
            <w:tcW w:w="1496" w:type="dxa"/>
            <w:vMerge/>
            <w:noWrap/>
            <w:vAlign w:val="center"/>
          </w:tcPr>
          <w:p/>
        </w:tc>
        <w:tc>
          <w:tcPr>
            <w:tcW w:w="6834" w:type="dxa"/>
            <w:noWrap/>
            <w:vAlign w:val="center"/>
          </w:tcPr>
          <w:p>
            <w:pPr>
              <w:spacing w:after="0" w:line="320" w:lineRule="exact"/>
              <w:jc w:val="both"/>
              <w:rPr>
                <w:rFonts w:ascii="Times New Roman" w:eastAsia="方正仿宋_GBK" w:hAnsi="Times New Roman"/>
                <w:sz w:val="24"/>
                <w:szCs w:val="24"/>
              </w:rPr>
            </w:pPr>
            <w:r>
              <w:rPr>
                <w:rFonts w:ascii="Times New Roman" w:eastAsia="方正仿宋_GBK" w:hAnsi="Times New Roman" w:hint="eastAsia"/>
                <w:sz w:val="24"/>
                <w:szCs w:val="24"/>
              </w:rPr>
              <w:t>3</w:t>
            </w:r>
            <w:r>
              <w:rPr>
                <w:rFonts w:ascii="Times New Roman" w:eastAsia="方正仿宋_GBK" w:hAnsi="Times New Roman"/>
                <w:sz w:val="24"/>
                <w:szCs w:val="24"/>
              </w:rPr>
              <w:t>. 《海关稽查条例》</w:t>
            </w:r>
            <w:r>
              <w:rPr>
                <w:rFonts w:ascii="Times New Roman" w:eastAsia="方正仿宋_GBK" w:hAnsi="Times New Roman" w:hint="eastAsia"/>
                <w:sz w:val="24"/>
                <w:szCs w:val="24"/>
              </w:rPr>
              <w:t>、</w:t>
            </w:r>
            <w:r>
              <w:rPr>
                <w:rFonts w:ascii="Times New Roman" w:eastAsia="方正仿宋_GBK" w:hAnsi="Times New Roman"/>
                <w:sz w:val="24"/>
                <w:szCs w:val="24"/>
              </w:rPr>
              <w:t>《海关稽查条例》实施办法（新增）</w:t>
            </w:r>
          </w:p>
        </w:tc>
        <w:tc>
          <w:tcPr>
            <w:tcW w:w="3969" w:type="dxa"/>
            <w:noWrap/>
            <w:vAlign w:val="center"/>
          </w:tcPr>
          <w:p>
            <w:pPr>
              <w:spacing w:after="0" w:line="320" w:lineRule="exact"/>
              <w:jc w:val="center"/>
              <w:rPr>
                <w:rFonts w:ascii="Times New Roman" w:eastAsia="方正仿宋_GBK" w:hAnsi="Times New Roman"/>
                <w:sz w:val="24"/>
                <w:szCs w:val="24"/>
              </w:rPr>
            </w:pPr>
            <w:r>
              <w:rPr>
                <w:rFonts w:ascii="Times New Roman" w:eastAsia="方正仿宋_GBK" w:hAnsi="Times New Roman"/>
                <w:sz w:val="24"/>
                <w:szCs w:val="24"/>
              </w:rPr>
              <w:t>稽查处</w:t>
            </w:r>
          </w:p>
        </w:tc>
        <w:tc>
          <w:tcPr>
            <w:tcW w:w="1417" w:type="dxa"/>
            <w:vMerge/>
            <w:noWrap/>
          </w:tcPr>
          <w:p/>
        </w:tc>
      </w:tr>
      <w:tr>
        <w:trPr>
          <w:trHeight w:val="425"/>
        </w:trPr>
        <w:tc>
          <w:tcPr>
            <w:tcW w:w="1496" w:type="dxa"/>
            <w:vMerge/>
            <w:noWrap/>
            <w:vAlign w:val="center"/>
          </w:tcPr>
          <w:p/>
        </w:tc>
        <w:tc>
          <w:tcPr>
            <w:tcW w:w="10803" w:type="dxa"/>
            <w:gridSpan w:val="2"/>
            <w:noWrap/>
            <w:vAlign w:val="center"/>
          </w:tcPr>
          <w:p>
            <w:pPr>
              <w:spacing w:after="0"/>
              <w:jc w:val="both"/>
              <w:rPr>
                <w:rFonts w:ascii="Times New Roman" w:eastAsia="仿宋_GB2312" w:cs="仿宋_GB2312" w:hAnsi="Times New Roman"/>
                <w:sz w:val="32"/>
                <w:szCs w:val="32"/>
              </w:rPr>
            </w:pPr>
            <w:r>
              <w:rPr>
                <w:rFonts w:ascii="Times New Roman" w:eastAsia="方正仿宋_GBK" w:cs="仿宋_GB2312" w:hAnsi="Times New Roman" w:hint="eastAsia"/>
                <w:sz w:val="28"/>
                <w:szCs w:val="28"/>
              </w:rPr>
              <w:t>本单位普法工作的组织协调部门：</w:t>
            </w:r>
            <w:r>
              <w:rPr>
                <w:rFonts w:ascii="Times New Roman" w:eastAsia="方正仿宋_GBK" w:hAnsi="Times New Roman" w:hint="eastAsia"/>
                <w:sz w:val="28"/>
                <w:szCs w:val="28"/>
              </w:rPr>
              <w:t>法规处</w:t>
            </w:r>
          </w:p>
        </w:tc>
        <w:tc>
          <w:tcPr>
            <w:tcW w:w="1417" w:type="dxa"/>
            <w:vMerge/>
            <w:noWrap/>
          </w:tcPr>
          <w:p/>
        </w:tc>
      </w:tr>
    </w:tbl>
    <w:p>
      <w:pPr>
        <w:spacing w:after="0" w:line="560" w:lineRule="exact"/>
        <w:jc w:val="center"/>
        <w:rPr>
          <w:rFonts w:ascii="Times New Roman" w:eastAsia="方正小标宋_GBK" w:cs="方正小标宋简体" w:hAnsi="Times New Roman"/>
          <w:sz w:val="44"/>
          <w:szCs w:val="44"/>
        </w:rPr>
      </w:pPr>
    </w:p>
    <w:p>
      <w:pPr>
        <w:spacing w:after="0" w:line="560" w:lineRule="exact"/>
        <w:jc w:val="center"/>
        <w:rPr>
          <w:rFonts w:ascii="Times New Roman" w:eastAsia="方正小标宋_GBK" w:cs="方正小标宋简体" w:hAnsi="Times New Roman"/>
          <w:sz w:val="44"/>
          <w:szCs w:val="44"/>
        </w:rPr>
      </w:pPr>
      <w:r>
        <w:rPr>
          <w:rFonts w:ascii="Times New Roman" w:eastAsia="方正小标宋_GBK" w:cs="方正小标宋简体" w:hAnsi="Times New Roman" w:hint="eastAsia"/>
          <w:sz w:val="44"/>
          <w:szCs w:val="44"/>
        </w:rPr>
        <w:t>2023年湖南省省直国家机关“谁执法谁普法”任务清单</w:t>
      </w:r>
    </w:p>
    <w:p>
      <w:pPr>
        <w:spacing w:after="0" w:line="560" w:lineRule="exact"/>
        <w:jc w:val="center"/>
        <w:rPr>
          <w:rFonts w:ascii="Times New Roman" w:eastAsia="方正仿宋_GBK" w:hAnsi="Times New Roman"/>
          <w:sz w:val="28"/>
          <w:szCs w:val="32"/>
        </w:rPr>
      </w:pPr>
      <w:r>
        <w:rPr>
          <w:rFonts w:ascii="Times New Roman" w:eastAsia="方正仿宋_GBK" w:hAnsi="Times New Roman"/>
          <w:sz w:val="28"/>
          <w:szCs w:val="32"/>
        </w:rPr>
        <w:t xml:space="preserve">单位：长沙海关          </w:t>
      </w:r>
      <w:r>
        <w:rPr>
          <w:rFonts w:ascii="Times New Roman" w:eastAsia="方正仿宋_GBK" w:hAnsi="Times New Roman" w:hint="eastAsia"/>
          <w:sz w:val="28"/>
          <w:szCs w:val="32"/>
        </w:rPr>
        <w:t xml:space="preserve">              </w:t>
      </w:r>
      <w:r>
        <w:rPr>
          <w:rFonts w:ascii="Times New Roman" w:eastAsia="方正仿宋_GBK" w:hAnsi="Times New Roman"/>
          <w:sz w:val="28"/>
          <w:szCs w:val="32"/>
        </w:rPr>
        <w:t xml:space="preserve">  </w:t>
      </w:r>
      <w:r>
        <w:rPr>
          <w:rFonts w:ascii="Times New Roman" w:eastAsia="方正仿宋_GBK" w:hAnsi="Times New Roman" w:hint="eastAsia"/>
          <w:sz w:val="28"/>
          <w:szCs w:val="32"/>
        </w:rPr>
        <w:t xml:space="preserve">         </w:t>
      </w:r>
      <w:r>
        <w:rPr>
          <w:rFonts w:ascii="Times New Roman" w:eastAsia="方正仿宋_GBK" w:hAnsi="Times New Roman"/>
          <w:sz w:val="28"/>
          <w:szCs w:val="32"/>
        </w:rPr>
        <w:t xml:space="preserve">                  </w:t>
      </w:r>
      <w:r>
        <w:rPr>
          <w:rFonts w:ascii="Times New Roman" w:eastAsia="方正仿宋_GBK" w:hAnsi="Times New Roman" w:hint="eastAsia"/>
          <w:sz w:val="28"/>
          <w:szCs w:val="32"/>
        </w:rPr>
        <w:t xml:space="preserve">                             </w:t>
      </w:r>
      <w:r>
        <w:rPr>
          <w:rFonts w:ascii="Times New Roman" w:eastAsia="方正仿宋_GBK" w:hAnsi="Times New Roman"/>
          <w:sz w:val="28"/>
          <w:szCs w:val="32"/>
        </w:rPr>
        <w:t xml:space="preserve">           填报时间：202</w:t>
      </w:r>
      <w:r>
        <w:rPr>
          <w:rFonts w:ascii="Times New Roman" w:eastAsia="方正仿宋_GBK" w:hAnsi="Times New Roman" w:hint="eastAsia"/>
          <w:sz w:val="28"/>
          <w:szCs w:val="32"/>
        </w:rPr>
        <w:t>3</w:t>
      </w:r>
      <w:r>
        <w:rPr>
          <w:rFonts w:ascii="Times New Roman" w:eastAsia="方正仿宋_GBK" w:hAnsi="Times New Roman"/>
          <w:sz w:val="28"/>
          <w:szCs w:val="32"/>
        </w:rPr>
        <w:t>年</w:t>
      </w:r>
      <w:r>
        <w:rPr>
          <w:rFonts w:ascii="Times New Roman" w:eastAsia="方正仿宋_GBK" w:hAnsi="Times New Roman" w:hint="eastAsia"/>
          <w:sz w:val="28"/>
          <w:szCs w:val="32"/>
        </w:rPr>
        <w:t>2</w:t>
      </w:r>
      <w:r>
        <w:rPr>
          <w:rFonts w:ascii="Times New Roman" w:eastAsia="方正仿宋_GBK" w:hAnsi="Times New Roman"/>
          <w:sz w:val="28"/>
          <w:szCs w:val="32"/>
        </w:rPr>
        <w:t>月</w:t>
      </w:r>
      <w:r>
        <w:rPr>
          <w:rFonts w:ascii="Times New Roman" w:eastAsia="方正仿宋_GBK" w:hAnsi="Times New Roman" w:hint="eastAsia"/>
          <w:sz w:val="28"/>
          <w:szCs w:val="32"/>
        </w:rPr>
        <w:t>1</w:t>
      </w:r>
      <w:r>
        <w:rPr>
          <w:rFonts w:ascii="Times New Roman" w:eastAsia="方正仿宋_GBK" w:hAnsi="Times New Roman"/>
          <w:sz w:val="28"/>
          <w:szCs w:val="32"/>
        </w:rPr>
        <w:t>日</w:t>
      </w:r>
    </w:p>
    <w:tbl>
      <w:tblPr>
        <w:jc w:val="center"/>
        <w:tblW w:w="1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44"/>
        <w:gridCol w:w="685"/>
        <w:gridCol w:w="8113"/>
        <w:gridCol w:w="1600"/>
        <w:gridCol w:w="1600"/>
      </w:tblGrid>
      <w:tr>
        <w:trPr>
          <w:trHeight w:val="680"/>
        </w:trPr>
        <w:tc>
          <w:tcPr>
            <w:tcW w:w="1419" w:type="dxa"/>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项目指标</w:t>
            </w:r>
          </w:p>
        </w:tc>
        <w:tc>
          <w:tcPr>
            <w:tcW w:w="850" w:type="dxa"/>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序号</w:t>
            </w:r>
          </w:p>
        </w:tc>
        <w:tc>
          <w:tcPr>
            <w:tcW w:w="10064" w:type="dxa"/>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重点普法任务</w:t>
            </w:r>
          </w:p>
        </w:tc>
        <w:tc>
          <w:tcPr>
            <w:tcW w:w="1985" w:type="dxa"/>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备注</w:t>
            </w:r>
          </w:p>
        </w:tc>
        <w:tc>
          <w:tcPr>
            <w:tcW w:w="1985" w:type="dxa"/>
            <w:vAlign w:val="center"/>
          </w:tcPr>
          <w:p>
            <w:pPr>
              <w:spacing w:after="0"/>
              <w:jc w:val="center"/>
              <w:rPr>
                <w:rFonts w:ascii="Times New Roman" w:eastAsia="方正仿宋_GBK" w:cs="仿宋_GB2312" w:hAnsi="Times New Roman"/>
                <w:b/>
                <w:sz w:val="28"/>
                <w:szCs w:val="24"/>
              </w:rPr>
            </w:pPr>
          </w:p>
        </w:tc>
      </w:tr>
      <w:tr>
        <w:trPr>
          <w:trHeight w:val="624"/>
        </w:trPr>
        <w:tc>
          <w:tcPr>
            <w:tcW w:w="1419" w:type="dxa"/>
            <w:vMerge w:val="restart"/>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公共指标</w:t>
            </w: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sz w:val="24"/>
                <w:szCs w:val="24"/>
              </w:rPr>
              <w:t>1</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深入学习宣传习近平法治思想，将相关内容纳入年内党委中心组集中学法内容和本单位、本系统法治培训内容，开展宣讲不少于1次。</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2</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突出宣传宪法，开展宪法进机关活动，组织系统干部开展日常宪法学习宣传，集中组织好本系统“宪法宣传周”活动。</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3</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落实党委理论学习中心组学法制度，每年组织学法不少于2次。</w:t>
            </w:r>
          </w:p>
        </w:tc>
        <w:tc>
          <w:tcPr>
            <w:tcW w:w="1985"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结合我关“每会一法”党委集体学法工作开展。</w:t>
            </w:r>
          </w:p>
        </w:tc>
        <w:tc>
          <w:tcPr>
            <w:tcW w:w="1985" w:type="dxa"/>
            <w:vAlign w:val="center"/>
          </w:tcPr>
          <w:p>
            <w:pPr>
              <w:spacing w:after="0" w:line="300" w:lineRule="exact"/>
              <w:jc w:val="both"/>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4</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落实领导干部年终述法制度，在年度述职中加入述法内容。</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5</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健全完善国家工作人员日常学法制度、法治培训制度、学法用法考核制度，每年至少举办一期法治专题培训班。组织做好本单位工作人员网上学法，年内课时达标率100%，合格率98%。按规定及时编辑、更新本系统国家工作人员年度学法相关专业法律法规学习读本和考试题库。</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6</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落实国家工作人员旁听庭审制度，组织网上集中观看或是现场集中旁听庭审，年内不少于1次。</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7</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在部门单位门户网站、自办刊物、官方微博、微信公众号开辟法治宣传专栏（专题）。设置“以案释法”栏目，定期发布普法宣传内容和“以案释法”案例，年内报送不少于3个典型案例。</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8</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加强对本单位乡村振兴联系点的指导，有针对性地宣传普及本部门与群众生产生活和乡村治理密切相关的法律法规，年内开展送法下乡活动不少于1次。</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jc w:val="center"/>
              <w:rPr>
                <w:rFonts w:ascii="Times New Roman" w:eastAsia="方正仿宋_GBK" w:hAnsi="Times New Roman"/>
                <w:sz w:val="24"/>
                <w:szCs w:val="24"/>
              </w:rPr>
            </w:pPr>
            <w:r>
              <w:rPr>
                <w:rFonts w:ascii="Times New Roman" w:eastAsia="方正仿宋_GBK" w:hAnsi="Times New Roman" w:hint="eastAsia"/>
                <w:sz w:val="24"/>
                <w:szCs w:val="24"/>
              </w:rPr>
              <w:t>9</w:t>
            </w:r>
          </w:p>
        </w:tc>
        <w:tc>
          <w:tcPr>
            <w:tcW w:w="10064" w:type="dxa"/>
            <w:vAlign w:val="center"/>
          </w:tcPr>
          <w:p>
            <w:pPr>
              <w:spacing w:after="0" w:line="300" w:lineRule="exact"/>
              <w:jc w:val="both"/>
              <w:rPr>
                <w:rFonts w:ascii="Times New Roman" w:eastAsia="方正仿宋_GBK" w:hAnsi="Times New Roman"/>
                <w:sz w:val="24"/>
                <w:szCs w:val="24"/>
              </w:rPr>
            </w:pPr>
            <w:r>
              <w:rPr>
                <w:rFonts w:ascii="Times New Roman" w:eastAsia="方正仿宋_GBK" w:hAnsi="Times New Roman" w:hint="eastAsia"/>
                <w:sz w:val="24"/>
                <w:szCs w:val="24"/>
              </w:rPr>
              <w:t>认真贯彻落实全省“八五”普法规划和《湖南省法治社会建设实施方案（2021年-2025年）》。</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val="restart"/>
            <w:vAlign w:val="center"/>
          </w:tcPr>
          <w:p>
            <w:pPr>
              <w:spacing w:after="0"/>
              <w:jc w:val="center"/>
              <w:rPr>
                <w:rFonts w:ascii="Times New Roman" w:eastAsia="方正仿宋_GBK" w:cs="仿宋_GB2312" w:hAnsi="Times New Roman"/>
                <w:b/>
                <w:sz w:val="28"/>
                <w:szCs w:val="24"/>
              </w:rPr>
            </w:pPr>
            <w:r>
              <w:rPr>
                <w:rFonts w:ascii="Times New Roman" w:eastAsia="方正仿宋_GBK" w:cs="仿宋_GB2312" w:hAnsi="Times New Roman" w:hint="eastAsia"/>
                <w:b/>
                <w:sz w:val="28"/>
                <w:szCs w:val="24"/>
              </w:rPr>
              <w:t>个性指标</w:t>
            </w:r>
          </w:p>
        </w:tc>
        <w:tc>
          <w:tcPr>
            <w:tcW w:w="850" w:type="dxa"/>
            <w:vAlign w:val="center"/>
          </w:tcPr>
          <w:p>
            <w:pPr>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10</w:t>
            </w:r>
          </w:p>
        </w:tc>
        <w:tc>
          <w:tcPr>
            <w:tcW w:w="10064" w:type="dxa"/>
            <w:vAlign w:val="center"/>
          </w:tcPr>
          <w:p>
            <w:pPr>
              <w:spacing w:after="0" w:line="300" w:lineRule="exact"/>
              <w:rPr>
                <w:rFonts w:ascii="Times New Roman" w:eastAsia="方正仿宋_GBK" w:hAnsi="Times New Roman"/>
                <w:sz w:val="24"/>
                <w:szCs w:val="24"/>
              </w:rPr>
            </w:pPr>
            <w:r>
              <w:rPr>
                <w:rFonts w:ascii="Times New Roman" w:eastAsia="方正仿宋_GBK" w:hAnsi="Times New Roman"/>
                <w:sz w:val="24"/>
                <w:szCs w:val="24"/>
              </w:rPr>
              <w:t>常态化</w:t>
            </w:r>
            <w:r>
              <w:rPr>
                <w:rFonts w:ascii="Times New Roman" w:eastAsia="方正仿宋_GBK" w:hAnsi="Times New Roman" w:hint="eastAsia"/>
                <w:sz w:val="24"/>
                <w:szCs w:val="24"/>
              </w:rPr>
              <w:t>开展党委集体学法</w:t>
            </w:r>
            <w:r>
              <w:rPr>
                <w:rFonts w:ascii="Times New Roman" w:eastAsia="方正仿宋_GBK" w:hAnsi="Times New Roman"/>
                <w:sz w:val="24"/>
                <w:szCs w:val="24"/>
              </w:rPr>
              <w:t>，总结</w:t>
            </w:r>
            <w:r>
              <w:rPr>
                <w:rFonts w:ascii="Times New Roman" w:eastAsia="方正仿宋_GBK" w:hAnsi="Times New Roman" w:hint="eastAsia"/>
                <w:sz w:val="24"/>
                <w:szCs w:val="24"/>
              </w:rPr>
              <w:t>“每会一法”党委集体学法</w:t>
            </w:r>
            <w:r>
              <w:rPr>
                <w:rFonts w:ascii="Times New Roman" w:eastAsia="方正仿宋_GBK" w:hAnsi="Times New Roman"/>
                <w:sz w:val="24"/>
                <w:szCs w:val="24"/>
              </w:rPr>
              <w:t>工作经验，制定《长沙海关“每会一法”党委学法实施办法》</w:t>
            </w:r>
            <w:r>
              <w:rPr>
                <w:rFonts w:ascii="Times New Roman" w:eastAsia="方正仿宋_GBK" w:hAnsi="Times New Roman" w:hint="eastAsia"/>
                <w:sz w:val="24"/>
                <w:szCs w:val="24"/>
              </w:rPr>
              <w:t>，</w:t>
            </w:r>
            <w:r>
              <w:rPr>
                <w:rFonts w:ascii="Times New Roman" w:eastAsia="方正仿宋_GBK" w:hAnsi="Times New Roman"/>
                <w:bCs/>
                <w:sz w:val="24"/>
                <w:szCs w:val="24"/>
              </w:rPr>
              <w:t>编制“每会一法”年度</w:t>
            </w:r>
            <w:r>
              <w:rPr>
                <w:rFonts w:ascii="Times New Roman" w:eastAsia="方正仿宋_GBK" w:hAnsi="Times New Roman" w:hint="eastAsia"/>
                <w:bCs/>
                <w:sz w:val="24"/>
                <w:szCs w:val="24"/>
              </w:rPr>
              <w:t>宣讲计划清单</w:t>
            </w:r>
            <w:r>
              <w:rPr>
                <w:rFonts w:ascii="Times New Roman" w:eastAsia="方正仿宋_GBK" w:hAnsi="Times New Roman" w:hint="eastAsia"/>
                <w:sz w:val="24"/>
                <w:szCs w:val="24"/>
              </w:rPr>
              <w:t>。</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vAlign w:val="center"/>
          </w:tcPr>
          <w:p/>
        </w:tc>
        <w:tc>
          <w:tcPr>
            <w:tcW w:w="850" w:type="dxa"/>
            <w:vAlign w:val="center"/>
          </w:tcPr>
          <w:p>
            <w:pPr>
              <w:spacing w:after="0"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11</w:t>
            </w:r>
          </w:p>
        </w:tc>
        <w:tc>
          <w:tcPr>
            <w:tcW w:w="10064" w:type="dxa"/>
            <w:vAlign w:val="center"/>
          </w:tcPr>
          <w:p>
            <w:pPr>
              <w:spacing w:after="0" w:line="300" w:lineRule="exact"/>
              <w:rPr>
                <w:rFonts w:ascii="Times New Roman" w:eastAsia="方正仿宋_GBK" w:hAnsi="Times New Roman"/>
                <w:sz w:val="24"/>
                <w:szCs w:val="24"/>
              </w:rPr>
            </w:pPr>
            <w:r>
              <w:rPr>
                <w:rFonts w:ascii="Times New Roman" w:eastAsia="方正仿宋_GBK" w:hAnsi="Times New Roman" w:hint="eastAsia"/>
                <w:sz w:val="24"/>
                <w:szCs w:val="24"/>
              </w:rPr>
              <w:t>开展“4.15全民国家安全教育日”活动，宣传</w:t>
            </w:r>
            <w:r>
              <w:rPr>
                <w:rFonts w:ascii="Times New Roman" w:eastAsia="方正仿宋_GBK" w:hAnsi="Times New Roman"/>
                <w:sz w:val="24"/>
                <w:szCs w:val="24"/>
              </w:rPr>
              <w:t>《国家安全法》</w:t>
            </w:r>
            <w:r>
              <w:rPr>
                <w:rFonts w:ascii="Times New Roman" w:eastAsia="方正仿宋_GBK" w:hAnsi="Times New Roman" w:hint="eastAsia"/>
                <w:sz w:val="24"/>
                <w:szCs w:val="24"/>
              </w:rPr>
              <w:t>《保密法》《生物安全法》等。</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3"/>
        </w:trPr>
        <w:tc>
          <w:tcPr>
            <w:tcW w:w="1419" w:type="dxa"/>
            <w:vMerge/>
          </w:tcPr>
          <w:p/>
        </w:tc>
        <w:tc>
          <w:tcPr>
            <w:tcW w:w="850" w:type="dxa"/>
            <w:vAlign w:val="center"/>
          </w:tcPr>
          <w:p>
            <w:pPr>
              <w:spacing w:after="0"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12</w:t>
            </w:r>
          </w:p>
        </w:tc>
        <w:tc>
          <w:tcPr>
            <w:tcW w:w="10064" w:type="dxa"/>
            <w:vAlign w:val="center"/>
          </w:tcPr>
          <w:p>
            <w:pPr>
              <w:spacing w:after="0" w:line="300" w:lineRule="exact"/>
              <w:rPr>
                <w:rFonts w:ascii="Times New Roman" w:eastAsia="方正仿宋_GBK" w:hAnsi="Times New Roman"/>
                <w:sz w:val="24"/>
                <w:szCs w:val="24"/>
              </w:rPr>
            </w:pPr>
            <w:r>
              <w:rPr>
                <w:rFonts w:ascii="Times New Roman" w:eastAsia="方正仿宋_GBK" w:hAnsi="Times New Roman" w:hint="eastAsia"/>
                <w:sz w:val="24"/>
                <w:szCs w:val="24"/>
              </w:rPr>
              <w:t>开展“8.8海关法治宣传日”</w:t>
            </w:r>
            <w:r>
              <w:rPr>
                <w:rFonts w:ascii="方正仿宋_GBK" w:eastAsia="方正仿宋_GBK" w:hint="eastAsia"/>
                <w:sz w:val="24"/>
                <w:szCs w:val="24"/>
              </w:rPr>
              <w:t>“</w:t>
            </w:r>
            <w:r>
              <w:rPr>
                <w:rFonts w:ascii="Times New Roman" w:eastAsia="方正仿宋_GBK" w:hAnsi="Times New Roman"/>
                <w:sz w:val="24"/>
                <w:szCs w:val="24"/>
              </w:rPr>
              <w:t>12.4宪法宣传周”</w:t>
            </w:r>
            <w:r>
              <w:rPr>
                <w:rFonts w:ascii="Times New Roman" w:eastAsia="方正仿宋_GBK" w:hAnsi="Times New Roman" w:hint="eastAsia"/>
                <w:sz w:val="24"/>
                <w:szCs w:val="24"/>
              </w:rPr>
              <w:t>活动，宣传</w:t>
            </w:r>
            <w:r>
              <w:rPr>
                <w:rFonts w:ascii="Times New Roman" w:eastAsia="方正仿宋_GBK" w:hAnsi="Times New Roman"/>
                <w:sz w:val="24"/>
                <w:szCs w:val="24"/>
              </w:rPr>
              <w:t>《宪法》、</w:t>
            </w:r>
            <w:r>
              <w:rPr>
                <w:rFonts w:ascii="Times New Roman" w:eastAsia="方正仿宋_GBK" w:hAnsi="Times New Roman" w:hint="eastAsia"/>
                <w:sz w:val="24"/>
                <w:szCs w:val="24"/>
              </w:rPr>
              <w:t>《海关法》等海关法律法规规章。</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13</w:t>
            </w:r>
          </w:p>
        </w:tc>
        <w:tc>
          <w:tcPr>
            <w:tcW w:w="10064" w:type="dxa"/>
            <w:vAlign w:val="center"/>
          </w:tcPr>
          <w:p>
            <w:pPr>
              <w:spacing w:after="0" w:line="300" w:lineRule="exact"/>
              <w:rPr>
                <w:rFonts w:ascii="Times New Roman" w:eastAsia="方正仿宋_GBK" w:hAnsi="Times New Roman"/>
                <w:sz w:val="24"/>
                <w:szCs w:val="24"/>
              </w:rPr>
            </w:pPr>
            <w:r>
              <w:rPr>
                <w:rFonts w:ascii="Times New Roman" w:eastAsia="方正仿宋_GBK" w:hAnsi="Times New Roman"/>
                <w:sz w:val="24"/>
                <w:szCs w:val="24"/>
              </w:rPr>
              <w:t>持续擦亮</w:t>
            </w:r>
            <w:r>
              <w:rPr>
                <w:rFonts w:ascii="方正仿宋_GBK" w:eastAsia="方正仿宋_GBK" w:hint="eastAsia"/>
                <w:sz w:val="24"/>
                <w:szCs w:val="24"/>
              </w:rPr>
              <w:t>“小珂说法”</w:t>
            </w:r>
            <w:r>
              <w:rPr>
                <w:rFonts w:ascii="Times New Roman" w:eastAsia="方正仿宋_GBK" w:hAnsi="Times New Roman"/>
                <w:sz w:val="24"/>
                <w:szCs w:val="24"/>
              </w:rPr>
              <w:t>普法品牌，全年</w:t>
            </w:r>
            <w:r>
              <w:rPr>
                <w:rFonts w:ascii="Times New Roman" w:eastAsia="方正仿宋_GBK" w:hAnsi="Times New Roman" w:hint="eastAsia"/>
                <w:sz w:val="24"/>
                <w:szCs w:val="24"/>
              </w:rPr>
              <w:t>发布“小珂说法”普法微信订阅号不少于12篇</w:t>
            </w:r>
            <w:r>
              <w:rPr>
                <w:rFonts w:ascii="Times New Roman" w:eastAsia="方正仿宋_GBK" w:hAnsi="Times New Roman"/>
                <w:sz w:val="24"/>
                <w:szCs w:val="24"/>
              </w:rPr>
              <w:t>。</w:t>
            </w:r>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r>
        <w:trPr>
          <w:trHeight w:val="624"/>
        </w:trPr>
        <w:tc>
          <w:tcPr>
            <w:tcW w:w="1419" w:type="dxa"/>
            <w:vMerge/>
          </w:tcPr>
          <w:p/>
        </w:tc>
        <w:tc>
          <w:tcPr>
            <w:tcW w:w="850" w:type="dxa"/>
            <w:vAlign w:val="center"/>
          </w:tcPr>
          <w:p>
            <w:pPr>
              <w:spacing w:after="0"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14</w:t>
            </w:r>
          </w:p>
        </w:tc>
        <w:tc>
          <w:tcPr>
            <w:tcW w:w="10064" w:type="dxa"/>
            <w:vAlign w:val="center"/>
          </w:tcPr>
          <w:p>
            <w:pPr>
              <w:spacing w:after="0" w:line="300" w:lineRule="exact"/>
              <w:rPr>
                <w:rFonts w:ascii="Times New Roman" w:eastAsia="方正仿宋_GBK" w:hAnsi="Times New Roman"/>
                <w:sz w:val="24"/>
                <w:szCs w:val="24"/>
              </w:rPr>
            </w:pPr>
            <w:r>
              <w:rPr>
                <w:rFonts w:ascii="Times New Roman" w:eastAsia="方正仿宋_GBK" w:hAnsi="Times New Roman"/>
                <w:sz w:val="24"/>
                <w:szCs w:val="24"/>
              </w:rPr>
              <w:t>对已落成的海关公廨普法基地进行优化升级改造。</w:t>
            </w:r>
            <w:bookmarkStart w:id="0" w:name="_GoBack"/>
            <w:bookmarkEnd w:id="0"/>
          </w:p>
        </w:tc>
        <w:tc>
          <w:tcPr>
            <w:tcW w:w="1985" w:type="dxa"/>
            <w:vAlign w:val="center"/>
          </w:tcPr>
          <w:p>
            <w:pPr>
              <w:spacing w:after="0" w:line="300" w:lineRule="exact"/>
              <w:jc w:val="center"/>
              <w:rPr>
                <w:rFonts w:ascii="Times New Roman" w:eastAsia="方正仿宋_GBK" w:hAnsi="Times New Roman"/>
                <w:sz w:val="24"/>
                <w:szCs w:val="24"/>
              </w:rPr>
            </w:pPr>
          </w:p>
        </w:tc>
        <w:tc>
          <w:tcPr>
            <w:tcW w:w="1985" w:type="dxa"/>
            <w:vAlign w:val="center"/>
          </w:tcPr>
          <w:p>
            <w:pPr>
              <w:spacing w:after="0" w:line="300" w:lineRule="exact"/>
              <w:jc w:val="center"/>
              <w:rPr>
                <w:rFonts w:ascii="Times New Roman" w:eastAsia="方正仿宋_GBK" w:hAnsi="Times New Roman"/>
                <w:sz w:val="24"/>
                <w:szCs w:val="24"/>
              </w:rPr>
            </w:pPr>
          </w:p>
        </w:tc>
      </w:tr>
    </w:tbl>
    <w:p>
      <w:pPr>
        <w:spacing w:after="0" w:line="560" w:lineRule="exact"/>
        <w:rPr>
          <w:rFonts w:ascii="Times New Roman" w:eastAsia="方正仿宋_GBK" w:hAnsi="Times New Roman"/>
          <w:sz w:val="32"/>
          <w:szCs w:val="32"/>
        </w:rPr>
      </w:pPr>
    </w:p>
    <w:sectPr>
      <w:pgSz w:w="16838" w:h="11906" w:orient="landscape"/>
      <w:pgMar w:top="1588" w:right="1871" w:bottom="1644" w:left="2041" w:header="709" w:footer="709" w:gutter="0"/>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43"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小标宋简体">
    <w:altName w:val="Arial Unicode MS"/>
    <w:panose1 w:val="00000000000000000000"/>
    <w:charset w:val="86"/>
    <w:family w:val="auto"/>
    <w:pitch w:val="variable"/>
    <w:sig w:usb0="00000000" w:usb1="080E0000" w:usb2="0000000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00"/>
    <w:family w:val="auto"/>
    <w:pitch w:val="variable"/>
    <w:sig w:usb0="00000000" w:usb1="00000000" w:usb2="00000000"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 w:name="微软雅黑">
    <w:altName w:val="宋体"/>
    <w:panose1 w:val="020B0503020204020204"/>
    <w:charset w:val="86"/>
    <w:family w:val="swiss"/>
    <w:pitch w:val="variable"/>
    <w:sig w:usb0="A0000287" w:usb1="28CF3C52" w:usb2="00000016" w:usb3="00000000" w:csb0="0004001F" w:csb1="00000000"/>
  </w:font>
  <w:font w:name="Luxi Sans">
    <w:altName w:val="Times New Roman"/>
    <w:panose1 w:val="00000000000000000000"/>
    <w:charset w:val="00"/>
    <w:family w:val="auto"/>
    <w:pitch w:val="variable"/>
    <w:sig w:usb0="00000000" w:usb1="00000000" w:usb2="00000000" w:usb3="00000000" w:csb0="00000000" w:csb1="00000000"/>
  </w:font>
  <w:font w:name="黑体">
    <w:altName w:val="宋体"/>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720"/>
  <w:drawingGridHorizontalSpacing w:val="110"/>
  <w:drawingGridVerticalSpacing w:val="156"/>
  <w:displayHorizontalDrawingGridEvery w:val="0"/>
  <w:displayVerticalDrawingGridEvery w:val="1"/>
  <w:noPunctuationKerning/>
  <w:compat>
    <w:spaceForUL/>
    <w:ulTrailSpace/>
    <w:doNotExpandShiftReturn/>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adjustRightInd w:val="0"/>
      <w:snapToGrid w:val="0"/>
      <w:spacing w:after="200"/>
    </w:pPr>
    <w:rPr>
      <w:rFonts w:ascii="Tahoma" w:eastAsia="微软雅黑" w:cs="Times New Roman" w:hAnsi="Tahoma"/>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spacing w:beforeAutospacing="1" w:after="0" w:afterAutospacing="1"/>
      <w:outlineLvl w:val="2"/>
    </w:pPr>
    <w:rPr>
      <w:rFonts w:ascii="宋体" w:eastAsia="宋体"/>
      <w:b/>
      <w:sz w:val="27"/>
      <w:szCs w:val="27"/>
    </w:rPr>
  </w:style>
  <w:style w:type="character" w:default="1" w:styleId="10">
    <w:name w:val="Default Paragraph Font"/>
  </w:style>
  <w:style w:type="paragraph" w:styleId="15">
    <w:name w:val="Date"/>
    <w:basedOn w:val="0"/>
    <w:next w:val="0"/>
    <w:pPr>
      <w:ind w:leftChars="2500" w:left="2500"/>
    </w:pPr>
  </w:style>
  <w:style w:type="paragraph" w:styleId="16">
    <w:name w:val="footer"/>
    <w:basedOn w:val="0"/>
    <w:pPr>
      <w:tabs>
        <w:tab w:val="center" w:pos="4153"/>
        <w:tab w:val="right" w:pos="8306"/>
      </w:tabs>
    </w:pPr>
    <w:rPr>
      <w:sz w:val="18"/>
      <w:szCs w:val="18"/>
    </w:rPr>
  </w:style>
  <w:style w:type="paragraph" w:styleId="17">
    <w:name w:val="header"/>
    <w:basedOn w:val="0"/>
    <w:pPr>
      <w:pBdr>
        <w:bottom w:val="single" w:sz="6" w:space="1" w:color="auto"/>
      </w:pBdr>
      <w:tabs>
        <w:tab w:val="center" w:pos="4153"/>
        <w:tab w:val="right" w:pos="8306"/>
      </w:tabs>
      <w:jc w:val="center"/>
    </w:pPr>
    <w:rPr>
      <w:sz w:val="18"/>
      <w:szCs w:val="18"/>
    </w:rPr>
  </w:style>
  <w:style w:type="character" w:styleId="18">
    <w:name w:val="Strong"/>
    <w:basedOn w:val="10"/>
    <w:rPr>
      <w:b/>
    </w:rPr>
  </w:style>
  <w:style w:type="character" w:styleId="19">
    <w:name w:val="Hyperlink"/>
    <w:basedOn w:val="10"/>
    <w:rPr>
      <w:color w:val="002060"/>
      <w:u w:val="none"/>
    </w:rPr>
  </w:style>
  <w:style w:type="paragraph" w:customStyle="1" w:styleId="20">
    <w:name w:val="列出段落1"/>
    <w:basedOn w:val="0"/>
    <w:pPr>
      <w:ind w:firstLineChars="200" w:firstLine="200"/>
    </w:pPr>
  </w:style>
  <w:style w:type="paragraph" w:customStyle="1" w:styleId="21">
    <w:name w:val="列出段落2"/>
    <w:basedOn w:val="0"/>
    <w:pPr>
      <w:ind w:firstLineChars="200" w:firstLine="200"/>
    </w:pPr>
  </w:style>
  <w:style w:type="character" w:customStyle="1" w:styleId="22">
    <w:name w:val="im-content1"/>
    <w:basedOn w:val="10"/>
    <w:rPr>
      <w:vanish w:val="0"/>
      <w:color w:val="000000"/>
    </w:rPr>
  </w:style>
  <w:style w:type="character" w:customStyle="1" w:styleId="23">
    <w:name w:val="im-content2"/>
    <w:basedOn w:val="10"/>
    <w:rPr>
      <w:vanish w:val="0"/>
      <w:color w:val="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218</TotalTime>
  <Application>Yozo_Office</Application>
  <Pages>3</Pages>
  <Words>1052</Words>
  <Characters>1090</Characters>
  <Lines>114</Lines>
  <Paragraphs>54</Paragraphs>
  <CharactersWithSpaces>1280</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title>关于做好2017年度国家机关“谁执法谁普法”普法责任制考评工作的通知</dc:title>
  <dc:creator>Administrator</dc:creator>
  <cp:lastModifiedBy>代玮</cp:lastModifiedBy>
  <cp:revision>2</cp:revision>
  <cp:lastPrinted>2019-12-27T03:40:00Z</cp:lastPrinted>
  <dcterms:created xsi:type="dcterms:W3CDTF">2023-02-01T02:36:00Z</dcterms:created>
  <dcterms:modified xsi:type="dcterms:W3CDTF">2023-02-10T02:29:26Z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2052-11.1.0.9339</vt:lpwstr>
  </property>
</Properties>
</file>